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80A" w:rsidRDefault="0040480A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95pt;height:80.15pt" filled="t">
            <v:fill color2="black"/>
            <v:imagedata r:id="rId8" o:title=""/>
          </v:shape>
        </w:pict>
      </w:r>
      <w:r>
        <w:t xml:space="preserve">                                 </w:t>
      </w:r>
      <w:r>
        <w:pict>
          <v:shape id="_x0000_s1027" type="#_x0000_t75" style="position:absolute;left:0;text-align:left;margin-left:190.3pt;margin-top:-18.25pt;width:300.3pt;height:95.15pt;z-index:2;mso-wrap-distance-left:9.05pt;mso-wrap-distance-right:9.05pt;mso-position-horizontal-relative:text;mso-position-vertical-relative:text" filled="t">
            <v:fill color2="black"/>
            <v:imagedata r:id="rId9" o:title=""/>
            <w10:wrap type="square"/>
          </v:shape>
        </w:pict>
      </w:r>
    </w:p>
    <w:p w:rsidR="0040480A" w:rsidRDefault="0040480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pt;margin-top:7.5pt;width:481.6pt;height:0;z-index:1" o:connectortype="straight" strokecolor="#4f81bd" strokeweight=".53mm">
            <v:stroke color2="#b07e42" joinstyle="miter"/>
          </v:shape>
        </w:pict>
      </w:r>
    </w:p>
    <w:p w:rsidR="0040480A" w:rsidRDefault="0040480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480A" w:rsidRDefault="0040480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_»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февраля_</w:t>
      </w:r>
      <w:r>
        <w:rPr>
          <w:rFonts w:ascii="Times New Roman" w:hAnsi="Times New Roman" w:cs="Times New Roman"/>
          <w:b/>
          <w:sz w:val="24"/>
          <w:szCs w:val="24"/>
        </w:rPr>
        <w:t>___ 2012 г.</w:t>
      </w:r>
    </w:p>
    <w:p w:rsidR="0040480A" w:rsidRDefault="0040480A">
      <w:pPr>
        <w:autoSpaceDE w:val="0"/>
        <w:jc w:val="both"/>
      </w:pPr>
    </w:p>
    <w:p w:rsidR="0040480A" w:rsidRDefault="0040480A">
      <w:pPr>
        <w:ind w:left="5400" w:hanging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Исх.___________</w:t>
      </w:r>
    </w:p>
    <w:p w:rsidR="0040480A" w:rsidRDefault="0040480A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480A" w:rsidRDefault="0040480A">
      <w:pPr>
        <w:ind w:left="3828"/>
        <w:rPr>
          <w:rStyle w:val="newst"/>
          <w:rFonts w:ascii="Times New Roman" w:hAnsi="Times New Roman"/>
          <w:iCs/>
          <w:sz w:val="26"/>
          <w:szCs w:val="26"/>
        </w:rPr>
      </w:pPr>
      <w:r>
        <w:rPr>
          <w:rStyle w:val="newst"/>
          <w:rFonts w:ascii="Times New Roman" w:hAnsi="Times New Roman"/>
          <w:iCs/>
          <w:sz w:val="26"/>
          <w:szCs w:val="26"/>
        </w:rPr>
        <w:t>Председателю Высшего Арбитражного суда</w:t>
      </w:r>
    </w:p>
    <w:p w:rsidR="0040480A" w:rsidRDefault="0040480A">
      <w:pPr>
        <w:ind w:left="3828"/>
        <w:rPr>
          <w:rStyle w:val="newst"/>
          <w:rFonts w:ascii="Times New Roman" w:hAnsi="Times New Roman"/>
          <w:b/>
          <w:iCs/>
          <w:sz w:val="26"/>
          <w:szCs w:val="26"/>
        </w:rPr>
      </w:pPr>
      <w:r>
        <w:rPr>
          <w:rStyle w:val="newst"/>
          <w:rFonts w:ascii="Times New Roman" w:hAnsi="Times New Roman"/>
          <w:b/>
          <w:iCs/>
          <w:sz w:val="26"/>
          <w:szCs w:val="26"/>
        </w:rPr>
        <w:t xml:space="preserve">ИВАНОВУ А.А. </w:t>
      </w:r>
    </w:p>
    <w:p w:rsidR="0040480A" w:rsidRDefault="0040480A">
      <w:pPr>
        <w:ind w:left="3828"/>
      </w:pPr>
    </w:p>
    <w:p w:rsidR="0040480A" w:rsidRDefault="0040480A">
      <w:pPr>
        <w:ind w:left="3828"/>
        <w:rPr>
          <w:rStyle w:val="newst"/>
          <w:rFonts w:ascii="Times New Roman" w:hAnsi="Times New Roman"/>
          <w:iCs/>
          <w:sz w:val="26"/>
          <w:szCs w:val="26"/>
        </w:rPr>
      </w:pPr>
      <w:r>
        <w:rPr>
          <w:rStyle w:val="newst"/>
          <w:rFonts w:ascii="Times New Roman" w:hAnsi="Times New Roman"/>
          <w:iCs/>
          <w:sz w:val="26"/>
          <w:szCs w:val="26"/>
        </w:rPr>
        <w:t>Председателям Федеральных окружных</w:t>
      </w:r>
    </w:p>
    <w:p w:rsidR="0040480A" w:rsidRDefault="0040480A">
      <w:pPr>
        <w:ind w:left="3828"/>
        <w:rPr>
          <w:rStyle w:val="newst"/>
          <w:rFonts w:ascii="Times New Roman" w:hAnsi="Times New Roman"/>
          <w:iCs/>
          <w:sz w:val="26"/>
          <w:szCs w:val="26"/>
        </w:rPr>
      </w:pPr>
      <w:r>
        <w:rPr>
          <w:rStyle w:val="newst"/>
          <w:rFonts w:ascii="Times New Roman" w:hAnsi="Times New Roman"/>
          <w:iCs/>
          <w:sz w:val="26"/>
          <w:szCs w:val="26"/>
        </w:rPr>
        <w:t>арбитражных судов</w:t>
      </w:r>
    </w:p>
    <w:p w:rsidR="0040480A" w:rsidRDefault="0040480A">
      <w:pPr>
        <w:ind w:left="3828"/>
        <w:rPr>
          <w:rStyle w:val="newst"/>
          <w:rFonts w:ascii="Times New Roman" w:hAnsi="Times New Roman"/>
          <w:iCs/>
          <w:sz w:val="26"/>
          <w:szCs w:val="26"/>
        </w:rPr>
      </w:pPr>
      <w:r>
        <w:rPr>
          <w:rStyle w:val="newst"/>
          <w:rFonts w:ascii="Times New Roman" w:hAnsi="Times New Roman"/>
          <w:iCs/>
          <w:sz w:val="26"/>
          <w:szCs w:val="26"/>
        </w:rPr>
        <w:t xml:space="preserve"> </w:t>
      </w:r>
    </w:p>
    <w:p w:rsidR="0040480A" w:rsidRDefault="0040480A">
      <w:pPr>
        <w:jc w:val="center"/>
        <w:rPr>
          <w:rStyle w:val="newst"/>
          <w:rFonts w:ascii="Times New Roman" w:hAnsi="Times New Roman"/>
          <w:iCs/>
          <w:sz w:val="26"/>
          <w:szCs w:val="26"/>
        </w:rPr>
      </w:pPr>
      <w:r>
        <w:rPr>
          <w:rStyle w:val="newst"/>
          <w:rFonts w:ascii="Times New Roman" w:hAnsi="Times New Roman"/>
          <w:iCs/>
          <w:sz w:val="26"/>
          <w:szCs w:val="26"/>
        </w:rPr>
        <w:t xml:space="preserve">Уважаемый </w:t>
      </w:r>
      <w:r>
        <w:rPr>
          <w:rStyle w:val="newst"/>
          <w:rFonts w:ascii="Times New Roman" w:hAnsi="Times New Roman"/>
          <w:b/>
          <w:iCs/>
          <w:sz w:val="26"/>
          <w:szCs w:val="26"/>
        </w:rPr>
        <w:t>Антон Александрович</w:t>
      </w:r>
      <w:r>
        <w:rPr>
          <w:rStyle w:val="newst"/>
          <w:rFonts w:ascii="Times New Roman" w:hAnsi="Times New Roman"/>
          <w:iCs/>
          <w:sz w:val="26"/>
          <w:szCs w:val="26"/>
        </w:rPr>
        <w:t>!</w:t>
      </w:r>
    </w:p>
    <w:p w:rsidR="0040480A" w:rsidRDefault="0040480A"/>
    <w:p w:rsidR="0040480A" w:rsidRPr="00CA4D2E" w:rsidRDefault="0040480A">
      <w:pPr>
        <w:pStyle w:val="af"/>
        <w:ind w:firstLine="638"/>
        <w:jc w:val="both"/>
        <w:rPr>
          <w:rStyle w:val="newst"/>
          <w:rFonts w:ascii="Times New Roman" w:hAnsi="Times New Roman"/>
        </w:rPr>
      </w:pPr>
      <w:r>
        <w:rPr>
          <w:rStyle w:val="newst"/>
          <w:rFonts w:ascii="Times New Roman" w:hAnsi="Times New Roman"/>
        </w:rPr>
        <w:t xml:space="preserve">В Ассоциацию региональных банков России и Ассоциацию участников  вексельного рынка обращаются финансовые организации, обеспокоенные складывающейся на вексельном рынке ситуацией и формирующейся судебной практикой по вексельным спорам. В результате злоупотребления </w:t>
      </w:r>
      <w:r w:rsidR="00206A29" w:rsidRPr="00CA4D2E">
        <w:rPr>
          <w:rStyle w:val="newst"/>
          <w:rFonts w:ascii="Times New Roman" w:hAnsi="Times New Roman"/>
        </w:rPr>
        <w:t xml:space="preserve">со стороны недобросовестных участников рынка </w:t>
      </w:r>
      <w:r w:rsidRPr="00CA4D2E">
        <w:rPr>
          <w:rStyle w:val="newst"/>
          <w:rFonts w:ascii="Times New Roman" w:hAnsi="Times New Roman"/>
        </w:rPr>
        <w:t xml:space="preserve">абстрактными качествами вексельного обязательства создается угроза финансовой устойчивости банковской системы, имущественным интересам широкого круга лиц, приобретающих векселя, а также имущественным интересам лиц, поименованных  в таких векселях  в качестве кого-либо из подписантов. Кроме того, вследствие появления в обороте большого числа поддельных векселей страдает деловая репутация лиц, поименованных  в таких векселях, затрудняется использование этого инструмента в легальных программах заимствований и в расчетах. </w:t>
      </w:r>
    </w:p>
    <w:p w:rsidR="0040480A" w:rsidRPr="00CA4D2E" w:rsidRDefault="0040480A">
      <w:pPr>
        <w:pStyle w:val="af"/>
        <w:ind w:firstLine="638"/>
        <w:jc w:val="both"/>
        <w:rPr>
          <w:rStyle w:val="newst"/>
          <w:rFonts w:ascii="Times New Roman" w:hAnsi="Times New Roman"/>
        </w:rPr>
      </w:pPr>
      <w:r w:rsidRPr="00CA4D2E">
        <w:rPr>
          <w:rStyle w:val="newst"/>
          <w:rFonts w:ascii="Times New Roman" w:hAnsi="Times New Roman"/>
        </w:rPr>
        <w:t xml:space="preserve">Анализ арбитражной практики показывает, что в подавляющем большинстве хозяйственных споров, связанных с неплатежами по векселям,  организация -ответчик, к которой предъявляется вексельный иск о взыскании вексельного долга, оспаривает либо наличие полномочий на подписание векселя у представителя этой организации, либо принадлежность подписи этому представителю. Тем самым она пытается опровергнуть сам факт выдачи векселя от своего имени.   </w:t>
      </w:r>
    </w:p>
    <w:p w:rsidR="0040480A" w:rsidRPr="00CA4D2E" w:rsidRDefault="0040480A">
      <w:pPr>
        <w:ind w:firstLine="708"/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 xml:space="preserve">Полагаем, что названные явления объясняются тем, что под видом векселей известных лиц (названных в векселе векселедателей, акцептантов, авалистов, индоссантов) обязывались лица либо не установленные, либо действующие с превышением полномочий. Поступление в оборот таких векселей фактически не контролируется государством. </w:t>
      </w:r>
    </w:p>
    <w:p w:rsidR="0040480A" w:rsidRPr="00CA4D2E" w:rsidRDefault="0040480A">
      <w:pPr>
        <w:ind w:firstLine="708"/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 xml:space="preserve">По мнению Ассоциаций, неконтролируемое наводнение рынка поддельными (подложными) векселями стало возможным благодаря тому, что факт выдачи векселя или принятия на себя вексельного обязательства не подлежит публичному удостоверению в какой бы то ни было форме: </w:t>
      </w:r>
    </w:p>
    <w:p w:rsidR="0040480A" w:rsidRPr="00CA4D2E" w:rsidRDefault="00206A29">
      <w:pPr>
        <w:numPr>
          <w:ilvl w:val="0"/>
          <w:numId w:val="2"/>
        </w:numPr>
        <w:tabs>
          <w:tab w:val="left" w:pos="790"/>
        </w:tabs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>Официальной системы отношений по раскрытию информации о фактах выдачи векселей</w:t>
      </w:r>
      <w:r w:rsidR="0040480A" w:rsidRPr="00CA4D2E">
        <w:rPr>
          <w:rStyle w:val="newst"/>
          <w:rFonts w:ascii="Times New Roman" w:hAnsi="Times New Roman"/>
          <w:sz w:val="26"/>
          <w:szCs w:val="26"/>
        </w:rPr>
        <w:t xml:space="preserve"> законом не предусмотрен</w:t>
      </w:r>
      <w:r w:rsidRPr="00CA4D2E">
        <w:rPr>
          <w:rStyle w:val="newst"/>
          <w:rFonts w:ascii="Times New Roman" w:hAnsi="Times New Roman"/>
          <w:sz w:val="26"/>
          <w:szCs w:val="26"/>
        </w:rPr>
        <w:t>о</w:t>
      </w:r>
      <w:r w:rsidR="0040480A" w:rsidRPr="00CA4D2E">
        <w:rPr>
          <w:rStyle w:val="newst"/>
          <w:rFonts w:ascii="Times New Roman" w:hAnsi="Times New Roman"/>
          <w:sz w:val="26"/>
          <w:szCs w:val="26"/>
        </w:rPr>
        <w:t xml:space="preserve">, </w:t>
      </w:r>
    </w:p>
    <w:p w:rsidR="0040480A" w:rsidRPr="00CA4D2E" w:rsidRDefault="0040480A">
      <w:pPr>
        <w:numPr>
          <w:ilvl w:val="0"/>
          <w:numId w:val="2"/>
        </w:numPr>
        <w:tabs>
          <w:tab w:val="left" w:pos="790"/>
        </w:tabs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lastRenderedPageBreak/>
        <w:t>сведения о том, как должна выглядеть настоящая подпись лица, уполномоченного обязываться по векселю, по понятным причинам не могут быть публично доступными,</w:t>
      </w:r>
    </w:p>
    <w:p w:rsidR="0040480A" w:rsidRPr="00CA4D2E" w:rsidRDefault="0040480A">
      <w:pPr>
        <w:numPr>
          <w:ilvl w:val="0"/>
          <w:numId w:val="2"/>
        </w:numPr>
        <w:tabs>
          <w:tab w:val="left" w:pos="790"/>
        </w:tabs>
        <w:jc w:val="both"/>
        <w:rPr>
          <w:rStyle w:val="newst"/>
          <w:rFonts w:ascii="Times New Roman" w:hAnsi="Times New Roman"/>
          <w:sz w:val="26"/>
          <w:szCs w:val="26"/>
        </w:rPr>
      </w:pPr>
    </w:p>
    <w:p w:rsidR="0040480A" w:rsidRPr="00CA4D2E" w:rsidRDefault="0040480A">
      <w:pPr>
        <w:numPr>
          <w:ilvl w:val="0"/>
          <w:numId w:val="2"/>
        </w:numPr>
        <w:tabs>
          <w:tab w:val="left" w:pos="790"/>
        </w:tabs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>нотариальное удостоверение подписи на векселе не предусмотрено законодательством о нотариате как нотариальное действие,</w:t>
      </w:r>
    </w:p>
    <w:p w:rsidR="00A8163C" w:rsidRPr="00CA4D2E" w:rsidRDefault="0040480A">
      <w:pPr>
        <w:numPr>
          <w:ilvl w:val="0"/>
          <w:numId w:val="2"/>
        </w:numPr>
        <w:tabs>
          <w:tab w:val="left" w:pos="790"/>
        </w:tabs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>возможности публичного удостоверения фактов в рамках саморегулирования рынка ограничены, поскольку участие в СРО не является обязательным для участников вексельного рынка.</w:t>
      </w:r>
    </w:p>
    <w:p w:rsidR="0040480A" w:rsidRPr="00CA4D2E" w:rsidRDefault="00A8163C">
      <w:pPr>
        <w:numPr>
          <w:ilvl w:val="0"/>
          <w:numId w:val="2"/>
        </w:numPr>
        <w:tabs>
          <w:tab w:val="left" w:pos="790"/>
        </w:tabs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>Закон не формализует такую правовую категорию, как «подпись»</w:t>
      </w:r>
      <w:r w:rsidR="0040480A" w:rsidRPr="00CA4D2E">
        <w:rPr>
          <w:rStyle w:val="newst"/>
          <w:rFonts w:ascii="Times New Roman" w:hAnsi="Times New Roman"/>
          <w:sz w:val="26"/>
          <w:szCs w:val="26"/>
        </w:rPr>
        <w:t xml:space="preserve"> </w:t>
      </w:r>
    </w:p>
    <w:p w:rsidR="0040480A" w:rsidRPr="00CA4D2E" w:rsidRDefault="0040480A">
      <w:pPr>
        <w:ind w:firstLine="708"/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>Кроме того, закон не ограничивает нахождение в обороте нескольких векселей с полностью идентичным содержанием реквизитов, т.е. закон не обеспечивает уникальную индивидуализацию для каждого выпущенного в оборот векселя. С</w:t>
      </w:r>
      <w:r w:rsidRPr="00CA4D2E">
        <w:rPr>
          <w:rFonts w:ascii="Times New Roman" w:hAnsi="Times New Roman"/>
          <w:sz w:val="26"/>
          <w:szCs w:val="26"/>
        </w:rPr>
        <w:t xml:space="preserve">пособность же обязываться по векселям закреплена, </w:t>
      </w:r>
      <w:r w:rsidR="0045175D" w:rsidRPr="00CA4D2E">
        <w:rPr>
          <w:rFonts w:ascii="Times New Roman" w:hAnsi="Times New Roman"/>
          <w:sz w:val="26"/>
          <w:szCs w:val="26"/>
        </w:rPr>
        <w:t xml:space="preserve">для </w:t>
      </w:r>
      <w:r w:rsidRPr="00CA4D2E">
        <w:rPr>
          <w:rFonts w:ascii="Times New Roman" w:hAnsi="Times New Roman"/>
          <w:sz w:val="26"/>
          <w:szCs w:val="26"/>
        </w:rPr>
        <w:t xml:space="preserve"> граждан, в силу Закона «О переводном и простом векселе».  </w:t>
      </w:r>
      <w:r w:rsidRPr="00CA4D2E">
        <w:rPr>
          <w:rStyle w:val="newst"/>
          <w:rFonts w:ascii="Times New Roman" w:hAnsi="Times New Roman"/>
          <w:sz w:val="26"/>
          <w:szCs w:val="26"/>
        </w:rPr>
        <w:t xml:space="preserve"> </w:t>
      </w:r>
    </w:p>
    <w:p w:rsidR="0040480A" w:rsidRPr="00CA4D2E" w:rsidRDefault="0040480A">
      <w:pPr>
        <w:ind w:firstLine="708"/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 xml:space="preserve">Все это открывает возможности для наводнения рынка поддельными (подложными) векселями, которые могут быть представлены как полностью вымышленными ценными бумагами (выданными от имени несуществующих лиц и подписанных не установленными лицами), так и векселями, изготовленными с подражанием внешним признакам уже имеющихся в обороте векселей известных эмитентов. </w:t>
      </w:r>
    </w:p>
    <w:p w:rsidR="0040480A" w:rsidRPr="00CA4D2E" w:rsidRDefault="0040480A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 xml:space="preserve"> </w:t>
      </w:r>
      <w:r w:rsidRPr="00CA4D2E">
        <w:rPr>
          <w:rStyle w:val="newst"/>
          <w:rFonts w:ascii="Times New Roman" w:hAnsi="Times New Roman"/>
          <w:sz w:val="26"/>
          <w:szCs w:val="26"/>
        </w:rPr>
        <w:tab/>
        <w:t>В</w:t>
      </w:r>
      <w:r w:rsidRPr="00CA4D2E">
        <w:rPr>
          <w:rFonts w:ascii="Times New Roman" w:hAnsi="Times New Roman"/>
          <w:sz w:val="26"/>
          <w:szCs w:val="26"/>
        </w:rPr>
        <w:t xml:space="preserve">ексельное обязательство обладает рядом специфических качеств: </w:t>
      </w:r>
    </w:p>
    <w:p w:rsidR="0040480A" w:rsidRPr="00CA4D2E" w:rsidRDefault="0040480A">
      <w:pPr>
        <w:numPr>
          <w:ilvl w:val="0"/>
          <w:numId w:val="3"/>
        </w:numPr>
        <w:tabs>
          <w:tab w:val="left" w:pos="786"/>
        </w:tabs>
        <w:ind w:left="786"/>
        <w:jc w:val="both"/>
        <w:rPr>
          <w:rFonts w:ascii="Times New Roman" w:hAnsi="Times New Roman"/>
          <w:bCs/>
          <w:sz w:val="26"/>
          <w:szCs w:val="26"/>
        </w:rPr>
      </w:pPr>
      <w:r w:rsidRPr="00CA4D2E">
        <w:rPr>
          <w:rFonts w:ascii="Times New Roman" w:hAnsi="Times New Roman"/>
          <w:bCs/>
          <w:sz w:val="26"/>
          <w:szCs w:val="26"/>
        </w:rPr>
        <w:t>формализмом,</w:t>
      </w:r>
    </w:p>
    <w:p w:rsidR="0040480A" w:rsidRPr="00CA4D2E" w:rsidRDefault="0040480A">
      <w:pPr>
        <w:numPr>
          <w:ilvl w:val="0"/>
          <w:numId w:val="3"/>
        </w:numPr>
        <w:tabs>
          <w:tab w:val="left" w:pos="786"/>
        </w:tabs>
        <w:ind w:left="786"/>
        <w:jc w:val="both"/>
        <w:rPr>
          <w:rFonts w:ascii="Times New Roman" w:hAnsi="Times New Roman"/>
          <w:bCs/>
          <w:sz w:val="26"/>
          <w:szCs w:val="26"/>
        </w:rPr>
      </w:pPr>
      <w:r w:rsidRPr="00CA4D2E">
        <w:rPr>
          <w:rFonts w:ascii="Times New Roman" w:hAnsi="Times New Roman"/>
          <w:bCs/>
          <w:sz w:val="26"/>
          <w:szCs w:val="26"/>
        </w:rPr>
        <w:t>безусловным характером исполнения,</w:t>
      </w:r>
    </w:p>
    <w:p w:rsidR="0040480A" w:rsidRPr="00CA4D2E" w:rsidRDefault="0040480A">
      <w:pPr>
        <w:numPr>
          <w:ilvl w:val="0"/>
          <w:numId w:val="3"/>
        </w:numPr>
        <w:tabs>
          <w:tab w:val="left" w:pos="786"/>
        </w:tabs>
        <w:ind w:left="786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bCs/>
          <w:sz w:val="26"/>
          <w:szCs w:val="26"/>
        </w:rPr>
        <w:t>материальной абстрактностью</w:t>
      </w:r>
      <w:r w:rsidRPr="00CA4D2E">
        <w:rPr>
          <w:rFonts w:ascii="Times New Roman" w:hAnsi="Times New Roman"/>
          <w:sz w:val="26"/>
          <w:szCs w:val="26"/>
        </w:rPr>
        <w:t xml:space="preserve"> (независимость действительности векселя от действительности или от наличия сделки, лежащей в основании его выдачи),</w:t>
      </w:r>
    </w:p>
    <w:p w:rsidR="0040480A" w:rsidRPr="00CA4D2E" w:rsidRDefault="0040480A">
      <w:pPr>
        <w:numPr>
          <w:ilvl w:val="0"/>
          <w:numId w:val="3"/>
        </w:numPr>
        <w:tabs>
          <w:tab w:val="left" w:pos="786"/>
        </w:tabs>
        <w:ind w:left="786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bCs/>
          <w:sz w:val="26"/>
          <w:szCs w:val="26"/>
        </w:rPr>
        <w:t>процессуальной абстрактностью</w:t>
      </w:r>
      <w:r w:rsidRPr="00CA4D2E">
        <w:rPr>
          <w:rFonts w:ascii="Times New Roman" w:hAnsi="Times New Roman"/>
          <w:sz w:val="26"/>
          <w:szCs w:val="26"/>
        </w:rPr>
        <w:t xml:space="preserve">, (когда существование вексельного обязательства предполагается постольку, поскольку есть сам вексель, а отказ от исполнения обязательства, удостоверенного векселем, со ссылкой на отсутствие основания обязательства не допускается), </w:t>
      </w:r>
    </w:p>
    <w:p w:rsidR="0040480A" w:rsidRPr="00CA4D2E" w:rsidRDefault="0040480A">
      <w:pPr>
        <w:numPr>
          <w:ilvl w:val="0"/>
          <w:numId w:val="3"/>
        </w:numPr>
        <w:tabs>
          <w:tab w:val="left" w:pos="786"/>
        </w:tabs>
        <w:ind w:left="786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bCs/>
          <w:sz w:val="26"/>
          <w:szCs w:val="26"/>
        </w:rPr>
        <w:t>публичной достоверностью</w:t>
      </w:r>
      <w:r w:rsidRPr="00CA4D2E">
        <w:rPr>
          <w:rFonts w:ascii="Times New Roman" w:hAnsi="Times New Roman"/>
          <w:sz w:val="26"/>
          <w:szCs w:val="26"/>
        </w:rPr>
        <w:t xml:space="preserve">, в силу которой вексельный должник ограничен в возражениях, которые он может выдвигать против требований об оплате векселя. </w:t>
      </w:r>
    </w:p>
    <w:p w:rsidR="0040480A" w:rsidRPr="00CA4D2E" w:rsidRDefault="0040480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>Указанная совокупность качеств вексельного обязательства создает ряд юридических презумпций и, прежде всего, предположение</w:t>
      </w:r>
      <w:r w:rsidRPr="00CA4D2E">
        <w:rPr>
          <w:rFonts w:ascii="Times New Roman" w:hAnsi="Times New Roman"/>
          <w:bCs/>
          <w:sz w:val="26"/>
          <w:szCs w:val="26"/>
        </w:rPr>
        <w:t xml:space="preserve">  существования и действительности вексельного обязательства</w:t>
      </w:r>
      <w:r w:rsidRPr="00CA4D2E">
        <w:rPr>
          <w:rFonts w:ascii="Times New Roman" w:hAnsi="Times New Roman"/>
          <w:sz w:val="26"/>
          <w:szCs w:val="26"/>
        </w:rPr>
        <w:t>. Поскольку  закон не закрепляет источников информации о фактах выдачи векселей (публичное удостоверение указанных фактов не предусмотрено законом),  а также ввиду прямых указаний ст. 1 ГК РФ, неинформированный</w:t>
      </w:r>
      <w:r w:rsidR="0045175D" w:rsidRPr="00CA4D2E">
        <w:rPr>
          <w:rFonts w:ascii="Times New Roman" w:hAnsi="Times New Roman"/>
          <w:sz w:val="26"/>
          <w:szCs w:val="26"/>
        </w:rPr>
        <w:t xml:space="preserve"> о факте выдачи </w:t>
      </w:r>
      <w:r w:rsidRPr="00CA4D2E">
        <w:rPr>
          <w:rFonts w:ascii="Times New Roman" w:hAnsi="Times New Roman"/>
          <w:sz w:val="26"/>
          <w:szCs w:val="26"/>
        </w:rPr>
        <w:t xml:space="preserve">приобретатель векселя предполагается добросовестным приобретателем. Тем самым устанавливается </w:t>
      </w:r>
      <w:r w:rsidRPr="00CA4D2E">
        <w:rPr>
          <w:rFonts w:ascii="Times New Roman" w:hAnsi="Times New Roman"/>
          <w:bCs/>
          <w:sz w:val="26"/>
          <w:szCs w:val="26"/>
        </w:rPr>
        <w:t>презумпция добросовестности при приобретении векселя</w:t>
      </w:r>
      <w:r w:rsidRPr="00CA4D2E">
        <w:rPr>
          <w:rFonts w:ascii="Times New Roman" w:hAnsi="Times New Roman"/>
          <w:sz w:val="26"/>
          <w:szCs w:val="26"/>
        </w:rPr>
        <w:t xml:space="preserve">. </w:t>
      </w:r>
    </w:p>
    <w:p w:rsidR="0040480A" w:rsidRPr="00CA4D2E" w:rsidRDefault="0040480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>Предположение</w:t>
      </w:r>
      <w:r w:rsidRPr="00CA4D2E">
        <w:rPr>
          <w:rFonts w:ascii="Times New Roman" w:hAnsi="Times New Roman"/>
          <w:bCs/>
          <w:sz w:val="26"/>
          <w:szCs w:val="26"/>
        </w:rPr>
        <w:t xml:space="preserve"> о наличии полномочий</w:t>
      </w:r>
      <w:r w:rsidRPr="00CA4D2E">
        <w:rPr>
          <w:rFonts w:ascii="Times New Roman" w:hAnsi="Times New Roman"/>
          <w:sz w:val="26"/>
          <w:szCs w:val="26"/>
        </w:rPr>
        <w:t xml:space="preserve"> на выдачу векселей у представителя организации, действующего по уставу, возникает из Закона «О переводном и простом векселе», равно как и для граждан.</w:t>
      </w:r>
    </w:p>
    <w:p w:rsidR="0040480A" w:rsidRPr="00CA4D2E" w:rsidRDefault="0040480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>В силу качеств абстрактности векселя</w:t>
      </w:r>
      <w:r w:rsidR="0045175D" w:rsidRPr="00CA4D2E">
        <w:rPr>
          <w:rFonts w:ascii="Times New Roman" w:hAnsi="Times New Roman"/>
          <w:sz w:val="26"/>
          <w:szCs w:val="26"/>
        </w:rPr>
        <w:t>,</w:t>
      </w:r>
      <w:r w:rsidRPr="00CA4D2E">
        <w:rPr>
          <w:rFonts w:ascii="Times New Roman" w:hAnsi="Times New Roman"/>
          <w:sz w:val="26"/>
          <w:szCs w:val="26"/>
        </w:rPr>
        <w:t xml:space="preserve"> в правоприменительной практике фактически сложилось еще три презумпции: </w:t>
      </w:r>
    </w:p>
    <w:p w:rsidR="0040480A" w:rsidRPr="00CA4D2E" w:rsidRDefault="0040480A">
      <w:pPr>
        <w:numPr>
          <w:ilvl w:val="0"/>
          <w:numId w:val="4"/>
        </w:numPr>
        <w:tabs>
          <w:tab w:val="left" w:pos="786"/>
        </w:tabs>
        <w:ind w:left="786"/>
        <w:jc w:val="both"/>
        <w:rPr>
          <w:rFonts w:ascii="Times New Roman" w:hAnsi="Times New Roman"/>
          <w:bCs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>предположение</w:t>
      </w:r>
      <w:r w:rsidRPr="00CA4D2E">
        <w:rPr>
          <w:rFonts w:ascii="Times New Roman" w:hAnsi="Times New Roman"/>
          <w:bCs/>
          <w:sz w:val="26"/>
          <w:szCs w:val="26"/>
        </w:rPr>
        <w:t xml:space="preserve"> о принадлежности подписи лицу, поименованному (названному) в векселе в качестве подписанта, </w:t>
      </w:r>
    </w:p>
    <w:p w:rsidR="0040480A" w:rsidRPr="00CA4D2E" w:rsidRDefault="0040480A">
      <w:pPr>
        <w:numPr>
          <w:ilvl w:val="0"/>
          <w:numId w:val="4"/>
        </w:numPr>
        <w:tabs>
          <w:tab w:val="left" w:pos="786"/>
        </w:tabs>
        <w:ind w:left="786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>предположение</w:t>
      </w:r>
      <w:r w:rsidRPr="00CA4D2E">
        <w:rPr>
          <w:rFonts w:ascii="Times New Roman" w:hAnsi="Times New Roman"/>
          <w:bCs/>
          <w:sz w:val="26"/>
          <w:szCs w:val="26"/>
        </w:rPr>
        <w:t xml:space="preserve"> </w:t>
      </w:r>
      <w:r w:rsidRPr="00CA4D2E">
        <w:rPr>
          <w:rFonts w:ascii="Times New Roman" w:hAnsi="Times New Roman"/>
          <w:sz w:val="26"/>
          <w:szCs w:val="26"/>
        </w:rPr>
        <w:t xml:space="preserve"> </w:t>
      </w:r>
      <w:r w:rsidRPr="00CA4D2E">
        <w:rPr>
          <w:rFonts w:ascii="Times New Roman" w:hAnsi="Times New Roman"/>
          <w:bCs/>
          <w:sz w:val="26"/>
          <w:szCs w:val="26"/>
        </w:rPr>
        <w:t>о дате подписания векселя</w:t>
      </w:r>
      <w:r w:rsidRPr="00CA4D2E">
        <w:rPr>
          <w:rFonts w:ascii="Times New Roman" w:hAnsi="Times New Roman"/>
          <w:sz w:val="26"/>
          <w:szCs w:val="26"/>
        </w:rPr>
        <w:t xml:space="preserve"> (о том, что подпись составителя векселя была поставлена в день, указанный в реквизите «дата составления»),</w:t>
      </w:r>
    </w:p>
    <w:p w:rsidR="0040480A" w:rsidRPr="00CA4D2E" w:rsidRDefault="0040480A">
      <w:pPr>
        <w:numPr>
          <w:ilvl w:val="0"/>
          <w:numId w:val="4"/>
        </w:numPr>
        <w:tabs>
          <w:tab w:val="left" w:pos="786"/>
        </w:tabs>
        <w:ind w:left="786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 xml:space="preserve">предположение  о том, что уполномоченное от имени организации лицо, при подписании векселя </w:t>
      </w:r>
      <w:r w:rsidRPr="00CA4D2E">
        <w:rPr>
          <w:rFonts w:ascii="Times New Roman" w:hAnsi="Times New Roman"/>
          <w:bCs/>
          <w:sz w:val="26"/>
          <w:szCs w:val="26"/>
        </w:rPr>
        <w:t>действовало в интересе именно представляемой организации</w:t>
      </w:r>
      <w:r w:rsidRPr="00CA4D2E">
        <w:rPr>
          <w:rFonts w:ascii="Times New Roman" w:hAnsi="Times New Roman"/>
          <w:sz w:val="26"/>
          <w:szCs w:val="26"/>
        </w:rPr>
        <w:t>, а не в своем личном интересе.</w:t>
      </w:r>
    </w:p>
    <w:p w:rsidR="0040480A" w:rsidRPr="00CA4D2E" w:rsidRDefault="0040480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>Последние три презумпции, которые сложились в правоприменительной практике, представляются весьма опасными в условиях, когда факты выдачи векселей не поставлены под публичный контроль. Такое положение дел создает серьезную угрозу для граждан и организаций ввиду складывающегося   распределения обязанностей доказывания  в вексельном иске.</w:t>
      </w:r>
    </w:p>
    <w:p w:rsidR="0040480A" w:rsidRPr="00CA4D2E" w:rsidRDefault="0040480A">
      <w:pPr>
        <w:ind w:firstLine="708"/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 xml:space="preserve">Презумпция действительности вексельного обязательства, по нашему мнению, не означает презумпции принадлежности подписи лицу, указанному в векселе в качестве векселедателя, а сам по себе факт наличия полномочий у представителя организации не доказывает, что представитель поставил на векселе подпись в интересах организации, а не в своем личном интересе. </w:t>
      </w:r>
    </w:p>
    <w:p w:rsidR="0040480A" w:rsidRPr="00CA4D2E" w:rsidRDefault="0040480A">
      <w:pPr>
        <w:pStyle w:val="a8"/>
        <w:spacing w:after="0"/>
        <w:ind w:firstLine="708"/>
        <w:jc w:val="both"/>
        <w:rPr>
          <w:rStyle w:val="newst"/>
          <w:rFonts w:ascii="Times New Roman" w:hAnsi="Times New Roman"/>
          <w:sz w:val="26"/>
          <w:szCs w:val="26"/>
        </w:rPr>
      </w:pPr>
      <w:r w:rsidRPr="00CA4D2E">
        <w:rPr>
          <w:rStyle w:val="newst"/>
          <w:rFonts w:ascii="Times New Roman" w:hAnsi="Times New Roman"/>
          <w:sz w:val="26"/>
          <w:szCs w:val="26"/>
        </w:rPr>
        <w:t xml:space="preserve">Указанные предположения не могут делаться </w:t>
      </w:r>
      <w:r w:rsidRPr="00CA4D2E">
        <w:rPr>
          <w:rStyle w:val="newst"/>
          <w:rFonts w:ascii="Times New Roman" w:hAnsi="Times New Roman"/>
          <w:b/>
          <w:sz w:val="26"/>
          <w:szCs w:val="26"/>
        </w:rPr>
        <w:t>только</w:t>
      </w:r>
      <w:r w:rsidRPr="00CA4D2E">
        <w:rPr>
          <w:rStyle w:val="newst"/>
          <w:rFonts w:ascii="Times New Roman" w:hAnsi="Times New Roman"/>
          <w:sz w:val="26"/>
          <w:szCs w:val="26"/>
        </w:rPr>
        <w:t xml:space="preserve"> на основании текста векселя. Наименование векселедателя, содержащееся в векселе, или наименование должности подписанта не являются реквизитом векселя и </w:t>
      </w:r>
      <w:r w:rsidR="0045175D" w:rsidRPr="00CA4D2E">
        <w:rPr>
          <w:rStyle w:val="newst"/>
          <w:rFonts w:ascii="Times New Roman" w:hAnsi="Times New Roman"/>
          <w:sz w:val="26"/>
          <w:szCs w:val="26"/>
        </w:rPr>
        <w:t xml:space="preserve">сами по себе </w:t>
      </w:r>
      <w:r w:rsidRPr="00CA4D2E">
        <w:rPr>
          <w:rStyle w:val="newst"/>
          <w:rFonts w:ascii="Times New Roman" w:hAnsi="Times New Roman"/>
          <w:sz w:val="26"/>
          <w:szCs w:val="26"/>
        </w:rPr>
        <w:t xml:space="preserve">не могут быть положены в основу предположения о принадлежности подписи или предположения о действиях лица в интересе организации.   Факт наличия полномочий сам по себе не означает, что вексель подписан в интересах представляемого лица, поскольку вексельная сделка абстрактна. </w:t>
      </w:r>
    </w:p>
    <w:p w:rsidR="0040480A" w:rsidRDefault="0040480A">
      <w:pPr>
        <w:pStyle w:val="a8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A4D2E">
        <w:rPr>
          <w:rFonts w:ascii="Times New Roman" w:hAnsi="Times New Roman"/>
          <w:sz w:val="26"/>
          <w:szCs w:val="26"/>
        </w:rPr>
        <w:t>Указанными презумпциями может воспользоваться неинформированный</w:t>
      </w:r>
      <w:r>
        <w:rPr>
          <w:rFonts w:ascii="Times New Roman" w:hAnsi="Times New Roman"/>
          <w:sz w:val="26"/>
          <w:szCs w:val="26"/>
        </w:rPr>
        <w:t xml:space="preserve"> приобретатель  векселя либо злоупотребить информированный недобросовестный приобретатель. Безусловное применение указанных предположений </w:t>
      </w:r>
      <w:r w:rsidR="0045175D">
        <w:rPr>
          <w:rFonts w:ascii="Times New Roman" w:hAnsi="Times New Roman"/>
          <w:sz w:val="26"/>
          <w:szCs w:val="26"/>
        </w:rPr>
        <w:t xml:space="preserve">может </w:t>
      </w:r>
      <w:r>
        <w:rPr>
          <w:rFonts w:ascii="Times New Roman" w:hAnsi="Times New Roman"/>
          <w:sz w:val="26"/>
          <w:szCs w:val="26"/>
        </w:rPr>
        <w:t>прив</w:t>
      </w:r>
      <w:r w:rsidR="0045175D">
        <w:rPr>
          <w:rFonts w:ascii="Times New Roman" w:hAnsi="Times New Roman"/>
          <w:sz w:val="26"/>
          <w:szCs w:val="26"/>
        </w:rPr>
        <w:t>ести</w:t>
      </w:r>
      <w:r>
        <w:rPr>
          <w:rFonts w:ascii="Times New Roman" w:hAnsi="Times New Roman"/>
          <w:sz w:val="26"/>
          <w:szCs w:val="26"/>
        </w:rPr>
        <w:t xml:space="preserve"> к неоправданному возложению на лицо, поименованное в векселе, обязанностей по совершению соответствующих процессуальных действий (и в частности – обязанностей по представления доказательств, необходимых для опровержения названных предположений).  </w:t>
      </w:r>
    </w:p>
    <w:p w:rsidR="0040480A" w:rsidRDefault="0040480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Так, например, в случае, когда неустановленное лицо неправомерно подписало вексель от имени другого (известного) лица, назвав последнее в векселе в качестве векселедателя или акцептанта, неинформированный приобретатель такого векселя не в состоянии достоверно проверить факт выдачи векселя этим известным лицом. При попытке получить платеж по такому векселю последует отказ. Однако, в случае обращения держателя векселя в суд с иском к названному в векселе известному лицу последнее принуждено будет опровергать в суде: </w:t>
      </w:r>
    </w:p>
    <w:p w:rsidR="0040480A" w:rsidRDefault="0040480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либо презумпцию добросовестного приобретения,</w:t>
      </w:r>
    </w:p>
    <w:p w:rsidR="0040480A" w:rsidRDefault="0040480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либо презумпцию факта принятия на себя вексельного обязательства (оспаривая принадлежность подписи, наличие полномочий, дату подписания, или доказывая, что подписант действовал в личном интересе, а не в интересе представляемого). </w:t>
      </w:r>
    </w:p>
    <w:p w:rsidR="0040480A" w:rsidRDefault="0040480A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</w:t>
      </w:r>
      <w:r w:rsidR="0045175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варианты отсутствуют.</w:t>
      </w:r>
    </w:p>
    <w:p w:rsidR="0040480A" w:rsidRDefault="004048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Сложность ситуации состоит в том, что вывод о принадлежности подписи делается на основании заключения почерковедческой экспертизы. </w:t>
      </w:r>
      <w:r w:rsidR="0045175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Судьба</w:t>
      </w:r>
      <w:r w:rsidR="0045175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лица, к которому предъявлен вексельный иск, и основывающего свои возражения несобственноручностью подписи, целиком и полностью зависит от того, что скажет эксперт. Вероятный вывод экспертизы </w:t>
      </w:r>
      <w:r w:rsidR="0045175D">
        <w:rPr>
          <w:rFonts w:ascii="Times New Roman" w:hAnsi="Times New Roman"/>
          <w:sz w:val="26"/>
          <w:szCs w:val="26"/>
        </w:rPr>
        <w:t xml:space="preserve">в сложившейся практике </w:t>
      </w:r>
      <w:r>
        <w:rPr>
          <w:rFonts w:ascii="Times New Roman" w:hAnsi="Times New Roman"/>
          <w:sz w:val="26"/>
          <w:szCs w:val="26"/>
        </w:rPr>
        <w:t>сохраняет презумпцию о принадлежности подписи ответчику</w:t>
      </w:r>
      <w:r w:rsidR="0045175D">
        <w:rPr>
          <w:rFonts w:ascii="Times New Roman" w:hAnsi="Times New Roman"/>
          <w:sz w:val="26"/>
          <w:szCs w:val="26"/>
        </w:rPr>
        <w:t>, если не представлено иных доказательств несобственноручности подписи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40480A" w:rsidRDefault="0040480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обоснования позиции ответчика отсутствием вексельной правосубъектности именно ответчик обязан представить доказательства такого отсутствия. Для ответчиков - граждан это может </w:t>
      </w:r>
      <w:r w:rsidR="0045175D">
        <w:rPr>
          <w:rFonts w:ascii="Times New Roman" w:hAnsi="Times New Roman"/>
          <w:sz w:val="26"/>
          <w:szCs w:val="26"/>
        </w:rPr>
        <w:t xml:space="preserve">быть </w:t>
      </w:r>
      <w:r>
        <w:rPr>
          <w:rFonts w:ascii="Times New Roman" w:hAnsi="Times New Roman"/>
          <w:sz w:val="26"/>
          <w:szCs w:val="26"/>
        </w:rPr>
        <w:t xml:space="preserve">только  факт недееспособности гражданина по состоянию здоровья, поскольку способность лично обязываться по векселям закреплена законом. Даже доказанный криминальный умысел подписанта не делает вексельную подпись гражданина недействительной.  </w:t>
      </w:r>
      <w:r w:rsidR="0045175D">
        <w:rPr>
          <w:rFonts w:ascii="Times New Roman" w:hAnsi="Times New Roman"/>
          <w:sz w:val="26"/>
          <w:szCs w:val="26"/>
        </w:rPr>
        <w:t>Добросовестные г</w:t>
      </w:r>
      <w:r>
        <w:rPr>
          <w:rFonts w:ascii="Times New Roman" w:hAnsi="Times New Roman"/>
          <w:sz w:val="26"/>
          <w:szCs w:val="26"/>
        </w:rPr>
        <w:t xml:space="preserve">раждане оказались </w:t>
      </w:r>
      <w:r w:rsidR="0045175D">
        <w:rPr>
          <w:rFonts w:ascii="Times New Roman" w:hAnsi="Times New Roman"/>
          <w:sz w:val="26"/>
          <w:szCs w:val="26"/>
        </w:rPr>
        <w:t>плохо</w:t>
      </w:r>
      <w:r>
        <w:rPr>
          <w:rFonts w:ascii="Times New Roman" w:hAnsi="Times New Roman"/>
          <w:sz w:val="26"/>
          <w:szCs w:val="26"/>
        </w:rPr>
        <w:t xml:space="preserve"> защищены от злоумышленного предъявления к ним векселей,  будто бы составленных (выданных) от их имени.  Организации также рискуют столкнуться с мошенническими атаками, построенными на злоупотреблении процессуальными преимуществами, свойственными вексельному обязательству.  При этом наделение лица, действующего по доверенности, полномочиями на выдачу векселей создает угрозу экономической безопасности организации даже после отзыва доверенности и увольнения представителя, поскольку нельзя исключить, что этот подписант впоследствии поставит свои подписи на вымышленных векселях, в которых будет указана дата составления, соответствующая периоду, когда он эти полномочия еще имел. Пока не доказано обратное, будет предполагаться, что подпись проставлена именно в дату составления</w:t>
      </w:r>
      <w:r w:rsidR="0045175D">
        <w:rPr>
          <w:rFonts w:ascii="Times New Roman" w:hAnsi="Times New Roman"/>
          <w:sz w:val="26"/>
          <w:szCs w:val="26"/>
        </w:rPr>
        <w:t>, указанную в</w:t>
      </w:r>
      <w:r>
        <w:rPr>
          <w:rFonts w:ascii="Times New Roman" w:hAnsi="Times New Roman"/>
          <w:sz w:val="26"/>
          <w:szCs w:val="26"/>
        </w:rPr>
        <w:t xml:space="preserve"> вексел</w:t>
      </w:r>
      <w:r w:rsidR="0045175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. Известно, что на современном уровне технического развития, возможности технической экспертизы, определяющей абсолютную давность изготовления текста (подписи), весьма ограничены. </w:t>
      </w:r>
    </w:p>
    <w:p w:rsidR="0040480A" w:rsidRDefault="0040480A">
      <w:pPr>
        <w:ind w:firstLine="708"/>
        <w:jc w:val="both"/>
        <w:rPr>
          <w:rStyle w:val="newst"/>
          <w:rFonts w:ascii="Times New Roman" w:hAnsi="Times New Roman"/>
          <w:sz w:val="26"/>
          <w:szCs w:val="26"/>
        </w:rPr>
      </w:pPr>
      <w:r>
        <w:rPr>
          <w:rStyle w:val="newst"/>
          <w:rFonts w:ascii="Times New Roman" w:hAnsi="Times New Roman"/>
          <w:sz w:val="26"/>
          <w:szCs w:val="26"/>
        </w:rPr>
        <w:t>Полагаем, что отсутствие институтов публичного удостоверения фактов выдачи векселей добросовестными участниками рынка является существенным обстоятельством в регулировании оборота публично-достоверных абстрактных документарных ценных бумаг, что должно быть учтено в правоприменительной практике  при распределении обязанностей доказывания в вексельном иске.</w:t>
      </w:r>
    </w:p>
    <w:p w:rsidR="0040480A" w:rsidRDefault="004048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ewst"/>
          <w:rFonts w:ascii="Times New Roman" w:hAnsi="Times New Roman"/>
          <w:sz w:val="26"/>
          <w:szCs w:val="26"/>
        </w:rPr>
        <w:t>При рассмотрении споров о взыскании по векселям необходимо исследовать все обстоятельства выдачи векселя, с тем чтобы исключить необоснованные предположения о наличии вексельных обязательств у лица, названного в векселе в качестве векселедателя, и тем самым оградить добросовестных участников рынка и кредитные организации от убытков, связанных с мошенническими действиями.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80A" w:rsidRDefault="004048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710"/>
        <w:gridCol w:w="4861"/>
      </w:tblGrid>
      <w:tr w:rsidR="0040480A">
        <w:tc>
          <w:tcPr>
            <w:tcW w:w="4710" w:type="dxa"/>
          </w:tcPr>
          <w:p w:rsidR="0040480A" w:rsidRDefault="0040480A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Президент Ассоциации </w:t>
            </w:r>
          </w:p>
          <w:p w:rsidR="0040480A" w:rsidRDefault="0040480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региональных банков России</w:t>
            </w:r>
          </w:p>
          <w:p w:rsidR="0040480A" w:rsidRDefault="0040480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0480A" w:rsidRDefault="0040480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</w:t>
            </w:r>
          </w:p>
          <w:p w:rsidR="0040480A" w:rsidRDefault="0040480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А.Г. Аксаков</w:t>
            </w:r>
          </w:p>
        </w:tc>
        <w:tc>
          <w:tcPr>
            <w:tcW w:w="4861" w:type="dxa"/>
          </w:tcPr>
          <w:p w:rsidR="0040480A" w:rsidRDefault="0040480A">
            <w:pPr>
              <w:spacing w:line="200" w:lineRule="atLeast"/>
              <w:ind w:left="-3" w:right="-3" w:firstLine="15"/>
              <w:jc w:val="both"/>
              <w:rPr>
                <w:rStyle w:val="newst"/>
                <w:rFonts w:ascii="Times New Roman" w:hAnsi="Times New Roman"/>
                <w:sz w:val="26"/>
                <w:szCs w:val="26"/>
              </w:rPr>
            </w:pPr>
            <w:r>
              <w:rPr>
                <w:rStyle w:val="newst"/>
                <w:rFonts w:ascii="Times New Roman" w:hAnsi="Times New Roman"/>
                <w:sz w:val="26"/>
                <w:szCs w:val="26"/>
              </w:rPr>
              <w:t>Председатель Совета</w:t>
            </w:r>
          </w:p>
          <w:p w:rsidR="0040480A" w:rsidRDefault="0040480A">
            <w:pPr>
              <w:snapToGrid w:val="0"/>
              <w:spacing w:line="200" w:lineRule="atLeast"/>
              <w:ind w:left="-3" w:right="-3" w:firstLine="15"/>
              <w:jc w:val="both"/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АУВЕР</w:t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40480A" w:rsidRDefault="0040480A">
            <w:pPr>
              <w:snapToGrid w:val="0"/>
              <w:spacing w:line="200" w:lineRule="atLeast"/>
              <w:ind w:left="-3" w:right="-3" w:firstLine="15"/>
              <w:jc w:val="both"/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</w:t>
            </w:r>
          </w:p>
          <w:p w:rsidR="0040480A" w:rsidRDefault="0040480A">
            <w:pPr>
              <w:snapToGrid w:val="0"/>
              <w:spacing w:line="200" w:lineRule="atLeast"/>
              <w:ind w:left="-3" w:right="-3" w:firstLine="15"/>
              <w:jc w:val="both"/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newst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А.В. Макеев  </w:t>
            </w:r>
          </w:p>
        </w:tc>
      </w:tr>
    </w:tbl>
    <w:p w:rsidR="0040480A" w:rsidRDefault="0040480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40480A" w:rsidRDefault="0040480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40480A" w:rsidRDefault="0040480A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40480A" w:rsidRDefault="0040480A">
      <w:pPr>
        <w:spacing w:line="360" w:lineRule="auto"/>
        <w:ind w:firstLine="708"/>
        <w:jc w:val="both"/>
        <w:rPr>
          <w:rFonts w:hint="default"/>
          <w:caps/>
          <w:u w:val="non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Исп: Виноградова А.В. т. 785-29-91</w:t>
      </w:r>
    </w:p>
    <w:sectPr w:rsidR="0040480A">
      <w:headerReference w:type="default" r:id="rId10"/>
      <w:footnotePr>
        <w:pos w:val="beneathText"/>
      </w:footnotePr>
      <w:pgSz w:w="11905" w:h="16837"/>
      <w:pgMar w:top="1134" w:right="850" w:bottom="90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9E" w:rsidRDefault="00290A9E">
      <w:r>
        <w:separator/>
      </w:r>
    </w:p>
  </w:endnote>
  <w:endnote w:type="continuationSeparator" w:id="1">
    <w:p w:rsidR="00290A9E" w:rsidRDefault="0029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9E" w:rsidRDefault="00290A9E">
      <w:r>
        <w:separator/>
      </w:r>
    </w:p>
  </w:footnote>
  <w:footnote w:type="continuationSeparator" w:id="1">
    <w:p w:rsidR="00290A9E" w:rsidRDefault="00290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0A" w:rsidRDefault="0040480A">
    <w:pPr>
      <w:pStyle w:val="ab"/>
      <w:jc w:val="right"/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2447DD">
      <w:rPr>
        <w:noProof/>
        <w:sz w:val="26"/>
        <w:szCs w:val="26"/>
      </w:rPr>
      <w:t>4</w:t>
    </w:r>
    <w:r>
      <w:rPr>
        <w:rFonts w:ascii="Times New Roman" w:hAnsi="Times New Roman"/>
        <w:sz w:val="26"/>
        <w:szCs w:val="26"/>
      </w:rPr>
      <w:fldChar w:fldCharType="end"/>
    </w:r>
  </w:p>
  <w:p w:rsidR="0040480A" w:rsidRDefault="004048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stylePaneFormatFilter w:val="3F01"/>
  <w:trackRevisions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A29"/>
    <w:rsid w:val="00206A29"/>
    <w:rsid w:val="002447DD"/>
    <w:rsid w:val="00290A9E"/>
    <w:rsid w:val="0040480A"/>
    <w:rsid w:val="0045175D"/>
    <w:rsid w:val="00A8163C"/>
    <w:rsid w:val="00AC5824"/>
    <w:rsid w:val="00CA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lin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Верхний колонтитул Знак"/>
    <w:basedOn w:val="1"/>
    <w:rPr>
      <w:rFonts w:cs="Calibri"/>
      <w:sz w:val="22"/>
      <w:szCs w:val="22"/>
    </w:rPr>
  </w:style>
  <w:style w:type="character" w:customStyle="1" w:styleId="a6">
    <w:name w:val="Нижний колонтитул Знак"/>
    <w:basedOn w:val="1"/>
    <w:rPr>
      <w:rFonts w:cs="Calibri"/>
      <w:sz w:val="22"/>
      <w:szCs w:val="22"/>
    </w:rPr>
  </w:style>
  <w:style w:type="character" w:customStyle="1" w:styleId="newst">
    <w:name w:val="newst"/>
    <w:basedOn w:val="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cs="Times New Roma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ody Text Indent"/>
    <w:basedOn w:val="a"/>
    <w:pPr>
      <w:ind w:left="70"/>
    </w:pPr>
    <w:rPr>
      <w:sz w:val="26"/>
      <w:szCs w:val="26"/>
    </w:rPr>
  </w:style>
  <w:style w:type="paragraph" w:styleId="af0">
    <w:name w:val="Balloon Text"/>
    <w:basedOn w:val="a"/>
    <w:semiHidden/>
    <w:rsid w:val="00206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2FD9-1805-4235-A137-BEF1ECE2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CBA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Елена</cp:lastModifiedBy>
  <cp:revision>2</cp:revision>
  <cp:lastPrinted>2012-02-14T12:08:00Z</cp:lastPrinted>
  <dcterms:created xsi:type="dcterms:W3CDTF">2012-02-15T12:05:00Z</dcterms:created>
  <dcterms:modified xsi:type="dcterms:W3CDTF">2012-02-15T12:05:00Z</dcterms:modified>
</cp:coreProperties>
</file>