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6F" w:rsidRPr="00BE3583" w:rsidRDefault="00766B6F" w:rsidP="00766B6F">
      <w:pPr>
        <w:jc w:val="center"/>
        <w:rPr>
          <w:rFonts w:ascii="Times New Roman" w:hAnsi="Times New Roman"/>
          <w:b/>
          <w:sz w:val="28"/>
          <w:szCs w:val="28"/>
          <w:u w:val="single"/>
        </w:rPr>
      </w:pPr>
      <w:r w:rsidRPr="00BE3583">
        <w:rPr>
          <w:rFonts w:ascii="Times New Roman" w:hAnsi="Times New Roman"/>
          <w:b/>
          <w:sz w:val="28"/>
          <w:szCs w:val="28"/>
          <w:u w:val="single"/>
        </w:rPr>
        <w:t>Предложения Ассоциации «Россия»</w:t>
      </w:r>
      <w:r w:rsidR="003F1DEF">
        <w:rPr>
          <w:rFonts w:ascii="Times New Roman" w:hAnsi="Times New Roman"/>
          <w:b/>
          <w:sz w:val="28"/>
          <w:szCs w:val="28"/>
          <w:u w:val="single"/>
        </w:rPr>
        <w:t xml:space="preserve"> по совершенствованию Положения</w:t>
      </w:r>
      <w:r w:rsidRPr="00BE3583">
        <w:rPr>
          <w:rFonts w:ascii="Times New Roman" w:hAnsi="Times New Roman"/>
          <w:b/>
          <w:sz w:val="28"/>
          <w:szCs w:val="28"/>
          <w:u w:val="single"/>
        </w:rPr>
        <w:t xml:space="preserve"> ЦБ РФ № 254-П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536"/>
        <w:gridCol w:w="6095"/>
        <w:gridCol w:w="4449"/>
      </w:tblGrid>
      <w:tr w:rsidR="00766B6F" w:rsidRPr="0069312B" w:rsidTr="0069312B">
        <w:trPr>
          <w:tblHeader/>
        </w:trPr>
        <w:tc>
          <w:tcPr>
            <w:tcW w:w="534" w:type="dxa"/>
          </w:tcPr>
          <w:p w:rsidR="00766B6F" w:rsidRPr="0069312B" w:rsidRDefault="00766B6F" w:rsidP="0069312B">
            <w:pPr>
              <w:pStyle w:val="1"/>
              <w:spacing w:before="0"/>
              <w:jc w:val="both"/>
              <w:rPr>
                <w:rFonts w:ascii="Times New Roman" w:hAnsi="Times New Roman"/>
                <w:color w:val="auto"/>
                <w:sz w:val="22"/>
                <w:szCs w:val="22"/>
              </w:rPr>
            </w:pPr>
            <w:r w:rsidRPr="0069312B">
              <w:rPr>
                <w:rFonts w:ascii="Times New Roman" w:hAnsi="Times New Roman"/>
                <w:color w:val="auto"/>
                <w:sz w:val="22"/>
                <w:szCs w:val="22"/>
              </w:rPr>
              <w:t xml:space="preserve">№ </w:t>
            </w:r>
            <w:proofErr w:type="gramStart"/>
            <w:r w:rsidRPr="0069312B">
              <w:rPr>
                <w:rFonts w:ascii="Times New Roman" w:hAnsi="Times New Roman"/>
                <w:color w:val="auto"/>
                <w:sz w:val="22"/>
                <w:szCs w:val="22"/>
              </w:rPr>
              <w:t>п</w:t>
            </w:r>
            <w:proofErr w:type="gramEnd"/>
            <w:r w:rsidRPr="0069312B">
              <w:rPr>
                <w:rFonts w:ascii="Times New Roman" w:hAnsi="Times New Roman"/>
                <w:color w:val="auto"/>
                <w:sz w:val="22"/>
                <w:szCs w:val="22"/>
              </w:rPr>
              <w:t>/п</w:t>
            </w:r>
          </w:p>
        </w:tc>
        <w:tc>
          <w:tcPr>
            <w:tcW w:w="4536" w:type="dxa"/>
          </w:tcPr>
          <w:p w:rsidR="00766B6F" w:rsidRPr="0069312B" w:rsidRDefault="00766B6F" w:rsidP="0069312B">
            <w:pPr>
              <w:pStyle w:val="1"/>
              <w:spacing w:before="0"/>
              <w:jc w:val="both"/>
              <w:rPr>
                <w:rFonts w:ascii="Times New Roman" w:hAnsi="Times New Roman"/>
                <w:color w:val="auto"/>
              </w:rPr>
            </w:pPr>
            <w:r w:rsidRPr="0069312B">
              <w:rPr>
                <w:rFonts w:ascii="Times New Roman" w:hAnsi="Times New Roman"/>
                <w:color w:val="auto"/>
              </w:rPr>
              <w:t>Действующая редакция</w:t>
            </w:r>
          </w:p>
        </w:tc>
        <w:tc>
          <w:tcPr>
            <w:tcW w:w="6095" w:type="dxa"/>
          </w:tcPr>
          <w:p w:rsidR="00766B6F" w:rsidRPr="0069312B" w:rsidRDefault="0024099A" w:rsidP="0069312B">
            <w:pPr>
              <w:pStyle w:val="1"/>
              <w:spacing w:before="0"/>
              <w:jc w:val="both"/>
              <w:rPr>
                <w:rFonts w:ascii="Times New Roman" w:hAnsi="Times New Roman"/>
                <w:color w:val="auto"/>
              </w:rPr>
            </w:pPr>
            <w:r w:rsidRPr="0069312B">
              <w:rPr>
                <w:rFonts w:ascii="Times New Roman" w:hAnsi="Times New Roman"/>
                <w:color w:val="auto"/>
              </w:rPr>
              <w:t>Предложения</w:t>
            </w:r>
          </w:p>
        </w:tc>
        <w:tc>
          <w:tcPr>
            <w:tcW w:w="4449" w:type="dxa"/>
          </w:tcPr>
          <w:p w:rsidR="00766B6F" w:rsidRPr="0069312B" w:rsidRDefault="0024099A" w:rsidP="0069312B">
            <w:pPr>
              <w:pStyle w:val="1"/>
              <w:spacing w:before="0"/>
              <w:jc w:val="both"/>
              <w:rPr>
                <w:rFonts w:ascii="Times New Roman" w:hAnsi="Times New Roman"/>
                <w:color w:val="auto"/>
              </w:rPr>
            </w:pPr>
            <w:r w:rsidRPr="0069312B">
              <w:rPr>
                <w:rFonts w:ascii="Times New Roman" w:hAnsi="Times New Roman"/>
                <w:color w:val="auto"/>
              </w:rPr>
              <w:t>Редакция с учетом предложений</w:t>
            </w:r>
          </w:p>
        </w:tc>
      </w:tr>
      <w:tr w:rsidR="0024099A" w:rsidRPr="0069312B" w:rsidTr="0069312B">
        <w:tc>
          <w:tcPr>
            <w:tcW w:w="534" w:type="dxa"/>
          </w:tcPr>
          <w:p w:rsidR="0024099A" w:rsidRPr="0069312B" w:rsidRDefault="0024099A" w:rsidP="0069312B">
            <w:pPr>
              <w:pStyle w:val="a4"/>
              <w:numPr>
                <w:ilvl w:val="0"/>
                <w:numId w:val="1"/>
              </w:numPr>
              <w:spacing w:after="0"/>
              <w:jc w:val="both"/>
              <w:rPr>
                <w:rFonts w:ascii="Times New Roman" w:hAnsi="Times New Roman"/>
                <w:sz w:val="24"/>
                <w:szCs w:val="24"/>
              </w:rPr>
            </w:pPr>
          </w:p>
        </w:tc>
        <w:tc>
          <w:tcPr>
            <w:tcW w:w="4536" w:type="dxa"/>
          </w:tcPr>
          <w:p w:rsidR="003730ED" w:rsidRPr="0069312B" w:rsidRDefault="003730ED" w:rsidP="0069312B">
            <w:pPr>
              <w:spacing w:after="0"/>
              <w:jc w:val="both"/>
              <w:rPr>
                <w:rFonts w:ascii="Times New Roman" w:hAnsi="Times New Roman"/>
                <w:sz w:val="24"/>
                <w:szCs w:val="24"/>
              </w:rPr>
            </w:pPr>
            <w:r w:rsidRPr="0069312B">
              <w:rPr>
                <w:rFonts w:ascii="Times New Roman" w:hAnsi="Times New Roman"/>
                <w:sz w:val="24"/>
                <w:szCs w:val="24"/>
              </w:rPr>
              <w:t xml:space="preserve">в Главу </w:t>
            </w:r>
            <w:r w:rsidR="001534BA" w:rsidRPr="0069312B">
              <w:rPr>
                <w:rFonts w:ascii="Times New Roman" w:hAnsi="Times New Roman"/>
                <w:sz w:val="24"/>
                <w:szCs w:val="24"/>
              </w:rPr>
              <w:t>6</w:t>
            </w:r>
          </w:p>
          <w:p w:rsidR="00E67DF9" w:rsidRPr="0069312B" w:rsidRDefault="003730ED" w:rsidP="0069312B">
            <w:pPr>
              <w:spacing w:after="0"/>
              <w:jc w:val="both"/>
              <w:rPr>
                <w:rFonts w:ascii="Times New Roman" w:hAnsi="Times New Roman"/>
                <w:sz w:val="24"/>
                <w:szCs w:val="24"/>
              </w:rPr>
            </w:pPr>
            <w:r w:rsidRPr="0069312B">
              <w:rPr>
                <w:rFonts w:ascii="Times New Roman" w:hAnsi="Times New Roman"/>
                <w:sz w:val="24"/>
                <w:szCs w:val="24"/>
              </w:rPr>
              <w:t>«Формирование резерва с учетом обеспечения по ссуде»</w:t>
            </w:r>
          </w:p>
        </w:tc>
        <w:tc>
          <w:tcPr>
            <w:tcW w:w="6095" w:type="dxa"/>
          </w:tcPr>
          <w:p w:rsidR="0024099A" w:rsidRPr="0069312B" w:rsidRDefault="009B739B" w:rsidP="0069312B">
            <w:pPr>
              <w:spacing w:after="0"/>
              <w:jc w:val="both"/>
              <w:rPr>
                <w:rFonts w:ascii="Times New Roman" w:hAnsi="Times New Roman"/>
                <w:sz w:val="24"/>
                <w:szCs w:val="24"/>
              </w:rPr>
            </w:pPr>
            <w:r w:rsidRPr="0069312B">
              <w:rPr>
                <w:rFonts w:ascii="Times New Roman" w:hAnsi="Times New Roman"/>
                <w:sz w:val="24"/>
                <w:szCs w:val="24"/>
              </w:rPr>
              <w:t xml:space="preserve">Внести поправки в Положение </w:t>
            </w:r>
            <w:r w:rsidRPr="0069312B">
              <w:rPr>
                <w:rFonts w:ascii="Times New Roman" w:hAnsi="Times New Roman"/>
                <w:sz w:val="24"/>
                <w:szCs w:val="24"/>
                <w:lang w:val="en-US"/>
              </w:rPr>
              <w:t>N</w:t>
            </w:r>
            <w:r w:rsidRPr="0069312B">
              <w:rPr>
                <w:rFonts w:ascii="Times New Roman" w:hAnsi="Times New Roman"/>
                <w:sz w:val="24"/>
                <w:szCs w:val="24"/>
              </w:rPr>
              <w:t xml:space="preserve">254-П от 26 марта 2004 г. «О порядке формирования кредитными организациями резервов на возможные потери по ссудам, по ссудной и приравненной к ней задолженности» в </w:t>
            </w:r>
            <w:r w:rsidRPr="0069312B">
              <w:rPr>
                <w:rFonts w:ascii="Times New Roman" w:hAnsi="Times New Roman"/>
                <w:b/>
                <w:sz w:val="24"/>
                <w:szCs w:val="24"/>
              </w:rPr>
              <w:t>части учета рейтингов национальных рейтинговых агентств наряду с рейтингами международных рейтинговых аген</w:t>
            </w:r>
            <w:proofErr w:type="gramStart"/>
            <w:r w:rsidRPr="0069312B">
              <w:rPr>
                <w:rFonts w:ascii="Times New Roman" w:hAnsi="Times New Roman"/>
                <w:b/>
                <w:sz w:val="24"/>
                <w:szCs w:val="24"/>
              </w:rPr>
              <w:t>тств пр</w:t>
            </w:r>
            <w:proofErr w:type="gramEnd"/>
            <w:r w:rsidRPr="0069312B">
              <w:rPr>
                <w:rFonts w:ascii="Times New Roman" w:hAnsi="Times New Roman"/>
                <w:b/>
                <w:sz w:val="24"/>
                <w:szCs w:val="24"/>
              </w:rPr>
              <w:t>и оценке качества обеспечения по ссудам.</w:t>
            </w:r>
            <w:r w:rsidRPr="0069312B">
              <w:rPr>
                <w:rFonts w:ascii="Times New Roman" w:hAnsi="Times New Roman"/>
                <w:sz w:val="24"/>
                <w:szCs w:val="24"/>
              </w:rPr>
              <w:t xml:space="preserve"> Это обеспечит упрощение процедур и минимизацию издержек при оценке кредитных рисков компаний малого и среднего бизнеса. Кроме того, это будет способствовать повышению привлекательности кредитования малых и средних предприятий для банков, а также развитию работы региональных гарантийных фондов поддержки малого и среднего предпринимательства.</w:t>
            </w:r>
          </w:p>
        </w:tc>
        <w:tc>
          <w:tcPr>
            <w:tcW w:w="4449" w:type="dxa"/>
          </w:tcPr>
          <w:p w:rsidR="0024099A" w:rsidRPr="0069312B" w:rsidRDefault="001534BA" w:rsidP="0069312B">
            <w:pPr>
              <w:spacing w:after="0"/>
              <w:jc w:val="both"/>
              <w:rPr>
                <w:rFonts w:ascii="Times New Roman" w:hAnsi="Times New Roman"/>
                <w:sz w:val="24"/>
                <w:szCs w:val="24"/>
              </w:rPr>
            </w:pPr>
            <w:r w:rsidRPr="0069312B">
              <w:rPr>
                <w:rFonts w:ascii="Times New Roman" w:hAnsi="Times New Roman"/>
                <w:sz w:val="24"/>
                <w:szCs w:val="24"/>
              </w:rPr>
              <w:t>Дополнить статьи Главы 6</w:t>
            </w:r>
            <w:r w:rsidR="00336F1B" w:rsidRPr="0069312B">
              <w:rPr>
                <w:rFonts w:ascii="Times New Roman" w:hAnsi="Times New Roman"/>
                <w:sz w:val="24"/>
                <w:szCs w:val="24"/>
              </w:rPr>
              <w:t xml:space="preserve"> </w:t>
            </w:r>
            <w:r w:rsidR="0094405C" w:rsidRPr="0069312B">
              <w:rPr>
                <w:rFonts w:ascii="Times New Roman" w:hAnsi="Times New Roman"/>
                <w:sz w:val="24"/>
                <w:szCs w:val="24"/>
              </w:rPr>
              <w:t xml:space="preserve">положениями об учете рейтингов российских </w:t>
            </w:r>
            <w:r w:rsidR="005331CE" w:rsidRPr="0069312B">
              <w:rPr>
                <w:rFonts w:ascii="Times New Roman" w:hAnsi="Times New Roman"/>
                <w:sz w:val="24"/>
                <w:szCs w:val="24"/>
              </w:rPr>
              <w:t>рейтинговых аген</w:t>
            </w:r>
            <w:proofErr w:type="gramStart"/>
            <w:r w:rsidR="005331CE" w:rsidRPr="0069312B">
              <w:rPr>
                <w:rFonts w:ascii="Times New Roman" w:hAnsi="Times New Roman"/>
                <w:sz w:val="24"/>
                <w:szCs w:val="24"/>
              </w:rPr>
              <w:t xml:space="preserve">тств </w:t>
            </w:r>
            <w:r w:rsidR="0094405C" w:rsidRPr="0069312B">
              <w:rPr>
                <w:rFonts w:ascii="Times New Roman" w:hAnsi="Times New Roman"/>
                <w:sz w:val="24"/>
                <w:szCs w:val="24"/>
              </w:rPr>
              <w:t>пр</w:t>
            </w:r>
            <w:proofErr w:type="gramEnd"/>
            <w:r w:rsidR="0094405C" w:rsidRPr="0069312B">
              <w:rPr>
                <w:rFonts w:ascii="Times New Roman" w:hAnsi="Times New Roman"/>
                <w:sz w:val="24"/>
                <w:szCs w:val="24"/>
              </w:rPr>
              <w:t xml:space="preserve">и оценке </w:t>
            </w:r>
            <w:r w:rsidR="005331CE" w:rsidRPr="0069312B">
              <w:rPr>
                <w:rFonts w:ascii="Times New Roman" w:hAnsi="Times New Roman"/>
                <w:sz w:val="24"/>
                <w:szCs w:val="24"/>
              </w:rPr>
              <w:t xml:space="preserve">финансового положения </w:t>
            </w:r>
            <w:r w:rsidR="0094405C" w:rsidRPr="0069312B">
              <w:rPr>
                <w:rFonts w:ascii="Times New Roman" w:hAnsi="Times New Roman"/>
                <w:sz w:val="24"/>
                <w:szCs w:val="24"/>
              </w:rPr>
              <w:t>заемщика</w:t>
            </w:r>
            <w:r w:rsidR="005E55B4" w:rsidRPr="0069312B">
              <w:rPr>
                <w:rFonts w:ascii="Times New Roman" w:hAnsi="Times New Roman"/>
                <w:sz w:val="24"/>
                <w:szCs w:val="24"/>
              </w:rPr>
              <w:t>.</w:t>
            </w:r>
          </w:p>
        </w:tc>
      </w:tr>
      <w:tr w:rsidR="0094405C" w:rsidRPr="0069312B" w:rsidTr="0069312B">
        <w:tc>
          <w:tcPr>
            <w:tcW w:w="534" w:type="dxa"/>
          </w:tcPr>
          <w:p w:rsidR="0094405C" w:rsidRPr="0069312B" w:rsidRDefault="0094405C" w:rsidP="0069312B">
            <w:pPr>
              <w:pStyle w:val="a4"/>
              <w:numPr>
                <w:ilvl w:val="0"/>
                <w:numId w:val="1"/>
              </w:numPr>
              <w:spacing w:after="0"/>
              <w:jc w:val="both"/>
              <w:rPr>
                <w:rFonts w:ascii="Times New Roman" w:hAnsi="Times New Roman"/>
                <w:sz w:val="24"/>
                <w:szCs w:val="24"/>
              </w:rPr>
            </w:pPr>
          </w:p>
        </w:tc>
        <w:tc>
          <w:tcPr>
            <w:tcW w:w="4536" w:type="dxa"/>
          </w:tcPr>
          <w:p w:rsidR="0045352F" w:rsidRPr="0069312B" w:rsidRDefault="003730ED" w:rsidP="0069312B">
            <w:pPr>
              <w:spacing w:after="0"/>
              <w:jc w:val="both"/>
              <w:rPr>
                <w:rFonts w:ascii="Times New Roman" w:hAnsi="Times New Roman"/>
                <w:sz w:val="24"/>
                <w:szCs w:val="24"/>
              </w:rPr>
            </w:pPr>
            <w:r w:rsidRPr="0069312B">
              <w:rPr>
                <w:rFonts w:ascii="Times New Roman" w:hAnsi="Times New Roman"/>
                <w:sz w:val="24"/>
                <w:szCs w:val="24"/>
              </w:rPr>
              <w:t>в</w:t>
            </w:r>
            <w:r w:rsidR="005F43C4" w:rsidRPr="0069312B">
              <w:rPr>
                <w:rFonts w:ascii="Times New Roman" w:hAnsi="Times New Roman"/>
                <w:sz w:val="24"/>
                <w:szCs w:val="24"/>
              </w:rPr>
              <w:t xml:space="preserve"> </w:t>
            </w:r>
            <w:r w:rsidRPr="0069312B">
              <w:rPr>
                <w:rFonts w:ascii="Times New Roman" w:hAnsi="Times New Roman"/>
                <w:sz w:val="24"/>
                <w:szCs w:val="24"/>
              </w:rPr>
              <w:t>Главу 8</w:t>
            </w:r>
          </w:p>
          <w:p w:rsidR="003730ED" w:rsidRPr="0069312B" w:rsidRDefault="0045352F" w:rsidP="0069312B">
            <w:pPr>
              <w:spacing w:after="0"/>
              <w:jc w:val="both"/>
              <w:rPr>
                <w:rFonts w:ascii="Times New Roman" w:hAnsi="Times New Roman"/>
                <w:sz w:val="24"/>
                <w:szCs w:val="24"/>
              </w:rPr>
            </w:pPr>
            <w:r w:rsidRPr="0069312B">
              <w:rPr>
                <w:rFonts w:ascii="Times New Roman" w:hAnsi="Times New Roman"/>
                <w:sz w:val="24"/>
                <w:szCs w:val="24"/>
              </w:rPr>
              <w:t>«Порядок списания кредитной организацией безнадежной задолженности по ссудам»,</w:t>
            </w:r>
          </w:p>
          <w:p w:rsidR="005F43C4" w:rsidRPr="0069312B" w:rsidRDefault="005F43C4" w:rsidP="0069312B">
            <w:pPr>
              <w:spacing w:after="0"/>
              <w:jc w:val="both"/>
              <w:rPr>
                <w:rFonts w:ascii="Times New Roman" w:hAnsi="Times New Roman"/>
                <w:sz w:val="24"/>
                <w:szCs w:val="24"/>
              </w:rPr>
            </w:pPr>
            <w:r w:rsidRPr="0069312B">
              <w:rPr>
                <w:rFonts w:ascii="Times New Roman" w:hAnsi="Times New Roman"/>
                <w:sz w:val="24"/>
                <w:szCs w:val="24"/>
              </w:rPr>
              <w:t>статью 8.3</w:t>
            </w:r>
          </w:p>
          <w:p w:rsidR="0045352F" w:rsidRPr="0069312B" w:rsidRDefault="0045352F" w:rsidP="0069312B">
            <w:pPr>
              <w:spacing w:after="0"/>
              <w:jc w:val="both"/>
              <w:rPr>
                <w:rFonts w:ascii="Times New Roman" w:hAnsi="Times New Roman"/>
                <w:sz w:val="24"/>
                <w:szCs w:val="24"/>
              </w:rPr>
            </w:pPr>
            <w:r w:rsidRPr="0069312B">
              <w:rPr>
                <w:rFonts w:ascii="Times New Roman" w:hAnsi="Times New Roman"/>
                <w:sz w:val="24"/>
                <w:szCs w:val="24"/>
              </w:rPr>
              <w:t>«8.3. ...</w:t>
            </w:r>
          </w:p>
          <w:p w:rsidR="005F43C4" w:rsidRPr="0069312B" w:rsidRDefault="0045352F" w:rsidP="0069312B">
            <w:pPr>
              <w:spacing w:after="0"/>
              <w:jc w:val="both"/>
              <w:rPr>
                <w:rFonts w:ascii="Times New Roman" w:hAnsi="Times New Roman"/>
                <w:sz w:val="24"/>
                <w:szCs w:val="24"/>
              </w:rPr>
            </w:pPr>
            <w:proofErr w:type="gramStart"/>
            <w:r w:rsidRPr="0069312B">
              <w:rPr>
                <w:rFonts w:ascii="Times New Roman" w:hAnsi="Times New Roman"/>
                <w:sz w:val="24"/>
                <w:szCs w:val="24"/>
              </w:rPr>
              <w:t xml:space="preserve">Безнадежная задолженность по ссудам размером менее </w:t>
            </w:r>
            <w:r w:rsidRPr="0069312B">
              <w:rPr>
                <w:rFonts w:ascii="Times New Roman" w:hAnsi="Times New Roman"/>
                <w:b/>
                <w:sz w:val="24"/>
                <w:szCs w:val="24"/>
              </w:rPr>
              <w:t>0,5</w:t>
            </w:r>
            <w:r w:rsidRPr="0069312B">
              <w:rPr>
                <w:rFonts w:ascii="Times New Roman" w:hAnsi="Times New Roman"/>
                <w:sz w:val="24"/>
                <w:szCs w:val="24"/>
              </w:rPr>
              <w:t xml:space="preserve"> процента от величины собственных средств (капитала) кредитной организации, по которой предприняты определенные действия по ее взысканию, но при этом обоснованно предполагаемые издержки </w:t>
            </w:r>
            <w:r w:rsidRPr="0069312B">
              <w:rPr>
                <w:rFonts w:ascii="Times New Roman" w:hAnsi="Times New Roman"/>
                <w:sz w:val="24"/>
                <w:szCs w:val="24"/>
              </w:rPr>
              <w:lastRenderedPageBreak/>
              <w:t>кредитной организации по проведению действий, обеспечивающих ее взыскание, превысят возможную к возврату сумму, может быть списана за счет сформированного резерва в отсутствие документов, указанных в пункте 8.4 настоящего Положения, при наличии</w:t>
            </w:r>
            <w:proofErr w:type="gramEnd"/>
            <w:r w:rsidRPr="0069312B">
              <w:rPr>
                <w:rFonts w:ascii="Times New Roman" w:hAnsi="Times New Roman"/>
                <w:sz w:val="24"/>
                <w:szCs w:val="24"/>
              </w:rPr>
              <w:t xml:space="preserve"> документально оформленного профессионального суждения кредитной организации, составленного в порядке, установленном ее внутренними документами».</w:t>
            </w:r>
          </w:p>
        </w:tc>
        <w:tc>
          <w:tcPr>
            <w:tcW w:w="6095" w:type="dxa"/>
          </w:tcPr>
          <w:p w:rsidR="005F43C4" w:rsidRPr="0069312B" w:rsidRDefault="005F43C4" w:rsidP="0069312B">
            <w:pPr>
              <w:spacing w:after="0"/>
              <w:jc w:val="both"/>
              <w:rPr>
                <w:rFonts w:ascii="Times New Roman" w:hAnsi="Times New Roman"/>
                <w:sz w:val="24"/>
                <w:szCs w:val="24"/>
              </w:rPr>
            </w:pPr>
            <w:r w:rsidRPr="0069312B">
              <w:rPr>
                <w:rFonts w:ascii="Times New Roman" w:hAnsi="Times New Roman"/>
                <w:sz w:val="24"/>
                <w:szCs w:val="24"/>
              </w:rPr>
              <w:lastRenderedPageBreak/>
              <w:tab/>
            </w:r>
            <w:proofErr w:type="gramStart"/>
            <w:r w:rsidRPr="0069312B">
              <w:rPr>
                <w:rFonts w:ascii="Times New Roman" w:hAnsi="Times New Roman"/>
                <w:sz w:val="24"/>
                <w:szCs w:val="24"/>
              </w:rPr>
              <w:t>Положение 254-П позволяет производить списание задолженности на основании оформленного профессионального суждения кредитной организации только по ссудам размером менее 0,5 процента от величины собственных средств (капитала) кредитной организации, по которой предприняты определенные действия по ее взысканию, но при этом обоснованно предполагаемые издержки кредитной организации по проведению действий, обеспечивающих ее взыскание, превысят возм</w:t>
            </w:r>
            <w:r w:rsidR="00370498" w:rsidRPr="0069312B">
              <w:rPr>
                <w:rFonts w:ascii="Times New Roman" w:hAnsi="Times New Roman"/>
                <w:sz w:val="24"/>
                <w:szCs w:val="24"/>
              </w:rPr>
              <w:t>ожную к возврату сумму (абз. 3 ст</w:t>
            </w:r>
            <w:r w:rsidRPr="0069312B">
              <w:rPr>
                <w:rFonts w:ascii="Times New Roman" w:hAnsi="Times New Roman"/>
                <w:sz w:val="24"/>
                <w:szCs w:val="24"/>
              </w:rPr>
              <w:t>.</w:t>
            </w:r>
            <w:r w:rsidR="00370498" w:rsidRPr="0069312B">
              <w:rPr>
                <w:rFonts w:ascii="Times New Roman" w:hAnsi="Times New Roman"/>
                <w:sz w:val="24"/>
                <w:szCs w:val="24"/>
              </w:rPr>
              <w:t xml:space="preserve"> </w:t>
            </w:r>
            <w:r w:rsidRPr="0069312B">
              <w:rPr>
                <w:rFonts w:ascii="Times New Roman" w:hAnsi="Times New Roman"/>
                <w:sz w:val="24"/>
                <w:szCs w:val="24"/>
              </w:rPr>
              <w:t>8.3.</w:t>
            </w:r>
            <w:proofErr w:type="gramEnd"/>
            <w:r w:rsidRPr="0069312B">
              <w:rPr>
                <w:rFonts w:ascii="Times New Roman" w:hAnsi="Times New Roman"/>
                <w:sz w:val="24"/>
                <w:szCs w:val="24"/>
              </w:rPr>
              <w:t xml:space="preserve"> </w:t>
            </w:r>
            <w:proofErr w:type="gramStart"/>
            <w:r w:rsidRPr="0069312B">
              <w:rPr>
                <w:rFonts w:ascii="Times New Roman" w:hAnsi="Times New Roman"/>
                <w:sz w:val="24"/>
                <w:szCs w:val="24"/>
              </w:rPr>
              <w:t xml:space="preserve">Положения 254-П). </w:t>
            </w:r>
            <w:proofErr w:type="gramEnd"/>
          </w:p>
          <w:p w:rsidR="0094405C" w:rsidRPr="0069312B" w:rsidRDefault="005F43C4" w:rsidP="0069312B">
            <w:pPr>
              <w:spacing w:after="0"/>
              <w:jc w:val="both"/>
              <w:rPr>
                <w:rFonts w:ascii="Times New Roman" w:hAnsi="Times New Roman"/>
                <w:sz w:val="24"/>
                <w:szCs w:val="24"/>
              </w:rPr>
            </w:pPr>
            <w:r w:rsidRPr="0069312B">
              <w:rPr>
                <w:rFonts w:ascii="Times New Roman" w:hAnsi="Times New Roman"/>
                <w:sz w:val="24"/>
                <w:szCs w:val="24"/>
              </w:rPr>
              <w:tab/>
              <w:t xml:space="preserve">Предлагаем предусмотреть в Положении 254-П возможность кредитным организациям списывать </w:t>
            </w:r>
            <w:r w:rsidRPr="0069312B">
              <w:rPr>
                <w:rFonts w:ascii="Times New Roman" w:hAnsi="Times New Roman"/>
                <w:sz w:val="24"/>
                <w:szCs w:val="24"/>
              </w:rPr>
              <w:lastRenderedPageBreak/>
              <w:t>безнадежную задолженность, размер которой составляет 1% и менее от величины собственных средств (капитала) кредитной организации, на основании оформленного профессионального суждения, с внесени</w:t>
            </w:r>
            <w:r w:rsidR="00370498" w:rsidRPr="0069312B">
              <w:rPr>
                <w:rFonts w:ascii="Times New Roman" w:hAnsi="Times New Roman"/>
                <w:sz w:val="24"/>
                <w:szCs w:val="24"/>
              </w:rPr>
              <w:t>ем соответствующих изменений в ст</w:t>
            </w:r>
            <w:r w:rsidRPr="0069312B">
              <w:rPr>
                <w:rFonts w:ascii="Times New Roman" w:hAnsi="Times New Roman"/>
                <w:sz w:val="24"/>
                <w:szCs w:val="24"/>
              </w:rPr>
              <w:t>.</w:t>
            </w:r>
            <w:r w:rsidR="00370498" w:rsidRPr="0069312B">
              <w:rPr>
                <w:rFonts w:ascii="Times New Roman" w:hAnsi="Times New Roman"/>
                <w:sz w:val="24"/>
                <w:szCs w:val="24"/>
              </w:rPr>
              <w:t xml:space="preserve"> </w:t>
            </w:r>
            <w:r w:rsidRPr="0069312B">
              <w:rPr>
                <w:rFonts w:ascii="Times New Roman" w:hAnsi="Times New Roman"/>
                <w:sz w:val="24"/>
                <w:szCs w:val="24"/>
              </w:rPr>
              <w:t>8.3. Положения 254-П.</w:t>
            </w:r>
          </w:p>
        </w:tc>
        <w:tc>
          <w:tcPr>
            <w:tcW w:w="4449" w:type="dxa"/>
          </w:tcPr>
          <w:p w:rsidR="0094405C" w:rsidRPr="0069312B" w:rsidRDefault="0045352F" w:rsidP="0069312B">
            <w:pPr>
              <w:spacing w:after="0"/>
              <w:jc w:val="both"/>
              <w:rPr>
                <w:rFonts w:ascii="Times New Roman" w:hAnsi="Times New Roman"/>
                <w:sz w:val="24"/>
                <w:szCs w:val="24"/>
              </w:rPr>
            </w:pPr>
            <w:proofErr w:type="gramStart"/>
            <w:r w:rsidRPr="0069312B">
              <w:rPr>
                <w:rFonts w:ascii="Times New Roman" w:hAnsi="Times New Roman"/>
                <w:sz w:val="24"/>
                <w:szCs w:val="24"/>
              </w:rPr>
              <w:lastRenderedPageBreak/>
              <w:t xml:space="preserve">Безнадежная задолженность по ссудам размером менее </w:t>
            </w:r>
            <w:r w:rsidRPr="0069312B">
              <w:rPr>
                <w:rFonts w:ascii="Times New Roman" w:hAnsi="Times New Roman"/>
                <w:b/>
                <w:sz w:val="24"/>
                <w:szCs w:val="24"/>
              </w:rPr>
              <w:t>1</w:t>
            </w:r>
            <w:r w:rsidRPr="0069312B">
              <w:rPr>
                <w:rFonts w:ascii="Times New Roman" w:hAnsi="Times New Roman"/>
                <w:sz w:val="24"/>
                <w:szCs w:val="24"/>
              </w:rPr>
              <w:t xml:space="preserve"> процента от величины собственных средств (капитала) кредитной организации, по которой предприняты определенные действия по ее взысканию, но при этом обоснованно предполагаемые издержки кредитной организации по проведению действий, обеспечивающих ее взыскание, превысят возможную к возврату сумму, может быть списана за счет сформированного резерва в отсутствие документов, указанных в пункте 8.4 </w:t>
            </w:r>
            <w:r w:rsidRPr="0069312B">
              <w:rPr>
                <w:rFonts w:ascii="Times New Roman" w:hAnsi="Times New Roman"/>
                <w:sz w:val="24"/>
                <w:szCs w:val="24"/>
              </w:rPr>
              <w:lastRenderedPageBreak/>
              <w:t>настоящего Положения, при наличии</w:t>
            </w:r>
            <w:proofErr w:type="gramEnd"/>
            <w:r w:rsidRPr="0069312B">
              <w:rPr>
                <w:rFonts w:ascii="Times New Roman" w:hAnsi="Times New Roman"/>
                <w:sz w:val="24"/>
                <w:szCs w:val="24"/>
              </w:rPr>
              <w:t xml:space="preserve"> документально оформленного профессионального суждения кредитной организации, составленного в порядке, установленном ее внутренними документами</w:t>
            </w:r>
          </w:p>
        </w:tc>
      </w:tr>
      <w:tr w:rsidR="00370498" w:rsidRPr="0069312B" w:rsidTr="0069312B">
        <w:tc>
          <w:tcPr>
            <w:tcW w:w="534" w:type="dxa"/>
          </w:tcPr>
          <w:p w:rsidR="00370498" w:rsidRPr="0069312B" w:rsidRDefault="00370498" w:rsidP="0069312B">
            <w:pPr>
              <w:pStyle w:val="a4"/>
              <w:numPr>
                <w:ilvl w:val="0"/>
                <w:numId w:val="1"/>
              </w:numPr>
              <w:spacing w:after="0"/>
              <w:jc w:val="both"/>
              <w:rPr>
                <w:rFonts w:ascii="Times New Roman" w:hAnsi="Times New Roman"/>
                <w:sz w:val="24"/>
                <w:szCs w:val="24"/>
              </w:rPr>
            </w:pPr>
          </w:p>
        </w:tc>
        <w:tc>
          <w:tcPr>
            <w:tcW w:w="4536" w:type="dxa"/>
          </w:tcPr>
          <w:p w:rsidR="00F446E3" w:rsidRPr="0069312B" w:rsidRDefault="00F446E3" w:rsidP="0069312B">
            <w:pPr>
              <w:spacing w:after="0"/>
              <w:jc w:val="both"/>
              <w:rPr>
                <w:rFonts w:ascii="Times New Roman" w:hAnsi="Times New Roman"/>
                <w:sz w:val="24"/>
                <w:szCs w:val="24"/>
              </w:rPr>
            </w:pPr>
            <w:r w:rsidRPr="0069312B">
              <w:rPr>
                <w:rFonts w:ascii="Times New Roman" w:hAnsi="Times New Roman"/>
                <w:sz w:val="24"/>
                <w:szCs w:val="24"/>
              </w:rPr>
              <w:t>в Главу 4</w:t>
            </w:r>
          </w:p>
          <w:p w:rsidR="00F446E3" w:rsidRPr="0069312B" w:rsidRDefault="00F446E3" w:rsidP="0069312B">
            <w:pPr>
              <w:spacing w:after="0"/>
              <w:jc w:val="both"/>
              <w:rPr>
                <w:rFonts w:ascii="Times New Roman" w:hAnsi="Times New Roman"/>
                <w:sz w:val="24"/>
                <w:szCs w:val="24"/>
              </w:rPr>
            </w:pPr>
            <w:r w:rsidRPr="0069312B">
              <w:rPr>
                <w:rFonts w:ascii="Times New Roman" w:hAnsi="Times New Roman"/>
                <w:sz w:val="24"/>
                <w:szCs w:val="24"/>
              </w:rPr>
              <w:t>статью 4.7</w:t>
            </w:r>
          </w:p>
          <w:p w:rsidR="00F446E3" w:rsidRPr="0069312B" w:rsidRDefault="00F446E3" w:rsidP="0069312B">
            <w:pPr>
              <w:spacing w:after="0"/>
              <w:jc w:val="both"/>
              <w:rPr>
                <w:rFonts w:ascii="Times New Roman" w:hAnsi="Times New Roman"/>
                <w:sz w:val="24"/>
                <w:szCs w:val="24"/>
              </w:rPr>
            </w:pPr>
            <w:r w:rsidRPr="0069312B">
              <w:rPr>
                <w:rFonts w:ascii="Times New Roman" w:hAnsi="Times New Roman"/>
                <w:sz w:val="24"/>
                <w:szCs w:val="24"/>
              </w:rPr>
              <w:t xml:space="preserve">«4.7. </w:t>
            </w:r>
            <w:proofErr w:type="gramStart"/>
            <w:r w:rsidRPr="0069312B">
              <w:rPr>
                <w:rFonts w:ascii="Times New Roman" w:hAnsi="Times New Roman"/>
                <w:sz w:val="24"/>
                <w:szCs w:val="24"/>
              </w:rPr>
              <w:t>В случае если по договору финансирования под уступку денежного требования, заключенного в соответствии с главой 43 Гражданского кодекса Российской Федерации (Собрание законодательства Российской Федерации, 1996, N 5, ст. 410), финансовый агент (кредитная организация) осуществляет финансирование клиента до уступки денежного требования, то оценка кредитного риска до уступки денежного требования осуществляется в отношении данного клиента.</w:t>
            </w:r>
            <w:proofErr w:type="gramEnd"/>
            <w:r w:rsidRPr="0069312B">
              <w:rPr>
                <w:rFonts w:ascii="Times New Roman" w:hAnsi="Times New Roman"/>
                <w:sz w:val="24"/>
                <w:szCs w:val="24"/>
              </w:rPr>
              <w:t xml:space="preserve"> После уступки денежного требования оценка кредитного риска осуществляется в отношении должника.</w:t>
            </w:r>
          </w:p>
          <w:p w:rsidR="00F446E3" w:rsidRPr="0069312B" w:rsidRDefault="00F446E3" w:rsidP="0069312B">
            <w:pPr>
              <w:spacing w:after="0"/>
              <w:jc w:val="both"/>
              <w:rPr>
                <w:rFonts w:ascii="Times New Roman" w:hAnsi="Times New Roman"/>
                <w:sz w:val="24"/>
                <w:szCs w:val="24"/>
              </w:rPr>
            </w:pPr>
            <w:r w:rsidRPr="0069312B">
              <w:rPr>
                <w:rFonts w:ascii="Times New Roman" w:hAnsi="Times New Roman"/>
                <w:sz w:val="24"/>
                <w:szCs w:val="24"/>
              </w:rPr>
              <w:t xml:space="preserve">Ответственность клиента за </w:t>
            </w:r>
            <w:r w:rsidRPr="0069312B">
              <w:rPr>
                <w:rFonts w:ascii="Times New Roman" w:hAnsi="Times New Roman"/>
                <w:sz w:val="24"/>
                <w:szCs w:val="24"/>
              </w:rPr>
              <w:lastRenderedPageBreak/>
              <w:t>неисполнение или ненадлежащее исполнение должником денежного требования, являющегося предметом уступки по договору финансирования под уступку денежного требования, заключенного в соответствии с главой 43 Гражданского кодекса Российской Федерации, в целях настоящего Положения рассматривается в качестве обеспечения в целях определения размера резерва с учетом положений главы 6 настоящего Положения. Данное обеспечение используется для определения размера резерва в порядке, аналогичном порядку определения резерва в случае, когда обеспечением являются поручительства, гарантия (банковская гарантия), авали и (или) акцепты векселей. Данное обеспечение не может быть отнесено к I категории качества».</w:t>
            </w:r>
          </w:p>
          <w:p w:rsidR="00370498" w:rsidRPr="0069312B" w:rsidRDefault="00370498" w:rsidP="0069312B">
            <w:pPr>
              <w:spacing w:after="0"/>
              <w:jc w:val="both"/>
              <w:rPr>
                <w:rFonts w:ascii="Times New Roman" w:hAnsi="Times New Roman"/>
                <w:sz w:val="24"/>
                <w:szCs w:val="24"/>
              </w:rPr>
            </w:pPr>
          </w:p>
        </w:tc>
        <w:tc>
          <w:tcPr>
            <w:tcW w:w="6095" w:type="dxa"/>
          </w:tcPr>
          <w:p w:rsidR="001D1B6E" w:rsidRPr="0069312B" w:rsidRDefault="001D1B6E"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lastRenderedPageBreak/>
              <w:tab/>
            </w:r>
            <w:r w:rsidR="006B4E92" w:rsidRPr="0069312B">
              <w:rPr>
                <w:rFonts w:ascii="Times New Roman" w:hAnsi="Times New Roman"/>
                <w:sz w:val="24"/>
                <w:szCs w:val="24"/>
              </w:rPr>
              <w:t xml:space="preserve">По факторингу. </w:t>
            </w:r>
            <w:proofErr w:type="gramStart"/>
            <w:r w:rsidRPr="0069312B">
              <w:rPr>
                <w:rFonts w:ascii="Times New Roman" w:hAnsi="Times New Roman"/>
                <w:sz w:val="24"/>
                <w:szCs w:val="24"/>
              </w:rPr>
              <w:t xml:space="preserve">Банки считают, что невозможность получения полноценной информации о финансовом состоянии дебиторов на ежеквартальной отчетности приведет к увеличению процента резервирования до 50-100%. Даже если на этапе одобрения сделки информация о дебиторе присутствует, нет никакой гарантии её ежеквартального обновления, поскольку отсутствует заинтересованность дебитора в её предоставлении, а также отсутствуют договорные отношения Банка и Дебитора. </w:t>
            </w:r>
            <w:proofErr w:type="gramEnd"/>
          </w:p>
          <w:p w:rsidR="00370498" w:rsidRPr="0069312B" w:rsidRDefault="006B4E92"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ab/>
            </w:r>
            <w:r w:rsidR="00A13C4E" w:rsidRPr="0069312B">
              <w:rPr>
                <w:rFonts w:ascii="Times New Roman" w:hAnsi="Times New Roman"/>
                <w:sz w:val="24"/>
                <w:szCs w:val="24"/>
              </w:rPr>
              <w:t xml:space="preserve">Действующая </w:t>
            </w:r>
            <w:r w:rsidR="001D1B6E" w:rsidRPr="0069312B">
              <w:rPr>
                <w:rFonts w:ascii="Times New Roman" w:hAnsi="Times New Roman"/>
                <w:sz w:val="24"/>
                <w:szCs w:val="24"/>
              </w:rPr>
              <w:t>редакция Положе</w:t>
            </w:r>
            <w:r w:rsidR="00A13C4E" w:rsidRPr="0069312B">
              <w:rPr>
                <w:rFonts w:ascii="Times New Roman" w:hAnsi="Times New Roman"/>
                <w:sz w:val="24"/>
                <w:szCs w:val="24"/>
              </w:rPr>
              <w:t>ния 254-П фактически ликвидировала</w:t>
            </w:r>
            <w:r w:rsidR="001D1B6E" w:rsidRPr="0069312B">
              <w:rPr>
                <w:rFonts w:ascii="Times New Roman" w:hAnsi="Times New Roman"/>
                <w:sz w:val="24"/>
                <w:szCs w:val="24"/>
              </w:rPr>
              <w:t xml:space="preserve"> «льготный период», приравнивает просрочку по торговому договору к просрочке по уплате банковской задолженности и требует соответствующих увеличений резервов</w:t>
            </w:r>
            <w:r w:rsidRPr="0069312B">
              <w:rPr>
                <w:rFonts w:ascii="Times New Roman" w:hAnsi="Times New Roman"/>
                <w:sz w:val="24"/>
                <w:szCs w:val="24"/>
              </w:rPr>
              <w:t>.</w:t>
            </w:r>
          </w:p>
          <w:p w:rsidR="006B4E92" w:rsidRPr="0069312B" w:rsidRDefault="006B4E92"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ab/>
              <w:t xml:space="preserve">Банки предлагают следующие изменения при оценке </w:t>
            </w:r>
            <w:r w:rsidR="00A13C4E" w:rsidRPr="0069312B">
              <w:rPr>
                <w:rFonts w:ascii="Times New Roman" w:hAnsi="Times New Roman"/>
                <w:sz w:val="24"/>
                <w:szCs w:val="24"/>
              </w:rPr>
              <w:t>Дебитора:</w:t>
            </w:r>
          </w:p>
          <w:p w:rsidR="00A13C4E" w:rsidRPr="0069312B" w:rsidRDefault="00A13C4E"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 xml:space="preserve">1. если Поставщиком по факторинговой сделке с регрессом является компания с приемлемым для Банка </w:t>
            </w:r>
            <w:r w:rsidRPr="0069312B">
              <w:rPr>
                <w:rFonts w:ascii="Times New Roman" w:hAnsi="Times New Roman"/>
                <w:sz w:val="24"/>
                <w:szCs w:val="24"/>
              </w:rPr>
              <w:lastRenderedPageBreak/>
              <w:t xml:space="preserve">финансовым положением, кредитный риск относится полностью на Поставщика (Клиента Банка). Дополнительно Клиент должен иметь хорошую историю отношений с Дебиторами. </w:t>
            </w:r>
            <w:proofErr w:type="gramStart"/>
            <w:r w:rsidRPr="0069312B">
              <w:rPr>
                <w:rFonts w:ascii="Times New Roman" w:hAnsi="Times New Roman"/>
                <w:sz w:val="24"/>
                <w:szCs w:val="24"/>
              </w:rPr>
              <w:t>В этом случае первоначальная и последующая периодическая оценка кредитного риска по сделке проводится на основе оценки кредитного риска Клиента, а анализ финансового состояния Дебиторов осуществляется в ограниченном объеме на этапе одобрения сделки.</w:t>
            </w:r>
            <w:proofErr w:type="gramEnd"/>
            <w:r w:rsidRPr="0069312B">
              <w:rPr>
                <w:rFonts w:ascii="Times New Roman" w:hAnsi="Times New Roman"/>
                <w:sz w:val="24"/>
                <w:szCs w:val="24"/>
              </w:rPr>
              <w:t xml:space="preserve"> Резерв создается в соответствии с оценкой финансового положения и качества обслуживания долга Клиента по всем сделкам факторинга с Дебиторами.</w:t>
            </w:r>
          </w:p>
          <w:p w:rsidR="00A13C4E" w:rsidRPr="0069312B" w:rsidRDefault="00A13C4E"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 xml:space="preserve">2. Отдельному рассмотрению подлежат случаи, когда Поставщиком по сделке факторинга является компания со значительно более слабым финансовым положением, по сравнению с финансовым положением Дебиторов, в частности, когда Дебиторами являются крупные торговые предприятия (Сети), производственные и/или другие Компании. При этом Банк имеет прямые договорные отношения с Дебитором. В данном </w:t>
            </w:r>
            <w:proofErr w:type="gramStart"/>
            <w:r w:rsidRPr="0069312B">
              <w:rPr>
                <w:rFonts w:ascii="Times New Roman" w:hAnsi="Times New Roman"/>
                <w:sz w:val="24"/>
                <w:szCs w:val="24"/>
              </w:rPr>
              <w:t>случае</w:t>
            </w:r>
            <w:proofErr w:type="gramEnd"/>
            <w:r w:rsidRPr="0069312B">
              <w:rPr>
                <w:rFonts w:ascii="Times New Roman" w:hAnsi="Times New Roman"/>
                <w:sz w:val="24"/>
                <w:szCs w:val="24"/>
              </w:rPr>
              <w:t xml:space="preserve"> кредитный риск можно отнести полностью на Дебитора (даже в случае наличия права регресса). А резерв создавать в соответствии с оценкой Дебитора по всем сделкам факторинга Дебитора с Поставщиками. Безусловным требованием является периодическая оценка и мониторинг финансового положения Дебитора</w:t>
            </w:r>
            <w:r w:rsidR="00A34BD9" w:rsidRPr="0069312B">
              <w:rPr>
                <w:rFonts w:ascii="Times New Roman" w:hAnsi="Times New Roman"/>
                <w:sz w:val="24"/>
                <w:szCs w:val="24"/>
              </w:rPr>
              <w:t>.</w:t>
            </w:r>
          </w:p>
          <w:p w:rsidR="00A34BD9" w:rsidRPr="0069312B" w:rsidRDefault="00A34BD9"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ab/>
              <w:t xml:space="preserve">Банки предлагают рассмотреть возможность внесения изменений в пункт </w:t>
            </w:r>
            <w:r w:rsidRPr="0069312B">
              <w:rPr>
                <w:rFonts w:ascii="Times New Roman" w:hAnsi="Times New Roman"/>
                <w:b/>
                <w:sz w:val="24"/>
                <w:szCs w:val="24"/>
              </w:rPr>
              <w:t xml:space="preserve">4.7 </w:t>
            </w:r>
            <w:r w:rsidRPr="0069312B">
              <w:rPr>
                <w:rFonts w:ascii="Times New Roman" w:hAnsi="Times New Roman"/>
                <w:sz w:val="24"/>
                <w:szCs w:val="24"/>
              </w:rPr>
              <w:t>Положения 254-П касательно оценки рисков при обеспечительном конфиденциальном факторинге.</w:t>
            </w:r>
          </w:p>
          <w:p w:rsidR="00A34BD9" w:rsidRPr="0069312B" w:rsidRDefault="00A34BD9"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 xml:space="preserve">При уступке прав денежного требования без </w:t>
            </w:r>
            <w:r w:rsidRPr="0069312B">
              <w:rPr>
                <w:rFonts w:ascii="Times New Roman" w:hAnsi="Times New Roman"/>
                <w:sz w:val="24"/>
                <w:szCs w:val="24"/>
              </w:rPr>
              <w:lastRenderedPageBreak/>
              <w:t xml:space="preserve">уведомления дебиторов о такой уступке, при которой Клиент несет обязательство в полном объеме за неисполнение или ненадлежащее исполнение дебиторами уступленного Клиентом денежного требования (обеспечительный конфиденциальный факторинг), банк считают целесообразным производить оценку риска в отношении Клиента, учитывая, что: </w:t>
            </w:r>
          </w:p>
          <w:p w:rsidR="00A34BD9" w:rsidRPr="0069312B" w:rsidRDefault="00A34BD9"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1) дебиторы на момент уступки не уведомлены о такой уступке;</w:t>
            </w:r>
          </w:p>
          <w:p w:rsidR="00A34BD9" w:rsidRPr="0069312B" w:rsidRDefault="00A34BD9"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2) на момент уступки у Банка не имеется достоверной и полной информации о финансовом состоянии дебиторов,  поскольку решение о переуступке принимается исключительно исходя из наличия хозяйственных связей дебиторов с Клиентом,  и основываясь на оценке финансового состоянии Клиента;</w:t>
            </w:r>
          </w:p>
          <w:p w:rsidR="00A34BD9" w:rsidRPr="0069312B" w:rsidRDefault="00A34BD9"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3) факторинг носит  обеспечительный характер.</w:t>
            </w:r>
          </w:p>
        </w:tc>
        <w:tc>
          <w:tcPr>
            <w:tcW w:w="4449" w:type="dxa"/>
          </w:tcPr>
          <w:p w:rsidR="00370498" w:rsidRPr="0069312B" w:rsidRDefault="00370498" w:rsidP="0069312B">
            <w:pPr>
              <w:spacing w:after="0"/>
              <w:jc w:val="both"/>
              <w:rPr>
                <w:rFonts w:ascii="Times New Roman" w:hAnsi="Times New Roman"/>
                <w:sz w:val="24"/>
                <w:szCs w:val="24"/>
              </w:rPr>
            </w:pPr>
          </w:p>
        </w:tc>
      </w:tr>
      <w:tr w:rsidR="00391C82" w:rsidRPr="0069312B" w:rsidTr="0069312B">
        <w:tc>
          <w:tcPr>
            <w:tcW w:w="534" w:type="dxa"/>
          </w:tcPr>
          <w:p w:rsidR="00391C82" w:rsidRPr="0069312B" w:rsidRDefault="00391C82" w:rsidP="0069312B">
            <w:pPr>
              <w:pStyle w:val="a4"/>
              <w:numPr>
                <w:ilvl w:val="0"/>
                <w:numId w:val="1"/>
              </w:numPr>
              <w:spacing w:after="0"/>
              <w:jc w:val="both"/>
              <w:rPr>
                <w:rFonts w:ascii="Times New Roman" w:hAnsi="Times New Roman"/>
                <w:sz w:val="24"/>
                <w:szCs w:val="24"/>
              </w:rPr>
            </w:pPr>
          </w:p>
        </w:tc>
        <w:tc>
          <w:tcPr>
            <w:tcW w:w="4536" w:type="dxa"/>
          </w:tcPr>
          <w:p w:rsidR="00391C82" w:rsidRPr="0069312B" w:rsidRDefault="00E5235D" w:rsidP="0069312B">
            <w:pPr>
              <w:spacing w:after="0"/>
              <w:jc w:val="both"/>
              <w:rPr>
                <w:rFonts w:ascii="Times New Roman" w:hAnsi="Times New Roman"/>
                <w:sz w:val="24"/>
                <w:szCs w:val="24"/>
              </w:rPr>
            </w:pPr>
            <w:r w:rsidRPr="0069312B">
              <w:rPr>
                <w:rFonts w:ascii="Times New Roman" w:hAnsi="Times New Roman"/>
                <w:sz w:val="24"/>
                <w:szCs w:val="24"/>
              </w:rPr>
              <w:t>в Главу 5</w:t>
            </w:r>
            <w:r w:rsidR="003F72FA" w:rsidRPr="0069312B">
              <w:rPr>
                <w:rFonts w:ascii="Times New Roman" w:hAnsi="Times New Roman"/>
                <w:sz w:val="24"/>
                <w:szCs w:val="24"/>
              </w:rPr>
              <w:t xml:space="preserve"> «Оценка кредитных рисков в целях формирования резерва по портфелю однородных ссуд»</w:t>
            </w:r>
          </w:p>
        </w:tc>
        <w:tc>
          <w:tcPr>
            <w:tcW w:w="6095" w:type="dxa"/>
          </w:tcPr>
          <w:p w:rsidR="00CB6C4B" w:rsidRPr="0069312B" w:rsidRDefault="00CB6C4B"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ab/>
            </w:r>
            <w:r w:rsidR="00066ED3" w:rsidRPr="0069312B">
              <w:rPr>
                <w:rFonts w:ascii="Times New Roman" w:hAnsi="Times New Roman"/>
                <w:sz w:val="24"/>
                <w:szCs w:val="24"/>
              </w:rPr>
              <w:t>О</w:t>
            </w:r>
            <w:r w:rsidRPr="0069312B">
              <w:rPr>
                <w:rFonts w:ascii="Times New Roman" w:hAnsi="Times New Roman"/>
                <w:sz w:val="24"/>
                <w:szCs w:val="24"/>
              </w:rPr>
              <w:t>тносительно применения Положений № 254-П и № 302-П в части формирования резервов на возможные потери по ссудам при формировании кредитных ЗПИФов, аккумулирующих просроченную кредитную задолженность по выданным банками кредитам.</w:t>
            </w:r>
          </w:p>
          <w:p w:rsidR="00391C82" w:rsidRPr="0069312B" w:rsidRDefault="00CB6C4B"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ab/>
            </w:r>
            <w:r w:rsidR="00D4495F" w:rsidRPr="0069312B">
              <w:rPr>
                <w:rFonts w:ascii="Times New Roman" w:hAnsi="Times New Roman"/>
                <w:sz w:val="24"/>
                <w:szCs w:val="24"/>
              </w:rPr>
              <w:t>Предлагается рассмотреть вопрос локализации</w:t>
            </w:r>
            <w:r w:rsidR="00E62FEC" w:rsidRPr="0069312B">
              <w:rPr>
                <w:rFonts w:ascii="Times New Roman" w:hAnsi="Times New Roman"/>
                <w:sz w:val="24"/>
                <w:szCs w:val="24"/>
              </w:rPr>
              <w:t xml:space="preserve"> проблемной задолженности посредством </w:t>
            </w:r>
            <w:r w:rsidR="00066ED3" w:rsidRPr="0069312B">
              <w:rPr>
                <w:rFonts w:ascii="Times New Roman" w:hAnsi="Times New Roman"/>
                <w:sz w:val="24"/>
                <w:szCs w:val="24"/>
              </w:rPr>
              <w:t>формирования кредитных ЗПИФов</w:t>
            </w:r>
            <w:r w:rsidR="00D4495F" w:rsidRPr="0069312B">
              <w:rPr>
                <w:rFonts w:ascii="Times New Roman" w:hAnsi="Times New Roman"/>
                <w:sz w:val="24"/>
                <w:szCs w:val="24"/>
              </w:rPr>
              <w:t>, что видится</w:t>
            </w:r>
            <w:r w:rsidR="00066ED3" w:rsidRPr="0069312B">
              <w:rPr>
                <w:rFonts w:ascii="Times New Roman" w:hAnsi="Times New Roman"/>
                <w:sz w:val="24"/>
                <w:szCs w:val="24"/>
              </w:rPr>
              <w:t xml:space="preserve"> весьма прозрачной схемой</w:t>
            </w:r>
            <w:r w:rsidR="00E82FE9" w:rsidRPr="0069312B">
              <w:rPr>
                <w:rFonts w:ascii="Times New Roman" w:hAnsi="Times New Roman"/>
                <w:sz w:val="24"/>
                <w:szCs w:val="24"/>
              </w:rPr>
              <w:t>, которая способна сущест</w:t>
            </w:r>
            <w:r w:rsidR="00D4495F" w:rsidRPr="0069312B">
              <w:rPr>
                <w:rFonts w:ascii="Times New Roman" w:hAnsi="Times New Roman"/>
                <w:sz w:val="24"/>
                <w:szCs w:val="24"/>
              </w:rPr>
              <w:t>венно повысить транспарентность</w:t>
            </w:r>
            <w:r w:rsidR="00E82FE9" w:rsidRPr="0069312B">
              <w:rPr>
                <w:rFonts w:ascii="Times New Roman" w:hAnsi="Times New Roman"/>
                <w:sz w:val="24"/>
                <w:szCs w:val="24"/>
              </w:rPr>
              <w:t xml:space="preserve"> кредитных организаций</w:t>
            </w:r>
            <w:proofErr w:type="gramStart"/>
            <w:r w:rsidR="00E82FE9" w:rsidRPr="0069312B">
              <w:rPr>
                <w:rFonts w:ascii="Times New Roman" w:hAnsi="Times New Roman"/>
                <w:sz w:val="24"/>
                <w:szCs w:val="24"/>
              </w:rPr>
              <w:t xml:space="preserve"> ,</w:t>
            </w:r>
            <w:proofErr w:type="gramEnd"/>
            <w:r w:rsidR="00E82FE9" w:rsidRPr="0069312B">
              <w:rPr>
                <w:rFonts w:ascii="Times New Roman" w:hAnsi="Times New Roman"/>
                <w:sz w:val="24"/>
                <w:szCs w:val="24"/>
              </w:rPr>
              <w:t xml:space="preserve"> что могло бы быть учтено при определении размера резервов на возможные потери по ссудам, формируемых против паев таких ЗПИФов, учитываемых на банковских балансах.</w:t>
            </w:r>
            <w:r w:rsidR="00D4495F" w:rsidRPr="0069312B">
              <w:rPr>
                <w:rFonts w:ascii="Times New Roman" w:hAnsi="Times New Roman"/>
                <w:sz w:val="24"/>
                <w:szCs w:val="24"/>
              </w:rPr>
              <w:t xml:space="preserve"> </w:t>
            </w:r>
            <w:proofErr w:type="gramStart"/>
            <w:r w:rsidR="00D4495F" w:rsidRPr="0069312B">
              <w:rPr>
                <w:rFonts w:ascii="Times New Roman" w:hAnsi="Times New Roman"/>
                <w:sz w:val="24"/>
                <w:szCs w:val="24"/>
              </w:rPr>
              <w:t>Такая схема</w:t>
            </w:r>
            <w:r w:rsidR="00066ED3" w:rsidRPr="0069312B">
              <w:rPr>
                <w:rFonts w:ascii="Times New Roman" w:hAnsi="Times New Roman"/>
                <w:sz w:val="24"/>
                <w:szCs w:val="24"/>
              </w:rPr>
              <w:t xml:space="preserve"> </w:t>
            </w:r>
            <w:r w:rsidR="00E62FEC" w:rsidRPr="0069312B">
              <w:rPr>
                <w:rFonts w:ascii="Times New Roman" w:hAnsi="Times New Roman"/>
                <w:sz w:val="24"/>
                <w:szCs w:val="24"/>
              </w:rPr>
              <w:t>м</w:t>
            </w:r>
            <w:r w:rsidRPr="0069312B">
              <w:rPr>
                <w:rFonts w:ascii="Times New Roman" w:hAnsi="Times New Roman"/>
                <w:sz w:val="24"/>
                <w:szCs w:val="24"/>
              </w:rPr>
              <w:t xml:space="preserve">огла бы позволить отложенное формирование резервов под паи кредитных ЗПИФов с </w:t>
            </w:r>
            <w:r w:rsidRPr="0069312B">
              <w:rPr>
                <w:rFonts w:ascii="Times New Roman" w:hAnsi="Times New Roman"/>
                <w:sz w:val="24"/>
                <w:szCs w:val="24"/>
              </w:rPr>
              <w:lastRenderedPageBreak/>
              <w:t>учетом оценки стоимости чистых активов, закрепленной в Приказе ФСФР №05-21/пз-н от 15.06.2005 г. «Об утверждении Положения о порядке и сроках определения стоимости чистых активов акционерных инвестиционных фондов, стоимости чистых активов паевых инвестиционных фондов, расчетной стоимости инвестиционных паев паевых инвестиционных фондов, а также стоимости чистых активов акционерных</w:t>
            </w:r>
            <w:proofErr w:type="gramEnd"/>
            <w:r w:rsidRPr="0069312B">
              <w:rPr>
                <w:rFonts w:ascii="Times New Roman" w:hAnsi="Times New Roman"/>
                <w:sz w:val="24"/>
                <w:szCs w:val="24"/>
              </w:rPr>
              <w:t xml:space="preserve"> инвестиционных фондов в расчете на одну акцию».</w:t>
            </w:r>
          </w:p>
        </w:tc>
        <w:tc>
          <w:tcPr>
            <w:tcW w:w="4449" w:type="dxa"/>
          </w:tcPr>
          <w:p w:rsidR="00391C82" w:rsidRPr="0069312B" w:rsidRDefault="00391C82" w:rsidP="0069312B">
            <w:pPr>
              <w:spacing w:after="0"/>
              <w:jc w:val="both"/>
              <w:rPr>
                <w:rFonts w:ascii="Times New Roman" w:hAnsi="Times New Roman"/>
                <w:sz w:val="24"/>
                <w:szCs w:val="24"/>
              </w:rPr>
            </w:pPr>
          </w:p>
        </w:tc>
      </w:tr>
      <w:tr w:rsidR="00C160DC" w:rsidRPr="0069312B" w:rsidTr="0069312B">
        <w:tc>
          <w:tcPr>
            <w:tcW w:w="534" w:type="dxa"/>
          </w:tcPr>
          <w:p w:rsidR="00C160DC" w:rsidRPr="0069312B" w:rsidRDefault="00C160DC" w:rsidP="0069312B">
            <w:pPr>
              <w:pStyle w:val="a4"/>
              <w:numPr>
                <w:ilvl w:val="0"/>
                <w:numId w:val="1"/>
              </w:numPr>
              <w:spacing w:after="0"/>
              <w:jc w:val="both"/>
              <w:rPr>
                <w:rFonts w:ascii="Times New Roman" w:hAnsi="Times New Roman"/>
                <w:sz w:val="24"/>
                <w:szCs w:val="24"/>
              </w:rPr>
            </w:pPr>
          </w:p>
        </w:tc>
        <w:tc>
          <w:tcPr>
            <w:tcW w:w="4536" w:type="dxa"/>
          </w:tcPr>
          <w:p w:rsidR="00D91139" w:rsidRPr="0069312B" w:rsidRDefault="008C0138" w:rsidP="0069312B">
            <w:pPr>
              <w:spacing w:after="0"/>
              <w:jc w:val="both"/>
              <w:rPr>
                <w:rFonts w:ascii="Times New Roman" w:hAnsi="Times New Roman"/>
                <w:sz w:val="24"/>
                <w:szCs w:val="24"/>
              </w:rPr>
            </w:pPr>
            <w:r w:rsidRPr="0069312B">
              <w:rPr>
                <w:rFonts w:ascii="Times New Roman" w:hAnsi="Times New Roman"/>
                <w:sz w:val="24"/>
                <w:szCs w:val="24"/>
              </w:rPr>
              <w:t>в Главу 2</w:t>
            </w:r>
            <w:r w:rsidR="00D91139" w:rsidRPr="0069312B">
              <w:rPr>
                <w:rFonts w:ascii="Times New Roman" w:hAnsi="Times New Roman"/>
                <w:sz w:val="24"/>
                <w:szCs w:val="24"/>
              </w:rPr>
              <w:t xml:space="preserve"> «Общие требования по оценке кредитных рисков </w:t>
            </w:r>
          </w:p>
        </w:tc>
        <w:tc>
          <w:tcPr>
            <w:tcW w:w="6095" w:type="dxa"/>
          </w:tcPr>
          <w:p w:rsidR="00085418" w:rsidRPr="0069312B" w:rsidRDefault="00085418"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ab/>
              <w:t xml:space="preserve">В отношении требований к </w:t>
            </w:r>
            <w:proofErr w:type="gramStart"/>
            <w:r w:rsidRPr="0069312B">
              <w:rPr>
                <w:rFonts w:ascii="Times New Roman" w:hAnsi="Times New Roman"/>
                <w:sz w:val="24"/>
                <w:szCs w:val="24"/>
              </w:rPr>
              <w:t>залогового</w:t>
            </w:r>
            <w:proofErr w:type="gramEnd"/>
            <w:r w:rsidRPr="0069312B">
              <w:rPr>
                <w:rFonts w:ascii="Times New Roman" w:hAnsi="Times New Roman"/>
                <w:sz w:val="24"/>
                <w:szCs w:val="24"/>
              </w:rPr>
              <w:t xml:space="preserve"> обеспечению</w:t>
            </w:r>
            <w:r w:rsidR="008C0138" w:rsidRPr="0069312B">
              <w:rPr>
                <w:rFonts w:ascii="Times New Roman" w:hAnsi="Times New Roman"/>
                <w:sz w:val="24"/>
                <w:szCs w:val="24"/>
              </w:rPr>
              <w:t xml:space="preserve"> по 254-П.</w:t>
            </w:r>
          </w:p>
          <w:p w:rsidR="00C160DC" w:rsidRPr="0069312B" w:rsidRDefault="008C0138"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ab/>
              <w:t xml:space="preserve">В </w:t>
            </w:r>
            <w:proofErr w:type="gramStart"/>
            <w:r w:rsidRPr="0069312B">
              <w:rPr>
                <w:rFonts w:ascii="Times New Roman" w:hAnsi="Times New Roman"/>
                <w:sz w:val="24"/>
                <w:szCs w:val="24"/>
              </w:rPr>
              <w:t>отношении</w:t>
            </w:r>
            <w:proofErr w:type="gramEnd"/>
            <w:r w:rsidRPr="0069312B">
              <w:rPr>
                <w:rFonts w:ascii="Times New Roman" w:hAnsi="Times New Roman"/>
                <w:sz w:val="24"/>
                <w:szCs w:val="24"/>
              </w:rPr>
              <w:t xml:space="preserve"> залогового обеспечения необходимо установить конкретные </w:t>
            </w:r>
            <w:r w:rsidR="008E6D07" w:rsidRPr="0069312B">
              <w:rPr>
                <w:rFonts w:ascii="Times New Roman" w:hAnsi="Times New Roman"/>
                <w:sz w:val="24"/>
                <w:szCs w:val="24"/>
              </w:rPr>
              <w:t xml:space="preserve">требования </w:t>
            </w:r>
            <w:r w:rsidR="00443A2D" w:rsidRPr="0069312B">
              <w:rPr>
                <w:rFonts w:ascii="Times New Roman" w:hAnsi="Times New Roman"/>
                <w:sz w:val="24"/>
                <w:szCs w:val="24"/>
              </w:rPr>
              <w:t>(</w:t>
            </w:r>
            <w:r w:rsidR="008E6D07" w:rsidRPr="0069312B">
              <w:rPr>
                <w:rFonts w:ascii="Times New Roman" w:hAnsi="Times New Roman"/>
                <w:sz w:val="24"/>
                <w:szCs w:val="24"/>
              </w:rPr>
              <w:t xml:space="preserve">по </w:t>
            </w:r>
            <w:r w:rsidR="00443A2D" w:rsidRPr="0069312B">
              <w:rPr>
                <w:rFonts w:ascii="Times New Roman" w:hAnsi="Times New Roman"/>
                <w:sz w:val="24"/>
                <w:szCs w:val="24"/>
              </w:rPr>
              <w:t>аналогии с</w:t>
            </w:r>
            <w:r w:rsidR="00D91139" w:rsidRPr="0069312B">
              <w:rPr>
                <w:rFonts w:ascii="Times New Roman" w:hAnsi="Times New Roman"/>
                <w:sz w:val="24"/>
                <w:szCs w:val="24"/>
              </w:rPr>
              <w:t xml:space="preserve"> абз. 1-6 статьи</w:t>
            </w:r>
            <w:r w:rsidR="00443A2D" w:rsidRPr="0069312B">
              <w:rPr>
                <w:rFonts w:ascii="Times New Roman" w:hAnsi="Times New Roman"/>
                <w:sz w:val="24"/>
                <w:szCs w:val="24"/>
              </w:rPr>
              <w:t xml:space="preserve"> 2.3 254-П: </w:t>
            </w:r>
            <w:r w:rsidR="008E6D07" w:rsidRPr="0069312B">
              <w:rPr>
                <w:rFonts w:ascii="Times New Roman" w:hAnsi="Times New Roman"/>
                <w:sz w:val="24"/>
                <w:szCs w:val="24"/>
              </w:rPr>
              <w:t xml:space="preserve">относительно систем оценки </w:t>
            </w:r>
            <w:r w:rsidR="00443A2D" w:rsidRPr="0069312B">
              <w:rPr>
                <w:rFonts w:ascii="Times New Roman" w:hAnsi="Times New Roman"/>
                <w:sz w:val="24"/>
                <w:szCs w:val="24"/>
              </w:rPr>
              <w:t>кредитных рисков, оценки ссуд, методов и процедур оценки финансового положения заемщика).</w:t>
            </w:r>
          </w:p>
        </w:tc>
        <w:tc>
          <w:tcPr>
            <w:tcW w:w="4449" w:type="dxa"/>
          </w:tcPr>
          <w:p w:rsidR="00C160DC" w:rsidRPr="0069312B" w:rsidRDefault="00C160DC" w:rsidP="0069312B">
            <w:pPr>
              <w:spacing w:after="0"/>
              <w:jc w:val="both"/>
              <w:rPr>
                <w:rFonts w:ascii="Times New Roman" w:hAnsi="Times New Roman"/>
                <w:sz w:val="24"/>
                <w:szCs w:val="24"/>
              </w:rPr>
            </w:pPr>
          </w:p>
        </w:tc>
      </w:tr>
      <w:tr w:rsidR="00D91139" w:rsidRPr="0069312B" w:rsidTr="0069312B">
        <w:tc>
          <w:tcPr>
            <w:tcW w:w="534" w:type="dxa"/>
          </w:tcPr>
          <w:p w:rsidR="00D91139" w:rsidRPr="0069312B" w:rsidRDefault="00D91139" w:rsidP="0069312B">
            <w:pPr>
              <w:pStyle w:val="a4"/>
              <w:numPr>
                <w:ilvl w:val="0"/>
                <w:numId w:val="1"/>
              </w:numPr>
              <w:spacing w:after="0"/>
              <w:jc w:val="both"/>
              <w:rPr>
                <w:rFonts w:ascii="Times New Roman" w:hAnsi="Times New Roman"/>
                <w:sz w:val="24"/>
                <w:szCs w:val="24"/>
              </w:rPr>
            </w:pPr>
          </w:p>
        </w:tc>
        <w:tc>
          <w:tcPr>
            <w:tcW w:w="4536" w:type="dxa"/>
          </w:tcPr>
          <w:p w:rsidR="00D91139" w:rsidRPr="0069312B" w:rsidRDefault="002C076C" w:rsidP="0069312B">
            <w:pPr>
              <w:spacing w:after="0"/>
              <w:jc w:val="both"/>
              <w:rPr>
                <w:rFonts w:ascii="Times New Roman" w:hAnsi="Times New Roman"/>
                <w:sz w:val="24"/>
                <w:szCs w:val="24"/>
              </w:rPr>
            </w:pPr>
            <w:r w:rsidRPr="0069312B">
              <w:rPr>
                <w:rFonts w:ascii="Times New Roman" w:hAnsi="Times New Roman"/>
                <w:sz w:val="24"/>
                <w:szCs w:val="24"/>
              </w:rPr>
              <w:t>ввести Главу 3.1</w:t>
            </w:r>
            <w:r w:rsidR="000F1F27" w:rsidRPr="0069312B">
              <w:rPr>
                <w:rFonts w:ascii="Times New Roman" w:hAnsi="Times New Roman"/>
                <w:sz w:val="24"/>
                <w:szCs w:val="24"/>
              </w:rPr>
              <w:t xml:space="preserve"> «Оценка</w:t>
            </w:r>
            <w:r w:rsidR="009D7D75" w:rsidRPr="0069312B">
              <w:rPr>
                <w:rFonts w:ascii="Times New Roman" w:hAnsi="Times New Roman"/>
                <w:sz w:val="24"/>
                <w:szCs w:val="24"/>
              </w:rPr>
              <w:t xml:space="preserve"> залогового</w:t>
            </w:r>
            <w:r w:rsidR="000F1F27" w:rsidRPr="0069312B">
              <w:rPr>
                <w:rFonts w:ascii="Times New Roman" w:hAnsi="Times New Roman"/>
                <w:sz w:val="24"/>
                <w:szCs w:val="24"/>
              </w:rPr>
              <w:t xml:space="preserve"> обеспечения по выданной ссуде»</w:t>
            </w:r>
          </w:p>
        </w:tc>
        <w:tc>
          <w:tcPr>
            <w:tcW w:w="6095" w:type="dxa"/>
          </w:tcPr>
          <w:p w:rsidR="00D91139" w:rsidRPr="0069312B" w:rsidRDefault="000F1F27"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ab/>
              <w:t>Ввести</w:t>
            </w:r>
            <w:r w:rsidR="00D91139" w:rsidRPr="0069312B">
              <w:rPr>
                <w:rFonts w:ascii="Times New Roman" w:hAnsi="Times New Roman"/>
                <w:sz w:val="24"/>
                <w:szCs w:val="24"/>
              </w:rPr>
              <w:t xml:space="preserve"> в 254-П отдельную главу, регламентирующую проведение оценки обеспечения, по аналогии с Главой 3, регламентирующей проведение оценки кредитного риска и финансового состояния Заемщика.</w:t>
            </w:r>
          </w:p>
          <w:p w:rsidR="004360CD" w:rsidRPr="0069312B" w:rsidRDefault="004360CD"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ab/>
              <w:t>В новой главе определить ключевые моменты</w:t>
            </w:r>
            <w:r w:rsidR="00C54CC6" w:rsidRPr="0069312B">
              <w:rPr>
                <w:rFonts w:ascii="Times New Roman" w:hAnsi="Times New Roman"/>
                <w:sz w:val="24"/>
                <w:szCs w:val="24"/>
              </w:rPr>
              <w:t>:</w:t>
            </w:r>
          </w:p>
          <w:p w:rsidR="00C54CC6" w:rsidRPr="0069312B" w:rsidRDefault="00C54CC6"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ab/>
              <w:t>дать определение понятию «рыночной стоимости залога</w:t>
            </w:r>
            <w:r w:rsidR="00663EB6" w:rsidRPr="0069312B">
              <w:rPr>
                <w:rFonts w:ascii="Times New Roman" w:hAnsi="Times New Roman"/>
                <w:sz w:val="24"/>
                <w:szCs w:val="24"/>
              </w:rPr>
              <w:t>»</w:t>
            </w:r>
            <w:r w:rsidRPr="0069312B">
              <w:rPr>
                <w:rFonts w:ascii="Times New Roman" w:hAnsi="Times New Roman"/>
                <w:sz w:val="24"/>
                <w:szCs w:val="24"/>
              </w:rPr>
              <w:t xml:space="preserve"> (например, по аналогии со ст. 40 НК «Принципы определения цены товаров, работ или услуг для целей налогообложения»);</w:t>
            </w:r>
          </w:p>
          <w:p w:rsidR="00C54CC6" w:rsidRPr="0069312B" w:rsidRDefault="00C54CC6"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ab/>
            </w:r>
            <w:r w:rsidR="00663EB6" w:rsidRPr="0069312B">
              <w:rPr>
                <w:rFonts w:ascii="Times New Roman" w:hAnsi="Times New Roman"/>
                <w:sz w:val="24"/>
                <w:szCs w:val="24"/>
              </w:rPr>
              <w:t xml:space="preserve">определить </w:t>
            </w:r>
            <w:r w:rsidR="009D7D75" w:rsidRPr="0069312B">
              <w:rPr>
                <w:rFonts w:ascii="Times New Roman" w:hAnsi="Times New Roman"/>
                <w:sz w:val="24"/>
                <w:szCs w:val="24"/>
              </w:rPr>
              <w:t xml:space="preserve">основную </w:t>
            </w:r>
            <w:r w:rsidR="00663EB6" w:rsidRPr="0069312B">
              <w:rPr>
                <w:rFonts w:ascii="Times New Roman" w:hAnsi="Times New Roman"/>
                <w:sz w:val="24"/>
                <w:szCs w:val="24"/>
              </w:rPr>
              <w:t xml:space="preserve">базу </w:t>
            </w:r>
            <w:r w:rsidR="009D7D75" w:rsidRPr="0069312B">
              <w:rPr>
                <w:rFonts w:ascii="Times New Roman" w:hAnsi="Times New Roman"/>
                <w:sz w:val="24"/>
                <w:szCs w:val="24"/>
              </w:rPr>
              <w:t>для расчета стоимостных характеристик залогового имущества</w:t>
            </w:r>
            <w:r w:rsidR="00D42C96" w:rsidRPr="0069312B">
              <w:rPr>
                <w:rFonts w:ascii="Times New Roman" w:hAnsi="Times New Roman"/>
                <w:sz w:val="24"/>
                <w:szCs w:val="24"/>
              </w:rPr>
              <w:t xml:space="preserve">, определить порядок </w:t>
            </w:r>
            <w:r w:rsidR="00464265" w:rsidRPr="0069312B">
              <w:rPr>
                <w:rFonts w:ascii="Times New Roman" w:hAnsi="Times New Roman"/>
                <w:sz w:val="24"/>
                <w:szCs w:val="24"/>
              </w:rPr>
              <w:t>такого расчета, необходимость (или ее отсутствие) в привлечении оценщиков, а в случаях</w:t>
            </w:r>
            <w:r w:rsidR="007E755B" w:rsidRPr="0069312B">
              <w:rPr>
                <w:rFonts w:ascii="Times New Roman" w:hAnsi="Times New Roman"/>
                <w:sz w:val="24"/>
                <w:szCs w:val="24"/>
              </w:rPr>
              <w:t xml:space="preserve">, </w:t>
            </w:r>
            <w:r w:rsidR="007E755B" w:rsidRPr="0069312B">
              <w:rPr>
                <w:rFonts w:ascii="Times New Roman" w:hAnsi="Times New Roman"/>
                <w:sz w:val="24"/>
                <w:szCs w:val="24"/>
              </w:rPr>
              <w:lastRenderedPageBreak/>
              <w:t xml:space="preserve">если на определенный вид  закладываемого имущества распространяются правила </w:t>
            </w:r>
            <w:r w:rsidR="00464265" w:rsidRPr="0069312B">
              <w:rPr>
                <w:rFonts w:ascii="Times New Roman" w:hAnsi="Times New Roman"/>
                <w:sz w:val="24"/>
                <w:szCs w:val="24"/>
              </w:rPr>
              <w:t xml:space="preserve"> обязательного страхования</w:t>
            </w:r>
            <w:r w:rsidR="007E755B" w:rsidRPr="0069312B">
              <w:rPr>
                <w:rFonts w:ascii="Times New Roman" w:hAnsi="Times New Roman"/>
                <w:sz w:val="24"/>
                <w:szCs w:val="24"/>
              </w:rPr>
              <w:t>, - необходимость привлечения актуариев;</w:t>
            </w:r>
            <w:r w:rsidR="00464265" w:rsidRPr="0069312B">
              <w:rPr>
                <w:rFonts w:ascii="Times New Roman" w:hAnsi="Times New Roman"/>
                <w:sz w:val="24"/>
                <w:szCs w:val="24"/>
              </w:rPr>
              <w:t xml:space="preserve"> </w:t>
            </w:r>
          </w:p>
          <w:p w:rsidR="00C54CC6" w:rsidRPr="0069312B" w:rsidRDefault="009D7D75"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ab/>
              <w:t xml:space="preserve">ввести методику расчета </w:t>
            </w:r>
            <w:r w:rsidR="00D42C96" w:rsidRPr="0069312B">
              <w:rPr>
                <w:rFonts w:ascii="Times New Roman" w:hAnsi="Times New Roman"/>
                <w:sz w:val="24"/>
                <w:szCs w:val="24"/>
              </w:rPr>
              <w:t>стоимости имущества в зависимости от права пользования залогом со стороны заемщика и амортизации</w:t>
            </w:r>
            <w:r w:rsidR="00A63A75" w:rsidRPr="0069312B">
              <w:rPr>
                <w:rFonts w:ascii="Times New Roman" w:hAnsi="Times New Roman"/>
                <w:sz w:val="24"/>
                <w:szCs w:val="24"/>
              </w:rPr>
              <w:t xml:space="preserve"> заложенного имущества.</w:t>
            </w:r>
          </w:p>
        </w:tc>
        <w:tc>
          <w:tcPr>
            <w:tcW w:w="4449" w:type="dxa"/>
          </w:tcPr>
          <w:p w:rsidR="00D91139" w:rsidRPr="0069312B" w:rsidRDefault="00D91139" w:rsidP="0069312B">
            <w:pPr>
              <w:spacing w:after="0"/>
              <w:jc w:val="both"/>
              <w:rPr>
                <w:rFonts w:ascii="Times New Roman" w:hAnsi="Times New Roman"/>
                <w:sz w:val="24"/>
                <w:szCs w:val="24"/>
              </w:rPr>
            </w:pPr>
          </w:p>
        </w:tc>
      </w:tr>
      <w:tr w:rsidR="0024771C" w:rsidRPr="0069312B" w:rsidTr="0069312B">
        <w:tc>
          <w:tcPr>
            <w:tcW w:w="534" w:type="dxa"/>
          </w:tcPr>
          <w:p w:rsidR="0024771C" w:rsidRPr="0069312B" w:rsidRDefault="0024771C" w:rsidP="0069312B">
            <w:pPr>
              <w:pStyle w:val="a4"/>
              <w:numPr>
                <w:ilvl w:val="0"/>
                <w:numId w:val="1"/>
              </w:numPr>
              <w:spacing w:after="0"/>
              <w:jc w:val="both"/>
              <w:rPr>
                <w:rFonts w:ascii="Times New Roman" w:hAnsi="Times New Roman"/>
                <w:sz w:val="24"/>
                <w:szCs w:val="24"/>
              </w:rPr>
            </w:pPr>
          </w:p>
        </w:tc>
        <w:tc>
          <w:tcPr>
            <w:tcW w:w="4536" w:type="dxa"/>
          </w:tcPr>
          <w:p w:rsidR="0024771C" w:rsidRPr="0069312B" w:rsidRDefault="003F72FA" w:rsidP="0069312B">
            <w:pPr>
              <w:spacing w:after="0"/>
              <w:jc w:val="both"/>
              <w:rPr>
                <w:rFonts w:ascii="Times New Roman" w:hAnsi="Times New Roman"/>
                <w:sz w:val="24"/>
                <w:szCs w:val="24"/>
              </w:rPr>
            </w:pPr>
            <w:r w:rsidRPr="0069312B">
              <w:rPr>
                <w:rFonts w:ascii="Times New Roman" w:hAnsi="Times New Roman"/>
                <w:sz w:val="24"/>
                <w:szCs w:val="24"/>
              </w:rPr>
              <w:t>в Главу 6 «Формирование резерва с учетом обеспечения по ссуде»</w:t>
            </w:r>
          </w:p>
        </w:tc>
        <w:tc>
          <w:tcPr>
            <w:tcW w:w="6095" w:type="dxa"/>
          </w:tcPr>
          <w:p w:rsidR="0024771C" w:rsidRPr="0069312B" w:rsidRDefault="00A63A75"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ab/>
            </w:r>
            <w:r w:rsidR="00840380" w:rsidRPr="0069312B">
              <w:rPr>
                <w:rFonts w:ascii="Times New Roman" w:hAnsi="Times New Roman"/>
                <w:sz w:val="24"/>
                <w:szCs w:val="24"/>
              </w:rPr>
              <w:t xml:space="preserve">Классифицировать </w:t>
            </w:r>
            <w:r w:rsidR="00984E15" w:rsidRPr="0069312B">
              <w:rPr>
                <w:rFonts w:ascii="Times New Roman" w:hAnsi="Times New Roman"/>
                <w:sz w:val="24"/>
                <w:szCs w:val="24"/>
              </w:rPr>
              <w:t>залоговое обеспечение в зависимости от гарантий фактической возвратности, ликвидности заложенного имущества.</w:t>
            </w:r>
          </w:p>
          <w:p w:rsidR="00984E15" w:rsidRPr="0069312B" w:rsidRDefault="00984E15" w:rsidP="0069312B">
            <w:pPr>
              <w:tabs>
                <w:tab w:val="left" w:pos="488"/>
              </w:tabs>
              <w:spacing w:after="0"/>
              <w:jc w:val="both"/>
              <w:rPr>
                <w:rFonts w:ascii="Times New Roman" w:hAnsi="Times New Roman"/>
                <w:sz w:val="24"/>
                <w:szCs w:val="24"/>
              </w:rPr>
            </w:pPr>
            <w:r w:rsidRPr="0069312B">
              <w:rPr>
                <w:rFonts w:ascii="Times New Roman" w:hAnsi="Times New Roman"/>
                <w:sz w:val="24"/>
                <w:szCs w:val="24"/>
              </w:rPr>
              <w:tab/>
            </w:r>
            <w:r w:rsidR="00A14D55" w:rsidRPr="0069312B">
              <w:rPr>
                <w:rFonts w:ascii="Times New Roman" w:hAnsi="Times New Roman"/>
                <w:sz w:val="24"/>
                <w:szCs w:val="24"/>
              </w:rPr>
              <w:t>Урегулировать процедуры залога вещей в обороте, как отдельной категории закладываемого имущества</w:t>
            </w:r>
            <w:r w:rsidR="001D3010" w:rsidRPr="0069312B">
              <w:rPr>
                <w:rFonts w:ascii="Times New Roman" w:hAnsi="Times New Roman"/>
                <w:sz w:val="24"/>
                <w:szCs w:val="24"/>
              </w:rPr>
              <w:t xml:space="preserve"> (в соответствии с положениями ст. 357 ГК РФ, ст. 46 ФЗ «О залоге»),</w:t>
            </w:r>
            <w:r w:rsidR="00A14D55" w:rsidRPr="0069312B">
              <w:rPr>
                <w:rFonts w:ascii="Times New Roman" w:hAnsi="Times New Roman"/>
                <w:sz w:val="24"/>
                <w:szCs w:val="24"/>
              </w:rPr>
              <w:t xml:space="preserve"> с целью минимизации рисков</w:t>
            </w:r>
            <w:r w:rsidR="00271217" w:rsidRPr="0069312B">
              <w:rPr>
                <w:rFonts w:ascii="Times New Roman" w:hAnsi="Times New Roman"/>
                <w:sz w:val="24"/>
                <w:szCs w:val="24"/>
              </w:rPr>
              <w:t xml:space="preserve"> </w:t>
            </w:r>
            <w:r w:rsidR="00991B67" w:rsidRPr="0069312B">
              <w:rPr>
                <w:rFonts w:ascii="Times New Roman" w:hAnsi="Times New Roman"/>
                <w:sz w:val="24"/>
                <w:szCs w:val="24"/>
              </w:rPr>
              <w:t>утраты залогового имущества</w:t>
            </w:r>
            <w:r w:rsidR="001D3010" w:rsidRPr="0069312B">
              <w:rPr>
                <w:rFonts w:ascii="Times New Roman" w:hAnsi="Times New Roman"/>
                <w:sz w:val="24"/>
                <w:szCs w:val="24"/>
              </w:rPr>
              <w:t xml:space="preserve"> </w:t>
            </w:r>
            <w:r w:rsidR="00CF4172" w:rsidRPr="0069312B">
              <w:rPr>
                <w:rFonts w:ascii="Times New Roman" w:hAnsi="Times New Roman"/>
                <w:sz w:val="24"/>
                <w:szCs w:val="24"/>
              </w:rPr>
              <w:t>заемщиком</w:t>
            </w:r>
            <w:r w:rsidR="00651FF9">
              <w:rPr>
                <w:rFonts w:ascii="Times New Roman" w:hAnsi="Times New Roman"/>
                <w:sz w:val="24"/>
                <w:szCs w:val="24"/>
              </w:rPr>
              <w:t xml:space="preserve"> или его обесценивания</w:t>
            </w:r>
            <w:r w:rsidR="00CF4172" w:rsidRPr="0069312B">
              <w:rPr>
                <w:rFonts w:ascii="Times New Roman" w:hAnsi="Times New Roman"/>
                <w:sz w:val="24"/>
                <w:szCs w:val="24"/>
              </w:rPr>
              <w:t>.</w:t>
            </w:r>
          </w:p>
        </w:tc>
        <w:tc>
          <w:tcPr>
            <w:tcW w:w="4449" w:type="dxa"/>
          </w:tcPr>
          <w:p w:rsidR="0024771C" w:rsidRPr="0069312B" w:rsidRDefault="0024771C" w:rsidP="0069312B">
            <w:pPr>
              <w:spacing w:after="0"/>
              <w:jc w:val="both"/>
              <w:rPr>
                <w:rFonts w:ascii="Times New Roman" w:hAnsi="Times New Roman"/>
                <w:sz w:val="24"/>
                <w:szCs w:val="24"/>
              </w:rPr>
            </w:pPr>
          </w:p>
        </w:tc>
      </w:tr>
      <w:tr w:rsidR="001A28F5" w:rsidRPr="0069312B" w:rsidTr="0069312B">
        <w:tc>
          <w:tcPr>
            <w:tcW w:w="534" w:type="dxa"/>
          </w:tcPr>
          <w:p w:rsidR="001A28F5" w:rsidRPr="0069312B" w:rsidRDefault="001A28F5" w:rsidP="0069312B">
            <w:pPr>
              <w:pStyle w:val="a4"/>
              <w:numPr>
                <w:ilvl w:val="0"/>
                <w:numId w:val="1"/>
              </w:numPr>
              <w:spacing w:after="0" w:line="240" w:lineRule="auto"/>
              <w:jc w:val="both"/>
              <w:rPr>
                <w:rFonts w:ascii="Times New Roman" w:hAnsi="Times New Roman"/>
                <w:sz w:val="24"/>
                <w:szCs w:val="24"/>
              </w:rPr>
            </w:pPr>
          </w:p>
        </w:tc>
        <w:tc>
          <w:tcPr>
            <w:tcW w:w="4536" w:type="dxa"/>
          </w:tcPr>
          <w:p w:rsidR="001A28F5" w:rsidRPr="0069312B" w:rsidRDefault="00E95691" w:rsidP="0069312B">
            <w:pPr>
              <w:spacing w:after="0" w:line="240" w:lineRule="auto"/>
              <w:jc w:val="both"/>
              <w:rPr>
                <w:rFonts w:ascii="Times New Roman" w:hAnsi="Times New Roman"/>
                <w:sz w:val="24"/>
                <w:szCs w:val="24"/>
              </w:rPr>
            </w:pPr>
            <w:r>
              <w:rPr>
                <w:rFonts w:ascii="Times New Roman" w:hAnsi="Times New Roman"/>
                <w:sz w:val="24"/>
                <w:szCs w:val="24"/>
              </w:rPr>
              <w:t>Комплекс поправок в 254-П</w:t>
            </w:r>
          </w:p>
        </w:tc>
        <w:tc>
          <w:tcPr>
            <w:tcW w:w="6095" w:type="dxa"/>
          </w:tcPr>
          <w:p w:rsidR="001A28F5" w:rsidRDefault="00404A65" w:rsidP="00631182">
            <w:pPr>
              <w:tabs>
                <w:tab w:val="left" w:pos="488"/>
              </w:tabs>
              <w:spacing w:after="0" w:line="240" w:lineRule="auto"/>
              <w:jc w:val="both"/>
              <w:rPr>
                <w:rFonts w:ascii="Times New Roman" w:hAnsi="Times New Roman"/>
                <w:sz w:val="24"/>
                <w:szCs w:val="24"/>
              </w:rPr>
            </w:pPr>
            <w:r>
              <w:rPr>
                <w:rFonts w:ascii="Times New Roman" w:hAnsi="Times New Roman"/>
                <w:sz w:val="24"/>
                <w:szCs w:val="24"/>
              </w:rPr>
              <w:tab/>
            </w:r>
            <w:r w:rsidR="00006E32">
              <w:rPr>
                <w:rFonts w:ascii="Times New Roman" w:hAnsi="Times New Roman"/>
                <w:sz w:val="24"/>
                <w:szCs w:val="24"/>
              </w:rPr>
              <w:t>В настоящее время с</w:t>
            </w:r>
            <w:r w:rsidR="00006E32" w:rsidRPr="00006E32">
              <w:rPr>
                <w:rFonts w:ascii="Times New Roman" w:hAnsi="Times New Roman"/>
                <w:sz w:val="24"/>
                <w:szCs w:val="24"/>
              </w:rPr>
              <w:t xml:space="preserve">ложилась ситуация, при которой </w:t>
            </w:r>
            <w:r w:rsidR="00006E32">
              <w:rPr>
                <w:rFonts w:ascii="Times New Roman" w:hAnsi="Times New Roman"/>
                <w:sz w:val="24"/>
                <w:szCs w:val="24"/>
              </w:rPr>
              <w:t xml:space="preserve">еще до недавнего времени позитивно оцениваемые клиенты подпадают под </w:t>
            </w:r>
            <w:r w:rsidR="00631182">
              <w:rPr>
                <w:rFonts w:ascii="Times New Roman" w:hAnsi="Times New Roman"/>
                <w:sz w:val="24"/>
                <w:szCs w:val="24"/>
              </w:rPr>
              <w:t>негативную оценку по 254-П</w:t>
            </w:r>
            <w:r w:rsidR="00006E32" w:rsidRPr="00006E32">
              <w:rPr>
                <w:rFonts w:ascii="Times New Roman" w:hAnsi="Times New Roman"/>
                <w:sz w:val="24"/>
                <w:szCs w:val="24"/>
              </w:rPr>
              <w:t>. Пр</w:t>
            </w:r>
            <w:r w:rsidR="00631182">
              <w:rPr>
                <w:rFonts w:ascii="Times New Roman" w:hAnsi="Times New Roman"/>
                <w:sz w:val="24"/>
                <w:szCs w:val="24"/>
              </w:rPr>
              <w:t>едположим, что у компании в 2010</w:t>
            </w:r>
            <w:r w:rsidR="00006E32" w:rsidRPr="00006E32">
              <w:rPr>
                <w:rFonts w:ascii="Times New Roman" w:hAnsi="Times New Roman"/>
                <w:sz w:val="24"/>
                <w:szCs w:val="24"/>
              </w:rPr>
              <w:t xml:space="preserve"> году было три прибыльных квартала и четвертый — плохой и ее финансовое состояние оценивалось как среднее. А теперь у этого</w:t>
            </w:r>
            <w:r w:rsidR="00631182">
              <w:rPr>
                <w:rFonts w:ascii="Times New Roman" w:hAnsi="Times New Roman"/>
                <w:sz w:val="24"/>
                <w:szCs w:val="24"/>
              </w:rPr>
              <w:t xml:space="preserve"> же</w:t>
            </w:r>
            <w:r w:rsidR="00006E32" w:rsidRPr="00006E32">
              <w:rPr>
                <w:rFonts w:ascii="Times New Roman" w:hAnsi="Times New Roman"/>
                <w:sz w:val="24"/>
                <w:szCs w:val="24"/>
              </w:rPr>
              <w:t xml:space="preserve"> клиента три отчетных даты пошли в </w:t>
            </w:r>
            <w:r w:rsidR="00E95691">
              <w:rPr>
                <w:rFonts w:ascii="Times New Roman" w:hAnsi="Times New Roman"/>
                <w:sz w:val="24"/>
                <w:szCs w:val="24"/>
              </w:rPr>
              <w:t>«</w:t>
            </w:r>
            <w:r w:rsidR="00006E32" w:rsidRPr="00006E32">
              <w:rPr>
                <w:rFonts w:ascii="Times New Roman" w:hAnsi="Times New Roman"/>
                <w:sz w:val="24"/>
                <w:szCs w:val="24"/>
              </w:rPr>
              <w:t>минус</w:t>
            </w:r>
            <w:r w:rsidR="00E95691">
              <w:rPr>
                <w:rFonts w:ascii="Times New Roman" w:hAnsi="Times New Roman"/>
                <w:sz w:val="24"/>
                <w:szCs w:val="24"/>
              </w:rPr>
              <w:t>»</w:t>
            </w:r>
            <w:r w:rsidR="00006E32" w:rsidRPr="00006E32">
              <w:rPr>
                <w:rFonts w:ascii="Times New Roman" w:hAnsi="Times New Roman"/>
                <w:sz w:val="24"/>
                <w:szCs w:val="24"/>
              </w:rPr>
              <w:t xml:space="preserve"> и лишь четвертая — в </w:t>
            </w:r>
            <w:r w:rsidR="00E95691">
              <w:rPr>
                <w:rFonts w:ascii="Times New Roman" w:hAnsi="Times New Roman"/>
                <w:sz w:val="24"/>
                <w:szCs w:val="24"/>
              </w:rPr>
              <w:t>«</w:t>
            </w:r>
            <w:r w:rsidR="00006E32" w:rsidRPr="00006E32">
              <w:rPr>
                <w:rFonts w:ascii="Times New Roman" w:hAnsi="Times New Roman"/>
                <w:sz w:val="24"/>
                <w:szCs w:val="24"/>
              </w:rPr>
              <w:t>плюс</w:t>
            </w:r>
            <w:r w:rsidR="00E95691">
              <w:rPr>
                <w:rFonts w:ascii="Times New Roman" w:hAnsi="Times New Roman"/>
                <w:sz w:val="24"/>
                <w:szCs w:val="24"/>
              </w:rPr>
              <w:t>»</w:t>
            </w:r>
            <w:r w:rsidR="00006E32" w:rsidRPr="00006E32">
              <w:rPr>
                <w:rFonts w:ascii="Times New Roman" w:hAnsi="Times New Roman"/>
                <w:sz w:val="24"/>
                <w:szCs w:val="24"/>
              </w:rPr>
              <w:t xml:space="preserve">. </w:t>
            </w:r>
            <w:r w:rsidR="00631182">
              <w:rPr>
                <w:rFonts w:ascii="Times New Roman" w:hAnsi="Times New Roman"/>
                <w:sz w:val="24"/>
                <w:szCs w:val="24"/>
              </w:rPr>
              <w:t xml:space="preserve">Следовательно, </w:t>
            </w:r>
            <w:r w:rsidR="00006E32" w:rsidRPr="00006E32">
              <w:rPr>
                <w:rFonts w:ascii="Times New Roman" w:hAnsi="Times New Roman"/>
                <w:sz w:val="24"/>
                <w:szCs w:val="24"/>
              </w:rPr>
              <w:t xml:space="preserve">такой заемщик попадает в </w:t>
            </w:r>
            <w:proofErr w:type="gramStart"/>
            <w:r w:rsidR="00006E32" w:rsidRPr="00006E32">
              <w:rPr>
                <w:rFonts w:ascii="Times New Roman" w:hAnsi="Times New Roman"/>
                <w:sz w:val="24"/>
                <w:szCs w:val="24"/>
              </w:rPr>
              <w:t>более проблемную</w:t>
            </w:r>
            <w:proofErr w:type="gramEnd"/>
            <w:r w:rsidR="00006E32" w:rsidRPr="00006E32">
              <w:rPr>
                <w:rFonts w:ascii="Times New Roman" w:hAnsi="Times New Roman"/>
                <w:sz w:val="24"/>
                <w:szCs w:val="24"/>
              </w:rPr>
              <w:t>, согласно Положению №254-П, категорию</w:t>
            </w:r>
            <w:r w:rsidR="00E95691">
              <w:rPr>
                <w:rFonts w:ascii="Times New Roman" w:hAnsi="Times New Roman"/>
                <w:sz w:val="24"/>
                <w:szCs w:val="24"/>
              </w:rPr>
              <w:t xml:space="preserve"> заемщиков</w:t>
            </w:r>
            <w:r w:rsidR="00006E32" w:rsidRPr="00006E32">
              <w:rPr>
                <w:rFonts w:ascii="Times New Roman" w:hAnsi="Times New Roman"/>
                <w:sz w:val="24"/>
                <w:szCs w:val="24"/>
              </w:rPr>
              <w:t>.</w:t>
            </w:r>
          </w:p>
          <w:p w:rsidR="00663DCD" w:rsidRDefault="00404A65" w:rsidP="00663DCD">
            <w:pPr>
              <w:tabs>
                <w:tab w:val="left" w:pos="488"/>
              </w:tabs>
              <w:spacing w:after="0" w:line="240" w:lineRule="auto"/>
              <w:jc w:val="both"/>
              <w:rPr>
                <w:rFonts w:ascii="Times New Roman" w:hAnsi="Times New Roman"/>
                <w:sz w:val="24"/>
                <w:szCs w:val="24"/>
              </w:rPr>
            </w:pPr>
            <w:r>
              <w:rPr>
                <w:rFonts w:ascii="Times New Roman" w:hAnsi="Times New Roman"/>
                <w:sz w:val="24"/>
                <w:szCs w:val="24"/>
              </w:rPr>
              <w:tab/>
            </w:r>
            <w:r w:rsidR="00663DCD">
              <w:rPr>
                <w:rFonts w:ascii="Times New Roman" w:hAnsi="Times New Roman"/>
                <w:sz w:val="24"/>
                <w:szCs w:val="24"/>
              </w:rPr>
              <w:t xml:space="preserve">Вообще, </w:t>
            </w:r>
            <w:r w:rsidR="00663DCD" w:rsidRPr="00663DCD">
              <w:rPr>
                <w:rFonts w:ascii="Times New Roman" w:hAnsi="Times New Roman"/>
                <w:sz w:val="24"/>
                <w:szCs w:val="24"/>
              </w:rPr>
              <w:t>резервирование, которое банки вынуждены создавать по формальным признакам, описанным в Положении №254-П, очень часто не соответствует реальному</w:t>
            </w:r>
            <w:r w:rsidR="00663DCD">
              <w:rPr>
                <w:rFonts w:ascii="Times New Roman" w:hAnsi="Times New Roman"/>
                <w:sz w:val="24"/>
                <w:szCs w:val="24"/>
              </w:rPr>
              <w:t xml:space="preserve"> положению заемщика</w:t>
            </w:r>
            <w:r w:rsidR="00663DCD" w:rsidRPr="00663DCD">
              <w:rPr>
                <w:rFonts w:ascii="Times New Roman" w:hAnsi="Times New Roman"/>
                <w:sz w:val="24"/>
                <w:szCs w:val="24"/>
              </w:rPr>
              <w:t>.</w:t>
            </w:r>
          </w:p>
          <w:p w:rsidR="00095E6C" w:rsidRPr="0069312B" w:rsidRDefault="00404A65" w:rsidP="00BF72AC">
            <w:pPr>
              <w:tabs>
                <w:tab w:val="left" w:pos="488"/>
              </w:tabs>
              <w:spacing w:after="0" w:line="240" w:lineRule="auto"/>
              <w:jc w:val="both"/>
              <w:rPr>
                <w:rFonts w:ascii="Times New Roman" w:hAnsi="Times New Roman"/>
                <w:sz w:val="24"/>
                <w:szCs w:val="24"/>
              </w:rPr>
            </w:pPr>
            <w:r>
              <w:rPr>
                <w:rFonts w:ascii="Times New Roman" w:hAnsi="Times New Roman"/>
                <w:sz w:val="24"/>
                <w:szCs w:val="24"/>
              </w:rPr>
              <w:tab/>
            </w:r>
            <w:r w:rsidR="00095E6C">
              <w:rPr>
                <w:rFonts w:ascii="Times New Roman" w:hAnsi="Times New Roman"/>
                <w:sz w:val="24"/>
                <w:szCs w:val="24"/>
              </w:rPr>
              <w:t>О</w:t>
            </w:r>
            <w:r w:rsidR="00095E6C" w:rsidRPr="00095E6C">
              <w:rPr>
                <w:rFonts w:ascii="Times New Roman" w:hAnsi="Times New Roman"/>
                <w:sz w:val="24"/>
                <w:szCs w:val="24"/>
              </w:rPr>
              <w:t xml:space="preserve">сновным вопросом, стоящим перед российскими банками при оценке кредитоспособности заемщика, остается реальный уровень </w:t>
            </w:r>
            <w:r w:rsidR="00095E6C">
              <w:rPr>
                <w:rFonts w:ascii="Times New Roman" w:hAnsi="Times New Roman"/>
                <w:sz w:val="24"/>
                <w:szCs w:val="24"/>
              </w:rPr>
              <w:t xml:space="preserve">дохода заемщика и прогноз </w:t>
            </w:r>
            <w:r w:rsidR="00095E6C">
              <w:rPr>
                <w:rFonts w:ascii="Times New Roman" w:hAnsi="Times New Roman"/>
                <w:sz w:val="24"/>
                <w:szCs w:val="24"/>
              </w:rPr>
              <w:lastRenderedPageBreak/>
              <w:t>доходов</w:t>
            </w:r>
            <w:r w:rsidR="00095E6C" w:rsidRPr="00095E6C">
              <w:rPr>
                <w:rFonts w:ascii="Times New Roman" w:hAnsi="Times New Roman"/>
                <w:sz w:val="24"/>
                <w:szCs w:val="24"/>
              </w:rPr>
              <w:t xml:space="preserve"> на будущее.</w:t>
            </w:r>
            <w:r w:rsidR="00095E6C">
              <w:rPr>
                <w:rFonts w:ascii="Times New Roman" w:hAnsi="Times New Roman"/>
                <w:sz w:val="24"/>
                <w:szCs w:val="24"/>
              </w:rPr>
              <w:t xml:space="preserve"> К сожалению, Положение 254-П практически не содержит позиций, позволяющих </w:t>
            </w:r>
            <w:r w:rsidR="00C57F6F">
              <w:rPr>
                <w:rFonts w:ascii="Times New Roman" w:hAnsi="Times New Roman"/>
                <w:sz w:val="24"/>
                <w:szCs w:val="24"/>
              </w:rPr>
              <w:t xml:space="preserve">осуществлять оценку </w:t>
            </w:r>
            <w:r w:rsidR="001F7CAF">
              <w:rPr>
                <w:rFonts w:ascii="Times New Roman" w:hAnsi="Times New Roman"/>
                <w:sz w:val="24"/>
                <w:szCs w:val="24"/>
              </w:rPr>
              <w:t xml:space="preserve">финансового положения </w:t>
            </w:r>
            <w:r w:rsidR="00C57F6F">
              <w:rPr>
                <w:rFonts w:ascii="Times New Roman" w:hAnsi="Times New Roman"/>
                <w:sz w:val="24"/>
                <w:szCs w:val="24"/>
              </w:rPr>
              <w:t>заемщика хотя бы на среднесрочную перспективу. По сути, предлагаемые 254-П принципы оценки</w:t>
            </w:r>
            <w:r w:rsidR="00275A15">
              <w:rPr>
                <w:rFonts w:ascii="Times New Roman" w:hAnsi="Times New Roman"/>
                <w:sz w:val="24"/>
                <w:szCs w:val="24"/>
              </w:rPr>
              <w:t xml:space="preserve"> заемщика, носят ретроспективный характер.</w:t>
            </w:r>
            <w:r w:rsidR="00514F32">
              <w:rPr>
                <w:rFonts w:ascii="Times New Roman" w:hAnsi="Times New Roman"/>
                <w:sz w:val="24"/>
                <w:szCs w:val="24"/>
              </w:rPr>
              <w:t xml:space="preserve"> </w:t>
            </w:r>
            <w:r w:rsidR="00D3015F">
              <w:rPr>
                <w:rFonts w:ascii="Times New Roman" w:hAnsi="Times New Roman"/>
                <w:sz w:val="24"/>
                <w:szCs w:val="24"/>
              </w:rPr>
              <w:t xml:space="preserve">По оценке экспертов, финансовый кризис в России близок к своему завершению, и необходимо при </w:t>
            </w:r>
            <w:r w:rsidR="002D4AF6">
              <w:rPr>
                <w:rFonts w:ascii="Times New Roman" w:hAnsi="Times New Roman"/>
                <w:sz w:val="24"/>
                <w:szCs w:val="24"/>
              </w:rPr>
              <w:t xml:space="preserve">расчете и </w:t>
            </w:r>
            <w:r w:rsidR="001F7CAF">
              <w:rPr>
                <w:rFonts w:ascii="Times New Roman" w:hAnsi="Times New Roman"/>
                <w:sz w:val="24"/>
                <w:szCs w:val="24"/>
              </w:rPr>
              <w:t xml:space="preserve">формировании резервов </w:t>
            </w:r>
            <w:r w:rsidR="002D4AF6">
              <w:rPr>
                <w:rFonts w:ascii="Times New Roman" w:hAnsi="Times New Roman"/>
                <w:sz w:val="24"/>
                <w:szCs w:val="24"/>
              </w:rPr>
              <w:t>использовать перспективный подход.</w:t>
            </w:r>
            <w:r w:rsidR="003332EA">
              <w:rPr>
                <w:rFonts w:ascii="Times New Roman" w:hAnsi="Times New Roman"/>
                <w:sz w:val="24"/>
                <w:szCs w:val="24"/>
              </w:rPr>
              <w:t xml:space="preserve"> </w:t>
            </w:r>
          </w:p>
        </w:tc>
        <w:tc>
          <w:tcPr>
            <w:tcW w:w="4449" w:type="dxa"/>
          </w:tcPr>
          <w:p w:rsidR="001A28F5" w:rsidRPr="0069312B" w:rsidRDefault="001A28F5" w:rsidP="0069312B">
            <w:pPr>
              <w:spacing w:after="0" w:line="240" w:lineRule="auto"/>
              <w:jc w:val="both"/>
              <w:rPr>
                <w:rFonts w:ascii="Times New Roman" w:hAnsi="Times New Roman"/>
                <w:sz w:val="24"/>
                <w:szCs w:val="24"/>
              </w:rPr>
            </w:pPr>
          </w:p>
        </w:tc>
      </w:tr>
      <w:tr w:rsidR="0095639C" w:rsidRPr="0069312B" w:rsidTr="0069312B">
        <w:tc>
          <w:tcPr>
            <w:tcW w:w="534" w:type="dxa"/>
          </w:tcPr>
          <w:p w:rsidR="0095639C" w:rsidRPr="0069312B" w:rsidRDefault="0095639C" w:rsidP="0069312B">
            <w:pPr>
              <w:pStyle w:val="a4"/>
              <w:numPr>
                <w:ilvl w:val="0"/>
                <w:numId w:val="1"/>
              </w:numPr>
              <w:spacing w:after="0" w:line="240" w:lineRule="auto"/>
              <w:jc w:val="both"/>
              <w:rPr>
                <w:rFonts w:ascii="Times New Roman" w:hAnsi="Times New Roman"/>
                <w:sz w:val="24"/>
                <w:szCs w:val="24"/>
              </w:rPr>
            </w:pPr>
          </w:p>
        </w:tc>
        <w:tc>
          <w:tcPr>
            <w:tcW w:w="4536" w:type="dxa"/>
          </w:tcPr>
          <w:p w:rsidR="0095639C" w:rsidRDefault="0095639C" w:rsidP="0069312B">
            <w:pPr>
              <w:spacing w:after="0" w:line="240" w:lineRule="auto"/>
              <w:jc w:val="both"/>
              <w:rPr>
                <w:rFonts w:ascii="Times New Roman" w:hAnsi="Times New Roman"/>
                <w:sz w:val="24"/>
                <w:szCs w:val="24"/>
              </w:rPr>
            </w:pPr>
            <w:r>
              <w:rPr>
                <w:rFonts w:ascii="Times New Roman" w:hAnsi="Times New Roman"/>
                <w:sz w:val="24"/>
                <w:szCs w:val="24"/>
              </w:rPr>
              <w:t>Комплекс поправок в 254-П</w:t>
            </w:r>
          </w:p>
        </w:tc>
        <w:tc>
          <w:tcPr>
            <w:tcW w:w="6095" w:type="dxa"/>
          </w:tcPr>
          <w:p w:rsidR="0095639C" w:rsidRDefault="00404A65" w:rsidP="00631182">
            <w:pPr>
              <w:tabs>
                <w:tab w:val="left" w:pos="488"/>
              </w:tabs>
              <w:spacing w:after="0" w:line="240" w:lineRule="auto"/>
              <w:jc w:val="both"/>
              <w:rPr>
                <w:rFonts w:ascii="Times New Roman" w:hAnsi="Times New Roman"/>
                <w:sz w:val="24"/>
                <w:szCs w:val="24"/>
              </w:rPr>
            </w:pPr>
            <w:r>
              <w:rPr>
                <w:rFonts w:ascii="Times New Roman" w:hAnsi="Times New Roman"/>
                <w:sz w:val="24"/>
                <w:szCs w:val="24"/>
              </w:rPr>
              <w:tab/>
            </w:r>
            <w:r w:rsidR="00FC7912">
              <w:rPr>
                <w:rFonts w:ascii="Times New Roman" w:hAnsi="Times New Roman"/>
                <w:sz w:val="24"/>
                <w:szCs w:val="24"/>
              </w:rPr>
              <w:t>О необходимости перехода к контрциклическому регулированию создания резервов на возможные потери.</w:t>
            </w:r>
          </w:p>
          <w:p w:rsidR="00404A65" w:rsidRDefault="00CC34E1" w:rsidP="007F3F01">
            <w:pPr>
              <w:tabs>
                <w:tab w:val="left" w:pos="488"/>
              </w:tabs>
              <w:spacing w:after="0" w:line="240" w:lineRule="auto"/>
              <w:jc w:val="both"/>
              <w:rPr>
                <w:rFonts w:ascii="Times New Roman" w:hAnsi="Times New Roman"/>
                <w:sz w:val="24"/>
                <w:szCs w:val="24"/>
              </w:rPr>
            </w:pPr>
            <w:r>
              <w:rPr>
                <w:rFonts w:ascii="Times New Roman" w:hAnsi="Times New Roman"/>
                <w:sz w:val="24"/>
                <w:szCs w:val="24"/>
              </w:rPr>
              <w:t>Суть методики сводится к накоплению</w:t>
            </w:r>
            <w:r w:rsidRPr="00CC34E1">
              <w:rPr>
                <w:rFonts w:ascii="Times New Roman" w:hAnsi="Times New Roman"/>
                <w:sz w:val="24"/>
                <w:szCs w:val="24"/>
              </w:rPr>
              <w:t xml:space="preserve"> </w:t>
            </w:r>
            <w:r>
              <w:rPr>
                <w:rFonts w:ascii="Times New Roman" w:hAnsi="Times New Roman"/>
                <w:sz w:val="24"/>
                <w:szCs w:val="24"/>
              </w:rPr>
              <w:t>резервов</w:t>
            </w:r>
            <w:r w:rsidRPr="00CC34E1">
              <w:rPr>
                <w:rFonts w:ascii="Times New Roman" w:hAnsi="Times New Roman"/>
                <w:sz w:val="24"/>
                <w:szCs w:val="24"/>
              </w:rPr>
              <w:t xml:space="preserve"> в хо</w:t>
            </w:r>
            <w:r w:rsidR="00FD5568">
              <w:rPr>
                <w:rFonts w:ascii="Times New Roman" w:hAnsi="Times New Roman"/>
                <w:sz w:val="24"/>
                <w:szCs w:val="24"/>
              </w:rPr>
              <w:t>де кредитного бума и расходованию</w:t>
            </w:r>
            <w:r w:rsidRPr="00CC34E1">
              <w:rPr>
                <w:rFonts w:ascii="Times New Roman" w:hAnsi="Times New Roman"/>
                <w:sz w:val="24"/>
                <w:szCs w:val="24"/>
              </w:rPr>
              <w:t xml:space="preserve"> на покрытие просроченных долгов в период кризиса. Это позволяет повысить устойчивость банков и сгладить избыточные колебания в их финансовой деятельности.</w:t>
            </w:r>
            <w:r w:rsidR="007F3F01">
              <w:rPr>
                <w:rFonts w:ascii="Times New Roman" w:hAnsi="Times New Roman"/>
                <w:sz w:val="24"/>
                <w:szCs w:val="24"/>
              </w:rPr>
              <w:t xml:space="preserve"> Данная схема предполагает изменение</w:t>
            </w:r>
            <w:r w:rsidR="007F3F01" w:rsidRPr="007F3F01">
              <w:rPr>
                <w:rFonts w:ascii="Times New Roman" w:hAnsi="Times New Roman"/>
                <w:sz w:val="24"/>
                <w:szCs w:val="24"/>
              </w:rPr>
              <w:t xml:space="preserve"> текущего подхода к формированию резервов для смягчения давления на собственный капитал банков. </w:t>
            </w:r>
          </w:p>
          <w:p w:rsidR="00FC7912" w:rsidRDefault="00404A65" w:rsidP="007F3F01">
            <w:pPr>
              <w:tabs>
                <w:tab w:val="left" w:pos="488"/>
              </w:tabs>
              <w:spacing w:after="0" w:line="240" w:lineRule="auto"/>
              <w:jc w:val="both"/>
              <w:rPr>
                <w:rFonts w:ascii="Times New Roman" w:hAnsi="Times New Roman"/>
                <w:sz w:val="24"/>
                <w:szCs w:val="24"/>
              </w:rPr>
            </w:pPr>
            <w:r>
              <w:rPr>
                <w:rFonts w:ascii="Times New Roman" w:hAnsi="Times New Roman"/>
                <w:sz w:val="24"/>
                <w:szCs w:val="24"/>
              </w:rPr>
              <w:tab/>
            </w:r>
            <w:r w:rsidR="007F3F01" w:rsidRPr="007F3F01">
              <w:rPr>
                <w:rFonts w:ascii="Times New Roman" w:hAnsi="Times New Roman"/>
                <w:sz w:val="24"/>
                <w:szCs w:val="24"/>
              </w:rPr>
              <w:t>Предполагается перейти к амортизационной схеме создания резервов под фактические потери, когда резервы формируются не одноразово, а с рассрочкой во времени.</w:t>
            </w:r>
            <w:r w:rsidR="007F3F01">
              <w:rPr>
                <w:rFonts w:ascii="Times New Roman" w:hAnsi="Times New Roman"/>
                <w:sz w:val="24"/>
                <w:szCs w:val="24"/>
              </w:rPr>
              <w:t xml:space="preserve"> Переход </w:t>
            </w:r>
            <w:r w:rsidR="007F3F01" w:rsidRPr="00CC34E1">
              <w:rPr>
                <w:rFonts w:ascii="Times New Roman" w:hAnsi="Times New Roman"/>
                <w:sz w:val="24"/>
                <w:szCs w:val="24"/>
              </w:rPr>
              <w:t xml:space="preserve">к новой схеме резервирования </w:t>
            </w:r>
            <w:r w:rsidR="007F3F01">
              <w:rPr>
                <w:rFonts w:ascii="Times New Roman" w:hAnsi="Times New Roman"/>
                <w:sz w:val="24"/>
                <w:szCs w:val="24"/>
              </w:rPr>
              <w:t>планируется не ранее 2011 </w:t>
            </w:r>
            <w:r w:rsidR="007F3F01" w:rsidRPr="00CC34E1">
              <w:rPr>
                <w:rFonts w:ascii="Times New Roman" w:hAnsi="Times New Roman"/>
                <w:sz w:val="24"/>
                <w:szCs w:val="24"/>
              </w:rPr>
              <w:t>г.</w:t>
            </w:r>
          </w:p>
        </w:tc>
        <w:tc>
          <w:tcPr>
            <w:tcW w:w="4449" w:type="dxa"/>
          </w:tcPr>
          <w:p w:rsidR="0095639C" w:rsidRPr="0069312B" w:rsidRDefault="0095639C" w:rsidP="0069312B">
            <w:pPr>
              <w:spacing w:after="0" w:line="240" w:lineRule="auto"/>
              <w:jc w:val="both"/>
              <w:rPr>
                <w:rFonts w:ascii="Times New Roman" w:hAnsi="Times New Roman"/>
                <w:sz w:val="24"/>
                <w:szCs w:val="24"/>
              </w:rPr>
            </w:pPr>
          </w:p>
        </w:tc>
      </w:tr>
    </w:tbl>
    <w:p w:rsidR="0069312B" w:rsidRPr="00766B6F" w:rsidRDefault="0069312B">
      <w:pPr>
        <w:rPr>
          <w:rFonts w:ascii="Times New Roman" w:hAnsi="Times New Roman"/>
          <w:sz w:val="24"/>
          <w:szCs w:val="24"/>
        </w:rPr>
      </w:pPr>
    </w:p>
    <w:sectPr w:rsidR="0069312B" w:rsidRPr="00766B6F" w:rsidSect="00766B6F">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7928"/>
    <w:multiLevelType w:val="hybridMultilevel"/>
    <w:tmpl w:val="93DA8A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43905C9"/>
    <w:multiLevelType w:val="singleLevel"/>
    <w:tmpl w:val="3B3CFA1E"/>
    <w:lvl w:ilvl="0">
      <w:start w:val="1"/>
      <w:numFmt w:val="decimal"/>
      <w:lvlText w:val="%1."/>
      <w:legacy w:legacy="1" w:legacySpace="0" w:legacyIndent="355"/>
      <w:lvlJc w:val="left"/>
      <w:pPr>
        <w:ind w:left="0" w:firstLine="0"/>
      </w:pPr>
      <w:rPr>
        <w:rFonts w:ascii="Times New Roman" w:hAnsi="Times New Roman" w:cs="Times New Roman" w:hint="default"/>
      </w:rPr>
    </w:lvl>
  </w:abstractNum>
  <w:num w:numId="1">
    <w:abstractNumId w:val="0"/>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6B6F"/>
    <w:rsid w:val="00006E32"/>
    <w:rsid w:val="000106B2"/>
    <w:rsid w:val="00011CF9"/>
    <w:rsid w:val="00066ED3"/>
    <w:rsid w:val="00085418"/>
    <w:rsid w:val="00091DDB"/>
    <w:rsid w:val="00095E6C"/>
    <w:rsid w:val="000B0882"/>
    <w:rsid w:val="000C405C"/>
    <w:rsid w:val="000D3094"/>
    <w:rsid w:val="000F1F27"/>
    <w:rsid w:val="001534BA"/>
    <w:rsid w:val="00171F23"/>
    <w:rsid w:val="001A28F5"/>
    <w:rsid w:val="001D1B6E"/>
    <w:rsid w:val="001D3010"/>
    <w:rsid w:val="001F7CAF"/>
    <w:rsid w:val="0024099A"/>
    <w:rsid w:val="0024771C"/>
    <w:rsid w:val="00271217"/>
    <w:rsid w:val="00275A15"/>
    <w:rsid w:val="002A06EE"/>
    <w:rsid w:val="002C076C"/>
    <w:rsid w:val="002D4AF6"/>
    <w:rsid w:val="003332EA"/>
    <w:rsid w:val="00336F1B"/>
    <w:rsid w:val="00370498"/>
    <w:rsid w:val="003730ED"/>
    <w:rsid w:val="00391C82"/>
    <w:rsid w:val="003F1DEF"/>
    <w:rsid w:val="003F72FA"/>
    <w:rsid w:val="00404A65"/>
    <w:rsid w:val="00414706"/>
    <w:rsid w:val="00423337"/>
    <w:rsid w:val="004360CD"/>
    <w:rsid w:val="00436E27"/>
    <w:rsid w:val="00443A2D"/>
    <w:rsid w:val="0045352F"/>
    <w:rsid w:val="00464265"/>
    <w:rsid w:val="00514F32"/>
    <w:rsid w:val="005331CE"/>
    <w:rsid w:val="005D226F"/>
    <w:rsid w:val="005E55B4"/>
    <w:rsid w:val="005F1E99"/>
    <w:rsid w:val="005F43C4"/>
    <w:rsid w:val="00626563"/>
    <w:rsid w:val="00631182"/>
    <w:rsid w:val="00651FF9"/>
    <w:rsid w:val="00663DCD"/>
    <w:rsid w:val="00663EB6"/>
    <w:rsid w:val="006721EC"/>
    <w:rsid w:val="0069312B"/>
    <w:rsid w:val="006B4E92"/>
    <w:rsid w:val="00766B6F"/>
    <w:rsid w:val="007A7D88"/>
    <w:rsid w:val="007D4CF5"/>
    <w:rsid w:val="007E755B"/>
    <w:rsid w:val="007F3F01"/>
    <w:rsid w:val="00803236"/>
    <w:rsid w:val="008355CF"/>
    <w:rsid w:val="00840380"/>
    <w:rsid w:val="0086611C"/>
    <w:rsid w:val="00870248"/>
    <w:rsid w:val="008C0138"/>
    <w:rsid w:val="008D3C4F"/>
    <w:rsid w:val="008E6D07"/>
    <w:rsid w:val="0094405C"/>
    <w:rsid w:val="00944888"/>
    <w:rsid w:val="0095639C"/>
    <w:rsid w:val="00984E15"/>
    <w:rsid w:val="00991B67"/>
    <w:rsid w:val="009A2047"/>
    <w:rsid w:val="009B739B"/>
    <w:rsid w:val="009D7D75"/>
    <w:rsid w:val="00A13C4E"/>
    <w:rsid w:val="00A14D55"/>
    <w:rsid w:val="00A34BD9"/>
    <w:rsid w:val="00A63A75"/>
    <w:rsid w:val="00AE22A9"/>
    <w:rsid w:val="00AF30B8"/>
    <w:rsid w:val="00B609EA"/>
    <w:rsid w:val="00B770FE"/>
    <w:rsid w:val="00B92CC4"/>
    <w:rsid w:val="00BE3583"/>
    <w:rsid w:val="00BF72AC"/>
    <w:rsid w:val="00C160DC"/>
    <w:rsid w:val="00C54CC6"/>
    <w:rsid w:val="00C57F6F"/>
    <w:rsid w:val="00C842DA"/>
    <w:rsid w:val="00CB6C4B"/>
    <w:rsid w:val="00CC34E1"/>
    <w:rsid w:val="00CE7F78"/>
    <w:rsid w:val="00CF13B8"/>
    <w:rsid w:val="00CF4172"/>
    <w:rsid w:val="00D11515"/>
    <w:rsid w:val="00D3015F"/>
    <w:rsid w:val="00D3431F"/>
    <w:rsid w:val="00D42C96"/>
    <w:rsid w:val="00D4495F"/>
    <w:rsid w:val="00D91139"/>
    <w:rsid w:val="00DB3211"/>
    <w:rsid w:val="00E504F2"/>
    <w:rsid w:val="00E5235D"/>
    <w:rsid w:val="00E62FEC"/>
    <w:rsid w:val="00E67DF9"/>
    <w:rsid w:val="00E82FE9"/>
    <w:rsid w:val="00E95691"/>
    <w:rsid w:val="00F446E3"/>
    <w:rsid w:val="00FC7912"/>
    <w:rsid w:val="00FD4C4F"/>
    <w:rsid w:val="00FD5568"/>
    <w:rsid w:val="00FF5E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6EE"/>
    <w:pPr>
      <w:spacing w:after="200" w:line="276" w:lineRule="auto"/>
    </w:pPr>
    <w:rPr>
      <w:sz w:val="22"/>
      <w:szCs w:val="22"/>
      <w:lang w:eastAsia="en-US"/>
    </w:rPr>
  </w:style>
  <w:style w:type="paragraph" w:styleId="1">
    <w:name w:val="heading 1"/>
    <w:basedOn w:val="a"/>
    <w:next w:val="a"/>
    <w:link w:val="10"/>
    <w:uiPriority w:val="9"/>
    <w:qFormat/>
    <w:rsid w:val="00CF13B8"/>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B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CF13B8"/>
    <w:rPr>
      <w:rFonts w:ascii="Cambria" w:eastAsia="Times New Roman" w:hAnsi="Cambria" w:cs="Times New Roman"/>
      <w:b/>
      <w:bCs/>
      <w:color w:val="365F91"/>
      <w:sz w:val="28"/>
      <w:szCs w:val="28"/>
    </w:rPr>
  </w:style>
  <w:style w:type="paragraph" w:styleId="a4">
    <w:name w:val="List Paragraph"/>
    <w:basedOn w:val="a"/>
    <w:uiPriority w:val="34"/>
    <w:qFormat/>
    <w:rsid w:val="000B08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Asros</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Safonov</dc:creator>
  <cp:lastModifiedBy>Елена</cp:lastModifiedBy>
  <cp:revision>2</cp:revision>
  <dcterms:created xsi:type="dcterms:W3CDTF">2010-10-25T12:12:00Z</dcterms:created>
  <dcterms:modified xsi:type="dcterms:W3CDTF">2010-10-25T12:12:00Z</dcterms:modified>
</cp:coreProperties>
</file>