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24" w:rsidRPr="00426BAE" w:rsidRDefault="00C92B24" w:rsidP="00C92B24">
      <w:pPr>
        <w:ind w:left="0" w:firstLine="0"/>
        <w:rPr>
          <w:b/>
          <w:sz w:val="24"/>
          <w:szCs w:val="24"/>
        </w:rPr>
      </w:pPr>
      <w:r w:rsidRPr="00426BAE">
        <w:rPr>
          <w:b/>
          <w:sz w:val="24"/>
          <w:szCs w:val="24"/>
        </w:rPr>
        <w:t xml:space="preserve">Предложения ФАС по </w:t>
      </w:r>
      <w:r w:rsidR="00531E0D" w:rsidRPr="00426BAE">
        <w:rPr>
          <w:b/>
          <w:sz w:val="24"/>
          <w:szCs w:val="24"/>
        </w:rPr>
        <w:t>калькул</w:t>
      </w:r>
      <w:r w:rsidR="00F923DF" w:rsidRPr="00426BAE">
        <w:rPr>
          <w:b/>
          <w:sz w:val="24"/>
          <w:szCs w:val="24"/>
        </w:rPr>
        <w:t>яции</w:t>
      </w:r>
      <w:r w:rsidRPr="00426BAE">
        <w:rPr>
          <w:b/>
          <w:sz w:val="24"/>
          <w:szCs w:val="24"/>
        </w:rPr>
        <w:t xml:space="preserve"> </w:t>
      </w:r>
      <w:r w:rsidR="001A554F" w:rsidRPr="00426BAE">
        <w:rPr>
          <w:b/>
          <w:sz w:val="24"/>
          <w:szCs w:val="24"/>
        </w:rPr>
        <w:t xml:space="preserve">средней </w:t>
      </w:r>
      <w:r w:rsidRPr="00426BAE">
        <w:rPr>
          <w:b/>
          <w:sz w:val="24"/>
          <w:szCs w:val="24"/>
        </w:rPr>
        <w:t>ставк</w:t>
      </w:r>
      <w:r w:rsidR="00531E0D" w:rsidRPr="00426BAE">
        <w:rPr>
          <w:b/>
          <w:sz w:val="24"/>
          <w:szCs w:val="24"/>
        </w:rPr>
        <w:t>и</w:t>
      </w:r>
      <w:r w:rsidRPr="00426BAE">
        <w:rPr>
          <w:b/>
          <w:sz w:val="24"/>
          <w:szCs w:val="24"/>
        </w:rPr>
        <w:t xml:space="preserve"> потребительского кр</w:t>
      </w:r>
      <w:r w:rsidR="007B66A8" w:rsidRPr="00426BAE">
        <w:rPr>
          <w:b/>
          <w:sz w:val="24"/>
          <w:szCs w:val="24"/>
        </w:rPr>
        <w:t>едита нарушают основы</w:t>
      </w:r>
      <w:r w:rsidRPr="00426BAE">
        <w:rPr>
          <w:b/>
          <w:sz w:val="24"/>
          <w:szCs w:val="24"/>
        </w:rPr>
        <w:t xml:space="preserve"> конкуренции, считают в Ассоциации реги</w:t>
      </w:r>
      <w:r w:rsidR="005324EB">
        <w:rPr>
          <w:b/>
          <w:sz w:val="24"/>
          <w:szCs w:val="24"/>
        </w:rPr>
        <w:t>ональных банков России (АСРОС)</w:t>
      </w:r>
    </w:p>
    <w:p w:rsidR="00C92B24" w:rsidRPr="00426BAE" w:rsidRDefault="00C92B24" w:rsidP="00C92B24">
      <w:pPr>
        <w:ind w:left="0" w:firstLine="0"/>
        <w:rPr>
          <w:sz w:val="24"/>
          <w:szCs w:val="24"/>
        </w:rPr>
      </w:pPr>
    </w:p>
    <w:p w:rsidR="00C92B24" w:rsidRPr="00426BAE" w:rsidRDefault="001A554F" w:rsidP="00C92B24">
      <w:pPr>
        <w:ind w:left="0" w:firstLine="0"/>
        <w:rPr>
          <w:sz w:val="24"/>
          <w:szCs w:val="24"/>
        </w:rPr>
      </w:pPr>
      <w:r w:rsidRPr="00426BAE">
        <w:rPr>
          <w:sz w:val="24"/>
          <w:szCs w:val="24"/>
        </w:rPr>
        <w:tab/>
      </w:r>
      <w:r w:rsidR="00C92B24" w:rsidRPr="00426BAE">
        <w:rPr>
          <w:sz w:val="24"/>
          <w:szCs w:val="24"/>
        </w:rPr>
        <w:t xml:space="preserve">Федеральная антимонопольная служба предлагает ввести </w:t>
      </w:r>
      <w:r w:rsidR="00662DE0" w:rsidRPr="00426BAE">
        <w:rPr>
          <w:sz w:val="24"/>
          <w:szCs w:val="24"/>
        </w:rPr>
        <w:t xml:space="preserve">для банков </w:t>
      </w:r>
      <w:r w:rsidR="00C92B24" w:rsidRPr="00426BAE">
        <w:rPr>
          <w:sz w:val="24"/>
          <w:szCs w:val="24"/>
        </w:rPr>
        <w:t>требование по информированию заемщиков о среднерыночном уровне ставок по кредитам. Банку России предлагается рассчитывать среднюю процентную ставку по рынку по отдельным кредитным продуктам, и эту ставку, умноженную на определенный коэффициент, банки будут обязаны размещать на информационных стендах в своих отделениях. Усредненные ставки планируется рассчитывать для каждого отдельного вида розничного кредитования. По задумке разработчиков из ФАС, заемщик сможет сам сравнить среднерыночную ставку с тем, что предлагает ему банк, чтобы выбрать кредит с наилучшими условиями.</w:t>
      </w:r>
    </w:p>
    <w:p w:rsidR="00C92B24" w:rsidRPr="00426BAE" w:rsidRDefault="001A554F" w:rsidP="00C92B24">
      <w:pPr>
        <w:ind w:left="0" w:firstLine="0"/>
        <w:rPr>
          <w:sz w:val="24"/>
          <w:szCs w:val="24"/>
        </w:rPr>
      </w:pPr>
      <w:r w:rsidRPr="00426BAE">
        <w:rPr>
          <w:sz w:val="24"/>
          <w:szCs w:val="24"/>
        </w:rPr>
        <w:tab/>
      </w:r>
      <w:r w:rsidR="00C92B24" w:rsidRPr="00426BAE">
        <w:rPr>
          <w:sz w:val="24"/>
          <w:szCs w:val="24"/>
        </w:rPr>
        <w:t xml:space="preserve">По мнению вице-президента АСРОС Олег Иванова, предложение ФАС не возможно реализовать на практике. </w:t>
      </w:r>
      <w:r w:rsidR="00531E0D" w:rsidRPr="00426BAE">
        <w:rPr>
          <w:sz w:val="24"/>
          <w:szCs w:val="24"/>
        </w:rPr>
        <w:t>Более того, п</w:t>
      </w:r>
      <w:r w:rsidR="00C92B24" w:rsidRPr="00426BAE">
        <w:rPr>
          <w:sz w:val="24"/>
          <w:szCs w:val="24"/>
        </w:rPr>
        <w:t xml:space="preserve">опытка его реализация приведет к грубейшим нарушениям </w:t>
      </w:r>
      <w:r w:rsidR="00357177" w:rsidRPr="00426BAE">
        <w:rPr>
          <w:sz w:val="24"/>
          <w:szCs w:val="24"/>
        </w:rPr>
        <w:t xml:space="preserve">принципа равной </w:t>
      </w:r>
      <w:r w:rsidR="00C92B24" w:rsidRPr="00426BAE">
        <w:rPr>
          <w:sz w:val="24"/>
          <w:szCs w:val="24"/>
        </w:rPr>
        <w:t xml:space="preserve">конкуренции. </w:t>
      </w:r>
    </w:p>
    <w:p w:rsidR="00C92B24" w:rsidRPr="00426BAE" w:rsidRDefault="001A554F" w:rsidP="00C92B24">
      <w:pPr>
        <w:ind w:left="0" w:firstLine="0"/>
        <w:rPr>
          <w:sz w:val="24"/>
          <w:szCs w:val="24"/>
        </w:rPr>
      </w:pPr>
      <w:r w:rsidRPr="00426BAE">
        <w:rPr>
          <w:sz w:val="24"/>
          <w:szCs w:val="24"/>
        </w:rPr>
        <w:tab/>
      </w:r>
      <w:r w:rsidR="00C92B24" w:rsidRPr="00426BAE">
        <w:rPr>
          <w:sz w:val="24"/>
          <w:szCs w:val="24"/>
        </w:rPr>
        <w:t xml:space="preserve">Даже для простейших годовых потребительских кредитов (на неотложные нужды или приобретение бытовой техники) </w:t>
      </w:r>
      <w:r w:rsidR="00531E0D" w:rsidRPr="00426BAE">
        <w:rPr>
          <w:sz w:val="24"/>
          <w:szCs w:val="24"/>
        </w:rPr>
        <w:t>крайне сложно предложить методику рас</w:t>
      </w:r>
      <w:r w:rsidR="00C92B24" w:rsidRPr="00426BAE">
        <w:rPr>
          <w:sz w:val="24"/>
          <w:szCs w:val="24"/>
        </w:rPr>
        <w:t>ч</w:t>
      </w:r>
      <w:r w:rsidR="00531E0D" w:rsidRPr="00426BAE">
        <w:rPr>
          <w:sz w:val="24"/>
          <w:szCs w:val="24"/>
        </w:rPr>
        <w:t>ета</w:t>
      </w:r>
      <w:r w:rsidR="00C92B24" w:rsidRPr="00426BAE">
        <w:rPr>
          <w:sz w:val="24"/>
          <w:szCs w:val="24"/>
        </w:rPr>
        <w:t xml:space="preserve"> среднерыноч</w:t>
      </w:r>
      <w:r w:rsidR="00531E0D" w:rsidRPr="00426BAE">
        <w:rPr>
          <w:sz w:val="24"/>
          <w:szCs w:val="24"/>
        </w:rPr>
        <w:t>ной</w:t>
      </w:r>
      <w:r w:rsidR="00C92B24" w:rsidRPr="00426BAE">
        <w:rPr>
          <w:sz w:val="24"/>
          <w:szCs w:val="24"/>
        </w:rPr>
        <w:t xml:space="preserve"> ставк</w:t>
      </w:r>
      <w:r w:rsidR="00531E0D" w:rsidRPr="00426BAE">
        <w:rPr>
          <w:sz w:val="24"/>
          <w:szCs w:val="24"/>
        </w:rPr>
        <w:t>и</w:t>
      </w:r>
      <w:r w:rsidR="00C92B24" w:rsidRPr="00426BAE">
        <w:rPr>
          <w:sz w:val="24"/>
          <w:szCs w:val="24"/>
        </w:rPr>
        <w:t>. Размер процентных платежей по таким кредитам существенно зависит от большого числа факторов</w:t>
      </w:r>
      <w:r w:rsidR="009225C7" w:rsidRPr="00426BAE">
        <w:rPr>
          <w:sz w:val="24"/>
          <w:szCs w:val="24"/>
        </w:rPr>
        <w:t xml:space="preserve"> (условий)</w:t>
      </w:r>
      <w:r w:rsidR="00C92B24" w:rsidRPr="00426BAE">
        <w:rPr>
          <w:sz w:val="24"/>
          <w:szCs w:val="24"/>
        </w:rPr>
        <w:t>:</w:t>
      </w:r>
    </w:p>
    <w:p w:rsidR="00357177" w:rsidRPr="00426BAE" w:rsidRDefault="00C92B24" w:rsidP="00C92B24">
      <w:pPr>
        <w:ind w:left="0" w:firstLine="0"/>
        <w:rPr>
          <w:sz w:val="24"/>
          <w:szCs w:val="24"/>
        </w:rPr>
      </w:pPr>
      <w:r w:rsidRPr="00426BAE">
        <w:rPr>
          <w:sz w:val="24"/>
          <w:szCs w:val="24"/>
        </w:rPr>
        <w:t>1) Кредит, предоставляемый в торговой точке, всегда будет более дороги</w:t>
      </w:r>
      <w:r w:rsidR="00357177" w:rsidRPr="00426BAE">
        <w:rPr>
          <w:sz w:val="24"/>
          <w:szCs w:val="24"/>
        </w:rPr>
        <w:t>м (до 3 процентных пунктов)</w:t>
      </w:r>
      <w:r w:rsidRPr="00426BAE">
        <w:rPr>
          <w:sz w:val="24"/>
          <w:szCs w:val="24"/>
        </w:rPr>
        <w:t xml:space="preserve">, нежели кредит в отделении банка. </w:t>
      </w:r>
      <w:r w:rsidR="009225C7" w:rsidRPr="00426BAE">
        <w:rPr>
          <w:sz w:val="24"/>
          <w:szCs w:val="24"/>
        </w:rPr>
        <w:t xml:space="preserve">Ведь в первом случае </w:t>
      </w:r>
      <w:r w:rsidRPr="00426BAE">
        <w:rPr>
          <w:sz w:val="24"/>
          <w:szCs w:val="24"/>
        </w:rPr>
        <w:t>банк несет дополнительные расход</w:t>
      </w:r>
      <w:r w:rsidR="00357177" w:rsidRPr="00426BAE">
        <w:rPr>
          <w:sz w:val="24"/>
          <w:szCs w:val="24"/>
        </w:rPr>
        <w:t>ы на сотрудников;</w:t>
      </w:r>
    </w:p>
    <w:p w:rsidR="00357177" w:rsidRPr="00426BAE" w:rsidRDefault="00357177" w:rsidP="00C92B24">
      <w:pPr>
        <w:ind w:left="0" w:firstLine="0"/>
        <w:rPr>
          <w:sz w:val="24"/>
          <w:szCs w:val="24"/>
        </w:rPr>
      </w:pPr>
      <w:r w:rsidRPr="00426BAE">
        <w:rPr>
          <w:sz w:val="24"/>
          <w:szCs w:val="24"/>
        </w:rPr>
        <w:t>2) Кредит, выплачиваемый наличными, будет более дорогим, нежели кредит, перечисляемый на счет (до 2 процентных пунктов)</w:t>
      </w:r>
      <w:r w:rsidR="00531E0D" w:rsidRPr="00426BAE">
        <w:rPr>
          <w:sz w:val="24"/>
          <w:szCs w:val="24"/>
        </w:rPr>
        <w:t>,</w:t>
      </w:r>
      <w:r w:rsidR="009225C7" w:rsidRPr="00426BAE">
        <w:rPr>
          <w:sz w:val="24"/>
          <w:szCs w:val="24"/>
        </w:rPr>
        <w:t xml:space="preserve"> по причине расходов на инкассацию</w:t>
      </w:r>
      <w:r w:rsidRPr="00426BAE">
        <w:rPr>
          <w:sz w:val="24"/>
          <w:szCs w:val="24"/>
        </w:rPr>
        <w:t>;</w:t>
      </w:r>
    </w:p>
    <w:p w:rsidR="00357177" w:rsidRPr="00426BAE" w:rsidRDefault="00357177" w:rsidP="00C92B24">
      <w:pPr>
        <w:ind w:left="0" w:firstLine="0"/>
        <w:rPr>
          <w:sz w:val="24"/>
          <w:szCs w:val="24"/>
        </w:rPr>
      </w:pPr>
      <w:r w:rsidRPr="00426BAE">
        <w:rPr>
          <w:sz w:val="24"/>
          <w:szCs w:val="24"/>
        </w:rPr>
        <w:t xml:space="preserve">3) </w:t>
      </w:r>
      <w:r w:rsidR="009225C7" w:rsidRPr="00426BAE">
        <w:rPr>
          <w:sz w:val="24"/>
          <w:szCs w:val="24"/>
        </w:rPr>
        <w:t>Экспресс-к</w:t>
      </w:r>
      <w:r w:rsidRPr="00426BAE">
        <w:rPr>
          <w:sz w:val="24"/>
          <w:szCs w:val="24"/>
        </w:rPr>
        <w:t>редит, предоставляемый в течение 30 минут, при предъявлении одного или двух документов, будет значительно более дорогим (до 10 процентных пунктов), нежели кредит, решение</w:t>
      </w:r>
      <w:r w:rsidR="00426BAE">
        <w:rPr>
          <w:sz w:val="24"/>
          <w:szCs w:val="24"/>
        </w:rPr>
        <w:t>,</w:t>
      </w:r>
      <w:r w:rsidRPr="00426BAE">
        <w:rPr>
          <w:sz w:val="24"/>
          <w:szCs w:val="24"/>
        </w:rPr>
        <w:t xml:space="preserve"> о выдаче которого банк принимает от 3 до 7 дней, запрашивая дополнительные документы и тщательно проверяя заемщика;</w:t>
      </w:r>
    </w:p>
    <w:p w:rsidR="00357177" w:rsidRPr="00426BAE" w:rsidRDefault="00357177" w:rsidP="00C92B24">
      <w:pPr>
        <w:ind w:left="0" w:firstLine="0"/>
        <w:rPr>
          <w:sz w:val="24"/>
          <w:szCs w:val="24"/>
        </w:rPr>
      </w:pPr>
      <w:r w:rsidRPr="00426BAE">
        <w:rPr>
          <w:sz w:val="24"/>
          <w:szCs w:val="24"/>
        </w:rPr>
        <w:t>4) Кредит, предоставленный без поручительства со стороны других лиц, будет существенно дороже (до 7 процентных пункта) нежели необеспеченный кредит;</w:t>
      </w:r>
    </w:p>
    <w:p w:rsidR="00357177" w:rsidRPr="00426BAE" w:rsidRDefault="00357177" w:rsidP="00C92B24">
      <w:pPr>
        <w:ind w:left="0" w:firstLine="0"/>
        <w:rPr>
          <w:sz w:val="24"/>
          <w:szCs w:val="24"/>
        </w:rPr>
      </w:pPr>
      <w:r w:rsidRPr="00426BAE">
        <w:rPr>
          <w:sz w:val="24"/>
          <w:szCs w:val="24"/>
        </w:rPr>
        <w:t xml:space="preserve">5) Кредит, предоставленный заемщику, не имеющему </w:t>
      </w:r>
      <w:r w:rsidR="00C22201" w:rsidRPr="00426BAE">
        <w:rPr>
          <w:sz w:val="24"/>
          <w:szCs w:val="24"/>
        </w:rPr>
        <w:t>кредитной истории в данном банке</w:t>
      </w:r>
      <w:r w:rsidRPr="00426BAE">
        <w:rPr>
          <w:sz w:val="24"/>
          <w:szCs w:val="24"/>
        </w:rPr>
        <w:t xml:space="preserve"> (или вообще)</w:t>
      </w:r>
      <w:r w:rsidR="009225C7" w:rsidRPr="00426BAE">
        <w:rPr>
          <w:sz w:val="24"/>
          <w:szCs w:val="24"/>
        </w:rPr>
        <w:t>,</w:t>
      </w:r>
      <w:r w:rsidRPr="00426BAE">
        <w:rPr>
          <w:sz w:val="24"/>
          <w:szCs w:val="24"/>
        </w:rPr>
        <w:t xml:space="preserve"> будет более дорогим (до 5 процентных пунктов), нежели кредит, предоставленный </w:t>
      </w:r>
      <w:r w:rsidR="009225C7" w:rsidRPr="00426BAE">
        <w:rPr>
          <w:sz w:val="24"/>
          <w:szCs w:val="24"/>
        </w:rPr>
        <w:t>проверенному</w:t>
      </w:r>
      <w:r w:rsidRPr="00426BAE">
        <w:rPr>
          <w:sz w:val="24"/>
          <w:szCs w:val="24"/>
        </w:rPr>
        <w:t xml:space="preserve"> клиенту.</w:t>
      </w:r>
    </w:p>
    <w:p w:rsidR="00C22201" w:rsidRPr="00426BAE" w:rsidRDefault="001A554F" w:rsidP="00C92B24">
      <w:pPr>
        <w:ind w:left="0" w:firstLine="0"/>
        <w:rPr>
          <w:sz w:val="24"/>
          <w:szCs w:val="24"/>
        </w:rPr>
      </w:pPr>
      <w:r w:rsidRPr="00426BAE">
        <w:rPr>
          <w:sz w:val="24"/>
          <w:szCs w:val="24"/>
        </w:rPr>
        <w:tab/>
      </w:r>
      <w:r w:rsidR="00C22201" w:rsidRPr="00426BAE">
        <w:rPr>
          <w:sz w:val="24"/>
          <w:szCs w:val="24"/>
        </w:rPr>
        <w:t xml:space="preserve">Все названные </w:t>
      </w:r>
      <w:r w:rsidRPr="00426BAE">
        <w:rPr>
          <w:sz w:val="24"/>
          <w:szCs w:val="24"/>
        </w:rPr>
        <w:t>условия</w:t>
      </w:r>
      <w:r w:rsidR="00C22201" w:rsidRPr="00426BAE">
        <w:rPr>
          <w:sz w:val="24"/>
          <w:szCs w:val="24"/>
        </w:rPr>
        <w:t xml:space="preserve"> существенным образом влияют на стоимость кредита. Усреднение стоимости кредита без их учета является не только бессмысленной, но и нарушающей принципы равной конкуренции </w:t>
      </w:r>
      <w:r w:rsidR="00531E0D" w:rsidRPr="00426BAE">
        <w:rPr>
          <w:sz w:val="24"/>
          <w:szCs w:val="24"/>
        </w:rPr>
        <w:t>затеей</w:t>
      </w:r>
      <w:r w:rsidR="00C22201" w:rsidRPr="00426BAE">
        <w:rPr>
          <w:sz w:val="24"/>
          <w:szCs w:val="24"/>
        </w:rPr>
        <w:t>. При этом в преимущественном положении</w:t>
      </w:r>
      <w:r w:rsidRPr="00426BAE">
        <w:rPr>
          <w:sz w:val="24"/>
          <w:szCs w:val="24"/>
        </w:rPr>
        <w:t xml:space="preserve"> окажу</w:t>
      </w:r>
      <w:r w:rsidR="00C22201" w:rsidRPr="00426BAE">
        <w:rPr>
          <w:sz w:val="24"/>
          <w:szCs w:val="24"/>
        </w:rPr>
        <w:t>тся банки</w:t>
      </w:r>
      <w:r w:rsidRPr="00426BAE">
        <w:rPr>
          <w:sz w:val="24"/>
          <w:szCs w:val="24"/>
        </w:rPr>
        <w:t>,</w:t>
      </w:r>
      <w:r w:rsidR="00C22201" w:rsidRPr="00426BAE">
        <w:rPr>
          <w:sz w:val="24"/>
          <w:szCs w:val="24"/>
        </w:rPr>
        <w:t xml:space="preserve"> предоставляющие кредиты в своих отделениях, на счета заемщиков, под поручительство третьих лиц.  </w:t>
      </w:r>
    </w:p>
    <w:p w:rsidR="00357177" w:rsidRPr="00426BAE" w:rsidRDefault="001A554F" w:rsidP="00C92B24">
      <w:pPr>
        <w:ind w:left="0" w:firstLine="0"/>
        <w:rPr>
          <w:sz w:val="24"/>
          <w:szCs w:val="24"/>
        </w:rPr>
      </w:pPr>
      <w:r w:rsidRPr="00426BAE">
        <w:rPr>
          <w:sz w:val="24"/>
          <w:szCs w:val="24"/>
        </w:rPr>
        <w:tab/>
      </w:r>
      <w:r w:rsidR="00C22201" w:rsidRPr="00426BAE">
        <w:rPr>
          <w:sz w:val="24"/>
          <w:szCs w:val="24"/>
        </w:rPr>
        <w:t>Для того чтобы учесть все параметры, влияющие на стоимость кредита, необходимо рассчитать и довести до потребителя среднюю стоимость кредита для всех возможных комбинаций указанных параметров, которых в соответствии с законами комбинаторики может быть не менее 2</w:t>
      </w:r>
      <w:r w:rsidR="00C22201" w:rsidRPr="00426BAE">
        <w:rPr>
          <w:sz w:val="24"/>
          <w:szCs w:val="24"/>
          <w:vertAlign w:val="superscript"/>
        </w:rPr>
        <w:t>5</w:t>
      </w:r>
      <w:r w:rsidR="00C22201" w:rsidRPr="00426BAE">
        <w:rPr>
          <w:sz w:val="24"/>
          <w:szCs w:val="24"/>
        </w:rPr>
        <w:t>=32. Сомнительно, что предоставление потр</w:t>
      </w:r>
      <w:r w:rsidR="00426BAE">
        <w:rPr>
          <w:sz w:val="24"/>
          <w:szCs w:val="24"/>
        </w:rPr>
        <w:t>ебителю данных о стоимости 32</w:t>
      </w:r>
      <w:r w:rsidR="00C22201" w:rsidRPr="00426BAE">
        <w:rPr>
          <w:sz w:val="24"/>
          <w:szCs w:val="24"/>
        </w:rPr>
        <w:t xml:space="preserve"> видов потребительских кре</w:t>
      </w:r>
      <w:r w:rsidR="00426BAE">
        <w:rPr>
          <w:sz w:val="24"/>
          <w:szCs w:val="24"/>
        </w:rPr>
        <w:t>дитов на неотложные нужны, 32</w:t>
      </w:r>
      <w:r w:rsidR="00C22201" w:rsidRPr="00426BAE">
        <w:rPr>
          <w:sz w:val="24"/>
          <w:szCs w:val="24"/>
        </w:rPr>
        <w:t xml:space="preserve"> видов автокред</w:t>
      </w:r>
      <w:r w:rsidR="00531E0D" w:rsidRPr="00426BAE">
        <w:rPr>
          <w:sz w:val="24"/>
          <w:szCs w:val="24"/>
        </w:rPr>
        <w:t>итов</w:t>
      </w:r>
      <w:r w:rsidR="00C22201" w:rsidRPr="00426BAE">
        <w:rPr>
          <w:sz w:val="24"/>
          <w:szCs w:val="24"/>
        </w:rPr>
        <w:t xml:space="preserve"> и 32 видов ипотечных кредитов, упростит для него выбор кредитного продукта. </w:t>
      </w:r>
      <w:r w:rsidRPr="00426BAE">
        <w:rPr>
          <w:sz w:val="24"/>
          <w:szCs w:val="24"/>
        </w:rPr>
        <w:t>Информационный листок, о котором говорит ФАС, рискует превратиться в информационную «простыню».</w:t>
      </w:r>
      <w:r w:rsidR="00C22201" w:rsidRPr="00426BAE">
        <w:rPr>
          <w:sz w:val="24"/>
          <w:szCs w:val="24"/>
        </w:rPr>
        <w:t xml:space="preserve"> </w:t>
      </w:r>
      <w:r w:rsidR="00531E0D" w:rsidRPr="00426BAE">
        <w:rPr>
          <w:sz w:val="24"/>
          <w:szCs w:val="24"/>
        </w:rPr>
        <w:t>Усреднять стоимость кредита без учета этих условий, все равно</w:t>
      </w:r>
      <w:r w:rsidR="00426BAE">
        <w:rPr>
          <w:sz w:val="24"/>
          <w:szCs w:val="24"/>
        </w:rPr>
        <w:t>,</w:t>
      </w:r>
      <w:r w:rsidR="00531E0D" w:rsidRPr="00426BAE">
        <w:rPr>
          <w:sz w:val="24"/>
          <w:szCs w:val="24"/>
        </w:rPr>
        <w:t xml:space="preserve"> что усреднять температуру по градусам Цельсия и Фаренгейта.</w:t>
      </w:r>
      <w:r w:rsidR="00C22201" w:rsidRPr="00426BAE">
        <w:rPr>
          <w:sz w:val="24"/>
          <w:szCs w:val="24"/>
        </w:rPr>
        <w:t xml:space="preserve"> </w:t>
      </w:r>
    </w:p>
    <w:p w:rsidR="001A554F" w:rsidRPr="00426BAE" w:rsidRDefault="001A554F" w:rsidP="00C92B24">
      <w:pPr>
        <w:ind w:left="0" w:firstLine="0"/>
        <w:rPr>
          <w:sz w:val="24"/>
          <w:szCs w:val="24"/>
        </w:rPr>
      </w:pPr>
      <w:r w:rsidRPr="00426BAE">
        <w:rPr>
          <w:sz w:val="24"/>
          <w:szCs w:val="24"/>
        </w:rPr>
        <w:tab/>
      </w:r>
      <w:r w:rsidR="00C22201" w:rsidRPr="00426BAE">
        <w:rPr>
          <w:sz w:val="24"/>
          <w:szCs w:val="24"/>
        </w:rPr>
        <w:t>Следует отметить еще один важный факт. В настоящее время наиболее выгодные ставки потребительских кредитов банки</w:t>
      </w:r>
      <w:r w:rsidR="009225C7" w:rsidRPr="00426BAE">
        <w:rPr>
          <w:sz w:val="24"/>
          <w:szCs w:val="24"/>
        </w:rPr>
        <w:t xml:space="preserve"> предлагают тем заемщикам, которые</w:t>
      </w:r>
      <w:r w:rsidRPr="00426BAE">
        <w:rPr>
          <w:sz w:val="24"/>
          <w:szCs w:val="24"/>
        </w:rPr>
        <w:t xml:space="preserve"> имеют в них</w:t>
      </w:r>
      <w:r w:rsidR="009225C7" w:rsidRPr="00426BAE">
        <w:rPr>
          <w:sz w:val="24"/>
          <w:szCs w:val="24"/>
        </w:rPr>
        <w:t xml:space="preserve"> «зарплатные» счета. То обстоятельство, что за</w:t>
      </w:r>
      <w:r w:rsidR="00155CA2">
        <w:rPr>
          <w:sz w:val="24"/>
          <w:szCs w:val="24"/>
        </w:rPr>
        <w:t>р</w:t>
      </w:r>
      <w:r w:rsidR="009225C7" w:rsidRPr="00426BAE">
        <w:rPr>
          <w:sz w:val="24"/>
          <w:szCs w:val="24"/>
        </w:rPr>
        <w:t xml:space="preserve">плата заемщика регулярно </w:t>
      </w:r>
      <w:r w:rsidR="009225C7" w:rsidRPr="00426BAE">
        <w:rPr>
          <w:sz w:val="24"/>
          <w:szCs w:val="24"/>
        </w:rPr>
        <w:lastRenderedPageBreak/>
        <w:t>перечисляется на счет в банке, позволяет последнему эффективно контролировать и снижать кредитные риски. Доминирующе</w:t>
      </w:r>
      <w:r w:rsidRPr="00426BAE">
        <w:rPr>
          <w:sz w:val="24"/>
          <w:szCs w:val="24"/>
        </w:rPr>
        <w:t>е м</w:t>
      </w:r>
      <w:r w:rsidR="009225C7" w:rsidRPr="00426BAE">
        <w:rPr>
          <w:sz w:val="24"/>
          <w:szCs w:val="24"/>
        </w:rPr>
        <w:t>есто в сфере «зарплатных» проектов сегодня занимают крупнейшие банки с государственным участием. Таким образом, новое предложение ФАС</w:t>
      </w:r>
      <w:r w:rsidR="00426BAE">
        <w:rPr>
          <w:sz w:val="24"/>
          <w:szCs w:val="24"/>
        </w:rPr>
        <w:t>,</w:t>
      </w:r>
      <w:r w:rsidR="009225C7" w:rsidRPr="00426BAE">
        <w:rPr>
          <w:sz w:val="24"/>
          <w:szCs w:val="24"/>
        </w:rPr>
        <w:t xml:space="preserve"> по сути</w:t>
      </w:r>
      <w:r w:rsidR="00426BAE">
        <w:rPr>
          <w:sz w:val="24"/>
          <w:szCs w:val="24"/>
        </w:rPr>
        <w:t>,</w:t>
      </w:r>
      <w:r w:rsidR="009225C7" w:rsidRPr="00426BAE">
        <w:rPr>
          <w:sz w:val="24"/>
          <w:szCs w:val="24"/>
        </w:rPr>
        <w:t xml:space="preserve"> ставит их в привилегированное положение. Доминируя на рынке «зарплатных» проектов, госбанки получат законную возможность оказывать неконкурентное давление на </w:t>
      </w:r>
      <w:r w:rsidRPr="00426BAE">
        <w:rPr>
          <w:sz w:val="24"/>
          <w:szCs w:val="24"/>
        </w:rPr>
        <w:t>стоимость потребительского кредита через предлагаемый механизм усреднения</w:t>
      </w:r>
      <w:r w:rsidR="00531E0D" w:rsidRPr="00426BAE">
        <w:rPr>
          <w:sz w:val="24"/>
          <w:szCs w:val="24"/>
        </w:rPr>
        <w:t xml:space="preserve"> и дополнительную рекламную возможность</w:t>
      </w:r>
      <w:r w:rsidRPr="00426BAE">
        <w:rPr>
          <w:sz w:val="24"/>
          <w:szCs w:val="24"/>
        </w:rPr>
        <w:t>.</w:t>
      </w:r>
    </w:p>
    <w:p w:rsidR="00531E0D" w:rsidRPr="00426BAE" w:rsidRDefault="001A554F" w:rsidP="00C92B24">
      <w:pPr>
        <w:ind w:left="0" w:firstLine="0"/>
        <w:rPr>
          <w:sz w:val="24"/>
          <w:szCs w:val="24"/>
        </w:rPr>
      </w:pPr>
      <w:r w:rsidRPr="00426BAE">
        <w:rPr>
          <w:sz w:val="24"/>
          <w:szCs w:val="24"/>
        </w:rPr>
        <w:tab/>
        <w:t>Изобретение ФАС следует признать финансовой инновацией, поскольк</w:t>
      </w:r>
      <w:r w:rsidR="00426BAE">
        <w:rPr>
          <w:sz w:val="24"/>
          <w:szCs w:val="24"/>
        </w:rPr>
        <w:t>у оно не имеет мировых аналогов,</w:t>
      </w:r>
      <w:r w:rsidRPr="00426BAE">
        <w:rPr>
          <w:sz w:val="24"/>
          <w:szCs w:val="24"/>
        </w:rPr>
        <w:t xml:space="preserve"> считает О</w:t>
      </w:r>
      <w:r w:rsidR="00426BAE">
        <w:rPr>
          <w:sz w:val="24"/>
          <w:szCs w:val="24"/>
        </w:rPr>
        <w:t>лег</w:t>
      </w:r>
      <w:r w:rsidRPr="00426BAE">
        <w:rPr>
          <w:sz w:val="24"/>
          <w:szCs w:val="24"/>
        </w:rPr>
        <w:t xml:space="preserve"> Иванов.</w:t>
      </w:r>
      <w:r w:rsidR="00531E0D" w:rsidRPr="00426BAE">
        <w:rPr>
          <w:sz w:val="24"/>
          <w:szCs w:val="24"/>
        </w:rPr>
        <w:t xml:space="preserve"> В условиях роста цен на крупу, видимо, целесообразно обязать супермаркеты вывешивать средние цены на гречку, горох и рис</w:t>
      </w:r>
      <w:r w:rsidR="0005759A" w:rsidRPr="00426BAE">
        <w:rPr>
          <w:sz w:val="24"/>
          <w:szCs w:val="24"/>
        </w:rPr>
        <w:t xml:space="preserve"> прямо у входа в магазин. </w:t>
      </w:r>
    </w:p>
    <w:p w:rsidR="00205F6A" w:rsidRPr="00426BAE" w:rsidRDefault="00531E0D" w:rsidP="00531E0D">
      <w:pPr>
        <w:ind w:left="0" w:firstLine="0"/>
        <w:rPr>
          <w:rFonts w:cstheme="minorHAnsi"/>
          <w:sz w:val="24"/>
          <w:szCs w:val="24"/>
        </w:rPr>
      </w:pPr>
      <w:r w:rsidRPr="00426BAE">
        <w:rPr>
          <w:sz w:val="24"/>
          <w:szCs w:val="24"/>
        </w:rPr>
        <w:tab/>
      </w:r>
      <w:r w:rsidR="0005759A" w:rsidRPr="00426BAE">
        <w:rPr>
          <w:sz w:val="24"/>
          <w:szCs w:val="24"/>
        </w:rPr>
        <w:t>Как считает О</w:t>
      </w:r>
      <w:r w:rsidR="00426BAE">
        <w:rPr>
          <w:sz w:val="24"/>
          <w:szCs w:val="24"/>
        </w:rPr>
        <w:t xml:space="preserve">лег </w:t>
      </w:r>
      <w:r w:rsidR="0005759A" w:rsidRPr="00426BAE">
        <w:rPr>
          <w:sz w:val="24"/>
          <w:szCs w:val="24"/>
        </w:rPr>
        <w:t>Иванов, г</w:t>
      </w:r>
      <w:r w:rsidR="001A554F" w:rsidRPr="00426BAE">
        <w:rPr>
          <w:sz w:val="24"/>
          <w:szCs w:val="24"/>
        </w:rPr>
        <w:t xml:space="preserve">ораздо более продуктивным может стать внедрение идей, предложенных европейским законодателем. </w:t>
      </w:r>
      <w:r w:rsidR="00205F6A" w:rsidRPr="00426BAE">
        <w:rPr>
          <w:rFonts w:cstheme="minorHAnsi"/>
          <w:sz w:val="24"/>
          <w:szCs w:val="24"/>
        </w:rPr>
        <w:t xml:space="preserve">Принципиальным положением Директивы ЕС 2008/48 </w:t>
      </w:r>
      <w:r w:rsidRPr="00426BAE">
        <w:rPr>
          <w:rFonts w:cstheme="minorHAnsi"/>
          <w:sz w:val="24"/>
          <w:szCs w:val="24"/>
        </w:rPr>
        <w:t>о потребительском кредитовании</w:t>
      </w:r>
      <w:r w:rsidR="0005759A" w:rsidRPr="00426BAE">
        <w:rPr>
          <w:rFonts w:cstheme="minorHAnsi"/>
          <w:sz w:val="24"/>
          <w:szCs w:val="24"/>
        </w:rPr>
        <w:t>, принятой два года назад,</w:t>
      </w:r>
      <w:r w:rsidRPr="00426BAE">
        <w:rPr>
          <w:rFonts w:cstheme="minorHAnsi"/>
          <w:sz w:val="24"/>
          <w:szCs w:val="24"/>
        </w:rPr>
        <w:t xml:space="preserve"> </w:t>
      </w:r>
      <w:r w:rsidR="00205F6A" w:rsidRPr="00426BAE">
        <w:rPr>
          <w:rFonts w:cstheme="minorHAnsi"/>
          <w:sz w:val="24"/>
          <w:szCs w:val="24"/>
        </w:rPr>
        <w:t>является дифференцированный подход к разным видам кредитных продуктов, а также к разным видам условий о процентах, используемых в договорах.</w:t>
      </w:r>
      <w:r w:rsidRPr="00426BAE">
        <w:rPr>
          <w:rFonts w:cstheme="minorHAnsi"/>
          <w:sz w:val="24"/>
          <w:szCs w:val="24"/>
        </w:rPr>
        <w:t xml:space="preserve"> </w:t>
      </w:r>
      <w:r w:rsidR="00205F6A" w:rsidRPr="00426BAE">
        <w:rPr>
          <w:rFonts w:cstheme="minorHAnsi"/>
          <w:sz w:val="24"/>
          <w:szCs w:val="24"/>
        </w:rPr>
        <w:t xml:space="preserve">Концептуальный подход зарубежных законодателей состоит не в том, чтобы </w:t>
      </w:r>
      <w:r w:rsidRPr="00426BAE">
        <w:rPr>
          <w:rFonts w:cstheme="minorHAnsi"/>
          <w:sz w:val="24"/>
          <w:szCs w:val="24"/>
        </w:rPr>
        <w:t>заниматься усреднением рыночных цен</w:t>
      </w:r>
      <w:r w:rsidR="0005759A" w:rsidRPr="00426BAE">
        <w:rPr>
          <w:rFonts w:cstheme="minorHAnsi"/>
          <w:sz w:val="24"/>
          <w:szCs w:val="24"/>
        </w:rPr>
        <w:t xml:space="preserve"> и информировать о них потребителей</w:t>
      </w:r>
      <w:r w:rsidR="00205F6A" w:rsidRPr="00426BAE">
        <w:rPr>
          <w:rFonts w:cstheme="minorHAnsi"/>
          <w:sz w:val="24"/>
          <w:szCs w:val="24"/>
        </w:rPr>
        <w:t xml:space="preserve">, а в том, чтобы обязать банки в полном объеме доводить до потребителей информацию о «значимых» условиях договора еще не этапе его подписания. </w:t>
      </w:r>
    </w:p>
    <w:p w:rsidR="00205F6A" w:rsidRPr="00426BAE" w:rsidRDefault="00205F6A" w:rsidP="00205F6A">
      <w:pPr>
        <w:ind w:left="0" w:firstLine="0"/>
        <w:rPr>
          <w:rFonts w:cstheme="minorHAnsi"/>
          <w:sz w:val="24"/>
          <w:szCs w:val="24"/>
        </w:rPr>
      </w:pPr>
      <w:r w:rsidRPr="00426BAE">
        <w:rPr>
          <w:rFonts w:cstheme="minorHAnsi"/>
          <w:sz w:val="24"/>
          <w:szCs w:val="24"/>
        </w:rPr>
        <w:tab/>
        <w:t xml:space="preserve">Пункт 3 Приложения 2 к Директиве ЕС содержит </w:t>
      </w:r>
      <w:r w:rsidR="00531E0D" w:rsidRPr="00426BAE">
        <w:rPr>
          <w:rFonts w:cstheme="minorHAnsi"/>
          <w:sz w:val="24"/>
          <w:szCs w:val="24"/>
        </w:rPr>
        <w:t xml:space="preserve">стандартное </w:t>
      </w:r>
      <w:r w:rsidRPr="00426BAE">
        <w:rPr>
          <w:rFonts w:cstheme="minorHAnsi"/>
          <w:sz w:val="24"/>
          <w:szCs w:val="24"/>
        </w:rPr>
        <w:t>табличное представление информации о стоимости кредита, включая информацию о процентных ставках и порядке их изменения:</w:t>
      </w:r>
      <w:r w:rsidR="00426BAE">
        <w:rPr>
          <w:rFonts w:cstheme="minorHAnsi"/>
          <w:sz w:val="24"/>
          <w:szCs w:val="24"/>
        </w:rPr>
        <w:t xml:space="preserve"> </w:t>
      </w:r>
    </w:p>
    <w:p w:rsidR="00531E0D" w:rsidRPr="00426BAE" w:rsidRDefault="00531E0D" w:rsidP="00205F6A">
      <w:pPr>
        <w:ind w:left="0" w:firstLine="0"/>
        <w:rPr>
          <w:rFonts w:cstheme="minorHAnsi"/>
          <w:sz w:val="24"/>
          <w:szCs w:val="24"/>
        </w:rPr>
      </w:pPr>
    </w:p>
    <w:p w:rsidR="00205F6A" w:rsidRPr="00426BAE" w:rsidRDefault="00205F6A" w:rsidP="00205F6A">
      <w:pPr>
        <w:jc w:val="center"/>
        <w:rPr>
          <w:rFonts w:ascii="Times New Roman" w:hAnsi="Times New Roman"/>
          <w:b/>
          <w:sz w:val="24"/>
          <w:szCs w:val="24"/>
        </w:rPr>
      </w:pPr>
      <w:r w:rsidRPr="00426BAE">
        <w:rPr>
          <w:rFonts w:ascii="Times New Roman" w:hAnsi="Times New Roman"/>
          <w:b/>
          <w:sz w:val="24"/>
          <w:szCs w:val="24"/>
        </w:rPr>
        <w:t>Стоимость кредита согласно Директиве ЕС 2008/48</w:t>
      </w:r>
    </w:p>
    <w:p w:rsidR="00205F6A" w:rsidRPr="00426BAE" w:rsidRDefault="00205F6A" w:rsidP="00205F6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05F6A" w:rsidRPr="00426BAE" w:rsidTr="00287E8F">
        <w:tc>
          <w:tcPr>
            <w:tcW w:w="4785" w:type="dxa"/>
          </w:tcPr>
          <w:p w:rsidR="00205F6A" w:rsidRPr="00426BAE" w:rsidRDefault="00205F6A" w:rsidP="00205F6A">
            <w:pPr>
              <w:autoSpaceDE w:val="0"/>
              <w:autoSpaceDN w:val="0"/>
              <w:adjustRightInd w:val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26BAE">
              <w:rPr>
                <w:rFonts w:ascii="Times New Roman" w:hAnsi="Times New Roman"/>
                <w:sz w:val="24"/>
                <w:szCs w:val="24"/>
              </w:rPr>
              <w:t>Процентная ставка или,</w:t>
            </w:r>
          </w:p>
          <w:p w:rsidR="00205F6A" w:rsidRPr="00426BAE" w:rsidRDefault="00205F6A" w:rsidP="00205F6A">
            <w:pPr>
              <w:autoSpaceDE w:val="0"/>
              <w:autoSpaceDN w:val="0"/>
              <w:adjustRightInd w:val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26BAE">
              <w:rPr>
                <w:rFonts w:ascii="Times New Roman" w:hAnsi="Times New Roman"/>
                <w:sz w:val="24"/>
                <w:szCs w:val="24"/>
              </w:rPr>
              <w:t>Различные процентные ставки в соответствии с кредитным договором</w:t>
            </w:r>
          </w:p>
          <w:p w:rsidR="00205F6A" w:rsidRPr="00426BAE" w:rsidRDefault="00205F6A" w:rsidP="00205F6A">
            <w:p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05F6A" w:rsidRPr="00426BAE" w:rsidRDefault="00205F6A" w:rsidP="00205F6A">
            <w:pPr>
              <w:autoSpaceDE w:val="0"/>
              <w:autoSpaceDN w:val="0"/>
              <w:adjustRightInd w:val="0"/>
              <w:ind w:left="177" w:firstLine="0"/>
              <w:rPr>
                <w:rFonts w:ascii="Times New Roman" w:hAnsi="Times New Roman"/>
                <w:sz w:val="24"/>
                <w:szCs w:val="24"/>
              </w:rPr>
            </w:pPr>
            <w:r w:rsidRPr="00426BAE">
              <w:rPr>
                <w:rFonts w:ascii="Times New Roman" w:hAnsi="Times New Roman"/>
                <w:sz w:val="24"/>
                <w:szCs w:val="24"/>
              </w:rPr>
              <w:t>[ %</w:t>
            </w:r>
          </w:p>
          <w:p w:rsidR="00205F6A" w:rsidRPr="00426BAE" w:rsidRDefault="00205F6A" w:rsidP="00205F6A">
            <w:pPr>
              <w:autoSpaceDE w:val="0"/>
              <w:autoSpaceDN w:val="0"/>
              <w:adjustRightInd w:val="0"/>
              <w:ind w:left="177" w:firstLine="0"/>
              <w:rPr>
                <w:rFonts w:ascii="Times New Roman" w:hAnsi="Times New Roman"/>
                <w:sz w:val="24"/>
                <w:szCs w:val="24"/>
              </w:rPr>
            </w:pPr>
            <w:r w:rsidRPr="00426BAE">
              <w:rPr>
                <w:rFonts w:ascii="Times New Roman" w:hAnsi="Times New Roman"/>
                <w:sz w:val="24"/>
                <w:szCs w:val="24"/>
              </w:rPr>
              <w:t>— фиксированная или</w:t>
            </w:r>
          </w:p>
          <w:p w:rsidR="00205F6A" w:rsidRPr="00426BAE" w:rsidRDefault="00426BAE" w:rsidP="00205F6A">
            <w:pPr>
              <w:autoSpaceDE w:val="0"/>
              <w:autoSpaceDN w:val="0"/>
              <w:adjustRightInd w:val="0"/>
              <w:ind w:left="17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="00205F6A" w:rsidRPr="00426BAE">
              <w:rPr>
                <w:rFonts w:ascii="Times New Roman" w:hAnsi="Times New Roman"/>
                <w:sz w:val="24"/>
                <w:szCs w:val="24"/>
              </w:rPr>
              <w:t>переменная (с индексом или референсной ставкой, применяемой к первоначальной процентной ставке)</w:t>
            </w:r>
          </w:p>
          <w:p w:rsidR="00205F6A" w:rsidRPr="00426BAE" w:rsidRDefault="00205F6A" w:rsidP="00426BAE">
            <w:pPr>
              <w:ind w:left="177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6BAE">
              <w:rPr>
                <w:rFonts w:ascii="Times New Roman" w:hAnsi="Times New Roman"/>
                <w:sz w:val="24"/>
                <w:szCs w:val="24"/>
              </w:rPr>
              <w:t>—  периоды изменения</w:t>
            </w:r>
            <w:r w:rsidRPr="00426BAE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205F6A" w:rsidRPr="00426BAE" w:rsidTr="00287E8F">
        <w:tc>
          <w:tcPr>
            <w:tcW w:w="4785" w:type="dxa"/>
          </w:tcPr>
          <w:p w:rsidR="00205F6A" w:rsidRPr="00426BAE" w:rsidRDefault="00205F6A" w:rsidP="00205F6A">
            <w:pPr>
              <w:autoSpaceDE w:val="0"/>
              <w:autoSpaceDN w:val="0"/>
              <w:adjustRightInd w:val="0"/>
              <w:ind w:left="142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BAE">
              <w:rPr>
                <w:rFonts w:ascii="Times New Roman" w:hAnsi="Times New Roman"/>
                <w:iCs/>
                <w:sz w:val="24"/>
                <w:szCs w:val="24"/>
              </w:rPr>
              <w:t>Эффективная годовая процентная ставка (APR)</w:t>
            </w:r>
          </w:p>
          <w:p w:rsidR="00205F6A" w:rsidRPr="00426BAE" w:rsidRDefault="00205F6A" w:rsidP="00205F6A">
            <w:pPr>
              <w:autoSpaceDE w:val="0"/>
              <w:autoSpaceDN w:val="0"/>
              <w:adjustRightInd w:val="0"/>
              <w:ind w:left="142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6BAE">
              <w:rPr>
                <w:rFonts w:ascii="Times New Roman" w:hAnsi="Times New Roman"/>
                <w:i/>
                <w:iCs/>
                <w:sz w:val="24"/>
                <w:szCs w:val="24"/>
              </w:rPr>
              <w:t>Фактическая стоимость кредита, выраженная в форме годового процента от общей стоимости кредита</w:t>
            </w:r>
          </w:p>
          <w:p w:rsidR="00205F6A" w:rsidRPr="00426BAE" w:rsidRDefault="00205F6A" w:rsidP="00205F6A">
            <w:pPr>
              <w:autoSpaceDE w:val="0"/>
              <w:autoSpaceDN w:val="0"/>
              <w:adjustRightInd w:val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26BAE">
              <w:rPr>
                <w:rFonts w:ascii="Times New Roman" w:hAnsi="Times New Roman"/>
                <w:iCs/>
                <w:sz w:val="24"/>
                <w:szCs w:val="24"/>
              </w:rPr>
              <w:t>Эффективная годовая процентная ставка (</w:t>
            </w:r>
            <w:r w:rsidRPr="00426B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APR</w:t>
            </w:r>
            <w:r w:rsidRPr="00426BAE">
              <w:rPr>
                <w:rFonts w:ascii="Times New Roman" w:hAnsi="Times New Roman"/>
                <w:iCs/>
                <w:sz w:val="24"/>
                <w:szCs w:val="24"/>
              </w:rPr>
              <w:t>) позволяет сравнить различные предложения</w:t>
            </w:r>
          </w:p>
        </w:tc>
        <w:tc>
          <w:tcPr>
            <w:tcW w:w="4786" w:type="dxa"/>
          </w:tcPr>
          <w:p w:rsidR="00205F6A" w:rsidRPr="00426BAE" w:rsidRDefault="00205F6A" w:rsidP="00205F6A">
            <w:pPr>
              <w:autoSpaceDE w:val="0"/>
              <w:autoSpaceDN w:val="0"/>
              <w:adjustRightInd w:val="0"/>
              <w:ind w:left="17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5F6A" w:rsidRPr="00426BAE" w:rsidRDefault="00205F6A" w:rsidP="00205F6A">
            <w:pPr>
              <w:autoSpaceDE w:val="0"/>
              <w:autoSpaceDN w:val="0"/>
              <w:adjustRightInd w:val="0"/>
              <w:ind w:left="177" w:firstLine="0"/>
              <w:rPr>
                <w:rFonts w:ascii="Times New Roman" w:hAnsi="Times New Roman"/>
                <w:sz w:val="24"/>
                <w:szCs w:val="24"/>
              </w:rPr>
            </w:pPr>
            <w:r w:rsidRPr="00426BAE">
              <w:rPr>
                <w:rFonts w:ascii="Times New Roman" w:hAnsi="Times New Roman"/>
                <w:sz w:val="24"/>
                <w:szCs w:val="24"/>
              </w:rPr>
              <w:t>[ %</w:t>
            </w:r>
          </w:p>
          <w:p w:rsidR="00205F6A" w:rsidRPr="00426BAE" w:rsidRDefault="00205F6A" w:rsidP="00205F6A">
            <w:pPr>
              <w:autoSpaceDE w:val="0"/>
              <w:autoSpaceDN w:val="0"/>
              <w:adjustRightInd w:val="0"/>
              <w:ind w:left="177" w:firstLine="0"/>
              <w:rPr>
                <w:rFonts w:ascii="Times New Roman" w:hAnsi="Times New Roman"/>
                <w:sz w:val="24"/>
                <w:szCs w:val="24"/>
              </w:rPr>
            </w:pPr>
            <w:r w:rsidRPr="00426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BAE">
              <w:rPr>
                <w:rFonts w:ascii="Times New Roman" w:hAnsi="Times New Roman"/>
                <w:iCs/>
                <w:sz w:val="24"/>
                <w:szCs w:val="24"/>
              </w:rPr>
              <w:t>Показательный пример с учетом всех используемых  способов расчета данной ставки разместить здесь ]</w:t>
            </w:r>
          </w:p>
        </w:tc>
      </w:tr>
      <w:tr w:rsidR="00205F6A" w:rsidRPr="00426BAE" w:rsidTr="00287E8F">
        <w:tc>
          <w:tcPr>
            <w:tcW w:w="4785" w:type="dxa"/>
          </w:tcPr>
          <w:p w:rsidR="00205F6A" w:rsidRPr="00426BAE" w:rsidRDefault="00205F6A" w:rsidP="00205F6A">
            <w:pPr>
              <w:autoSpaceDE w:val="0"/>
              <w:autoSpaceDN w:val="0"/>
              <w:adjustRightInd w:val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26BAE">
              <w:rPr>
                <w:rFonts w:ascii="Times New Roman" w:hAnsi="Times New Roman"/>
                <w:sz w:val="24"/>
                <w:szCs w:val="24"/>
              </w:rPr>
              <w:t>Обязательными условиями для получения кредита, особенно в сроки и на условиях, установленных на рынке, являются:</w:t>
            </w:r>
          </w:p>
          <w:p w:rsidR="00205F6A" w:rsidRPr="00426BAE" w:rsidRDefault="00205F6A" w:rsidP="00205F6A">
            <w:pPr>
              <w:autoSpaceDE w:val="0"/>
              <w:autoSpaceDN w:val="0"/>
              <w:adjustRightInd w:val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26BAE">
              <w:rPr>
                <w:rFonts w:ascii="Times New Roman" w:hAnsi="Times New Roman"/>
                <w:sz w:val="24"/>
                <w:szCs w:val="24"/>
              </w:rPr>
              <w:t>—  наличие страхового полиса, обеспечивающего кредит, или</w:t>
            </w:r>
          </w:p>
          <w:p w:rsidR="00205F6A" w:rsidRPr="00426BAE" w:rsidRDefault="00205F6A" w:rsidP="00205F6A">
            <w:pPr>
              <w:autoSpaceDE w:val="0"/>
              <w:autoSpaceDN w:val="0"/>
              <w:adjustRightInd w:val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26BAE">
              <w:rPr>
                <w:rFonts w:ascii="Times New Roman" w:hAnsi="Times New Roman"/>
                <w:sz w:val="24"/>
                <w:szCs w:val="24"/>
              </w:rPr>
              <w:t>— наличие договора на оказание дополнительных услуг</w:t>
            </w:r>
          </w:p>
          <w:p w:rsidR="00205F6A" w:rsidRPr="00426BAE" w:rsidRDefault="00205F6A" w:rsidP="00205F6A">
            <w:p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26B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Если стоимость перечисленных обязательных условий не известна кредитору, то она не будет включена в расчет эффективной годовой процентной </w:t>
            </w:r>
            <w:r w:rsidRPr="00426BAE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ставки (</w:t>
            </w:r>
            <w:r w:rsidRPr="00426BA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APR</w:t>
            </w:r>
            <w:r w:rsidRPr="00426BAE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205F6A" w:rsidRPr="00426BAE" w:rsidRDefault="00205F6A" w:rsidP="00205F6A">
            <w:pPr>
              <w:ind w:left="17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5F6A" w:rsidRPr="00426BAE" w:rsidRDefault="00205F6A" w:rsidP="00205F6A">
            <w:pPr>
              <w:ind w:left="17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5F6A" w:rsidRPr="00426BAE" w:rsidRDefault="00205F6A" w:rsidP="00205F6A">
            <w:pPr>
              <w:ind w:left="17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5F6A" w:rsidRPr="00426BAE" w:rsidRDefault="00205F6A" w:rsidP="00205F6A">
            <w:pPr>
              <w:ind w:left="177" w:firstLine="0"/>
              <w:rPr>
                <w:rFonts w:ascii="Times New Roman" w:hAnsi="Times New Roman"/>
                <w:sz w:val="24"/>
                <w:szCs w:val="24"/>
              </w:rPr>
            </w:pPr>
            <w:r w:rsidRPr="00426BAE">
              <w:rPr>
                <w:rFonts w:ascii="Times New Roman" w:hAnsi="Times New Roman"/>
                <w:sz w:val="24"/>
                <w:szCs w:val="24"/>
              </w:rPr>
              <w:t>Да/нет (если да, то укажите вид страхования)</w:t>
            </w:r>
          </w:p>
          <w:p w:rsidR="00205F6A" w:rsidRPr="00426BAE" w:rsidRDefault="00205F6A" w:rsidP="00205F6A">
            <w:pPr>
              <w:ind w:left="17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5F6A" w:rsidRPr="00426BAE" w:rsidRDefault="00205F6A" w:rsidP="00205F6A">
            <w:pPr>
              <w:ind w:left="177" w:firstLine="0"/>
              <w:rPr>
                <w:rFonts w:ascii="Times New Roman" w:hAnsi="Times New Roman"/>
                <w:sz w:val="24"/>
                <w:szCs w:val="24"/>
              </w:rPr>
            </w:pPr>
            <w:r w:rsidRPr="00426BAE">
              <w:rPr>
                <w:rFonts w:ascii="Times New Roman" w:hAnsi="Times New Roman"/>
                <w:sz w:val="24"/>
                <w:szCs w:val="24"/>
              </w:rPr>
              <w:t>Да/нет (если да, то укажите тип дополнительной услуги)</w:t>
            </w:r>
          </w:p>
        </w:tc>
      </w:tr>
      <w:tr w:rsidR="00205F6A" w:rsidRPr="00426BAE" w:rsidTr="00287E8F">
        <w:tc>
          <w:tcPr>
            <w:tcW w:w="4785" w:type="dxa"/>
          </w:tcPr>
          <w:p w:rsidR="00205F6A" w:rsidRPr="00426BAE" w:rsidRDefault="00205F6A" w:rsidP="00205F6A">
            <w:pPr>
              <w:autoSpaceDE w:val="0"/>
              <w:autoSpaceDN w:val="0"/>
              <w:adjustRightInd w:val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26BAE">
              <w:rPr>
                <w:rFonts w:ascii="Times New Roman" w:hAnsi="Times New Roman"/>
                <w:sz w:val="24"/>
                <w:szCs w:val="24"/>
              </w:rPr>
              <w:lastRenderedPageBreak/>
              <w:t>Сопутствующие расходы</w:t>
            </w:r>
          </w:p>
        </w:tc>
        <w:tc>
          <w:tcPr>
            <w:tcW w:w="4786" w:type="dxa"/>
          </w:tcPr>
          <w:p w:rsidR="00205F6A" w:rsidRPr="00426BAE" w:rsidRDefault="00205F6A" w:rsidP="00205F6A">
            <w:pPr>
              <w:ind w:left="17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F6A" w:rsidRPr="00426BAE" w:rsidTr="00287E8F">
        <w:tc>
          <w:tcPr>
            <w:tcW w:w="4785" w:type="dxa"/>
          </w:tcPr>
          <w:p w:rsidR="00205F6A" w:rsidRPr="00426BAE" w:rsidRDefault="00205F6A" w:rsidP="00205F6A">
            <w:pPr>
              <w:autoSpaceDE w:val="0"/>
              <w:autoSpaceDN w:val="0"/>
              <w:adjustRightInd w:val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26BAE">
              <w:rPr>
                <w:rFonts w:ascii="Times New Roman" w:hAnsi="Times New Roman"/>
                <w:sz w:val="24"/>
                <w:szCs w:val="24"/>
              </w:rPr>
              <w:t>Если предусмотрено,</w:t>
            </w:r>
          </w:p>
          <w:p w:rsidR="00205F6A" w:rsidRPr="00426BAE" w:rsidRDefault="00205F6A" w:rsidP="00205F6A">
            <w:pPr>
              <w:autoSpaceDE w:val="0"/>
              <w:autoSpaceDN w:val="0"/>
              <w:adjustRightInd w:val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26BAE">
              <w:rPr>
                <w:rFonts w:ascii="Times New Roman" w:hAnsi="Times New Roman"/>
                <w:sz w:val="24"/>
                <w:szCs w:val="24"/>
              </w:rPr>
              <w:t>Обслуживание одного или более счетов для учета платежей по кредиту, а также для учета выдачи средств</w:t>
            </w:r>
          </w:p>
        </w:tc>
        <w:tc>
          <w:tcPr>
            <w:tcW w:w="4786" w:type="dxa"/>
          </w:tcPr>
          <w:p w:rsidR="00205F6A" w:rsidRPr="00426BAE" w:rsidRDefault="00205F6A" w:rsidP="00205F6A">
            <w:pPr>
              <w:ind w:left="17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F6A" w:rsidRPr="00426BAE" w:rsidTr="00287E8F">
        <w:tc>
          <w:tcPr>
            <w:tcW w:w="4785" w:type="dxa"/>
          </w:tcPr>
          <w:p w:rsidR="00205F6A" w:rsidRPr="00426BAE" w:rsidRDefault="00205F6A" w:rsidP="00205F6A">
            <w:pPr>
              <w:autoSpaceDE w:val="0"/>
              <w:autoSpaceDN w:val="0"/>
              <w:adjustRightInd w:val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26BAE">
              <w:rPr>
                <w:rFonts w:ascii="Times New Roman" w:hAnsi="Times New Roman"/>
                <w:sz w:val="24"/>
                <w:szCs w:val="24"/>
              </w:rPr>
              <w:t xml:space="preserve">Если предусмотрено, </w:t>
            </w:r>
          </w:p>
          <w:p w:rsidR="00205F6A" w:rsidRPr="00426BAE" w:rsidRDefault="00205F6A" w:rsidP="00205F6A">
            <w:pPr>
              <w:autoSpaceDE w:val="0"/>
              <w:autoSpaceDN w:val="0"/>
              <w:adjustRightInd w:val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26BAE">
              <w:rPr>
                <w:rFonts w:ascii="Times New Roman" w:hAnsi="Times New Roman"/>
                <w:sz w:val="24"/>
                <w:szCs w:val="24"/>
              </w:rPr>
              <w:t>Расходы, связанные с использованием платежного средства</w:t>
            </w:r>
          </w:p>
          <w:p w:rsidR="00205F6A" w:rsidRPr="00426BAE" w:rsidRDefault="00205F6A" w:rsidP="00205F6A">
            <w:pPr>
              <w:autoSpaceDE w:val="0"/>
              <w:autoSpaceDN w:val="0"/>
              <w:adjustRightInd w:val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26BAE">
              <w:rPr>
                <w:rFonts w:ascii="Times New Roman" w:hAnsi="Times New Roman"/>
                <w:sz w:val="24"/>
                <w:szCs w:val="24"/>
              </w:rPr>
              <w:t>(например, банковской карты)</w:t>
            </w:r>
          </w:p>
        </w:tc>
        <w:tc>
          <w:tcPr>
            <w:tcW w:w="4786" w:type="dxa"/>
          </w:tcPr>
          <w:p w:rsidR="00205F6A" w:rsidRPr="00426BAE" w:rsidRDefault="00205F6A" w:rsidP="00205F6A">
            <w:pPr>
              <w:ind w:left="17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F6A" w:rsidRPr="00426BAE" w:rsidTr="00287E8F">
        <w:tc>
          <w:tcPr>
            <w:tcW w:w="4785" w:type="dxa"/>
          </w:tcPr>
          <w:p w:rsidR="00205F6A" w:rsidRPr="00426BAE" w:rsidRDefault="00205F6A" w:rsidP="00205F6A">
            <w:pPr>
              <w:autoSpaceDE w:val="0"/>
              <w:autoSpaceDN w:val="0"/>
              <w:adjustRightInd w:val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26BAE">
              <w:rPr>
                <w:rFonts w:ascii="Times New Roman" w:hAnsi="Times New Roman"/>
                <w:sz w:val="24"/>
                <w:szCs w:val="24"/>
              </w:rPr>
              <w:t>Если предусмотрено,</w:t>
            </w:r>
          </w:p>
          <w:p w:rsidR="00205F6A" w:rsidRPr="00426BAE" w:rsidRDefault="00205F6A" w:rsidP="00205F6A">
            <w:pPr>
              <w:autoSpaceDE w:val="0"/>
              <w:autoSpaceDN w:val="0"/>
              <w:adjustRightInd w:val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26BAE">
              <w:rPr>
                <w:rFonts w:ascii="Times New Roman" w:hAnsi="Times New Roman"/>
                <w:sz w:val="24"/>
                <w:szCs w:val="24"/>
              </w:rPr>
              <w:t>Прочие расходы, предусмотренные кредитным договором</w:t>
            </w:r>
          </w:p>
        </w:tc>
        <w:tc>
          <w:tcPr>
            <w:tcW w:w="4786" w:type="dxa"/>
          </w:tcPr>
          <w:p w:rsidR="00205F6A" w:rsidRPr="00426BAE" w:rsidRDefault="00205F6A" w:rsidP="00205F6A">
            <w:pPr>
              <w:ind w:left="17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F6A" w:rsidRPr="00426BAE" w:rsidTr="00287E8F">
        <w:tc>
          <w:tcPr>
            <w:tcW w:w="4785" w:type="dxa"/>
          </w:tcPr>
          <w:p w:rsidR="00205F6A" w:rsidRPr="00426BAE" w:rsidRDefault="00205F6A" w:rsidP="00205F6A">
            <w:pPr>
              <w:autoSpaceDE w:val="0"/>
              <w:autoSpaceDN w:val="0"/>
              <w:adjustRightInd w:val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26BAE">
              <w:rPr>
                <w:rFonts w:ascii="Times New Roman" w:hAnsi="Times New Roman"/>
                <w:sz w:val="24"/>
                <w:szCs w:val="24"/>
              </w:rPr>
              <w:t>Если предусмотрено,</w:t>
            </w:r>
          </w:p>
          <w:p w:rsidR="00205F6A" w:rsidRPr="00426BAE" w:rsidRDefault="00205F6A" w:rsidP="00205F6A">
            <w:pPr>
              <w:autoSpaceDE w:val="0"/>
              <w:autoSpaceDN w:val="0"/>
              <w:adjustRightInd w:val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26BAE">
              <w:rPr>
                <w:rFonts w:ascii="Times New Roman" w:hAnsi="Times New Roman"/>
                <w:sz w:val="24"/>
                <w:szCs w:val="24"/>
              </w:rPr>
              <w:t>Условия, при которых сумма вышеупомянутых расходов, предусмотренных кредитным договором, может меняться</w:t>
            </w:r>
          </w:p>
        </w:tc>
        <w:tc>
          <w:tcPr>
            <w:tcW w:w="4786" w:type="dxa"/>
          </w:tcPr>
          <w:p w:rsidR="00205F6A" w:rsidRPr="00426BAE" w:rsidRDefault="00205F6A" w:rsidP="00205F6A">
            <w:pPr>
              <w:ind w:left="17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F6A" w:rsidRPr="00426BAE" w:rsidTr="00287E8F">
        <w:tc>
          <w:tcPr>
            <w:tcW w:w="4785" w:type="dxa"/>
          </w:tcPr>
          <w:p w:rsidR="00205F6A" w:rsidRPr="00426BAE" w:rsidRDefault="00205F6A" w:rsidP="00205F6A">
            <w:pPr>
              <w:autoSpaceDE w:val="0"/>
              <w:autoSpaceDN w:val="0"/>
              <w:adjustRightInd w:val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26BAE">
              <w:rPr>
                <w:rFonts w:ascii="Times New Roman" w:hAnsi="Times New Roman"/>
                <w:sz w:val="24"/>
                <w:szCs w:val="24"/>
              </w:rPr>
              <w:t>Если предусмотрено,</w:t>
            </w:r>
          </w:p>
          <w:p w:rsidR="00205F6A" w:rsidRPr="00426BAE" w:rsidRDefault="00205F6A" w:rsidP="00205F6A">
            <w:pPr>
              <w:autoSpaceDE w:val="0"/>
              <w:autoSpaceDN w:val="0"/>
              <w:adjustRightInd w:val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26BAE">
              <w:rPr>
                <w:rFonts w:ascii="Times New Roman" w:hAnsi="Times New Roman"/>
                <w:sz w:val="24"/>
                <w:szCs w:val="24"/>
              </w:rPr>
              <w:t>Необходимость оплаты нотариальной пошлины</w:t>
            </w:r>
          </w:p>
        </w:tc>
        <w:tc>
          <w:tcPr>
            <w:tcW w:w="4786" w:type="dxa"/>
          </w:tcPr>
          <w:p w:rsidR="00205F6A" w:rsidRPr="00426BAE" w:rsidRDefault="00205F6A" w:rsidP="00205F6A">
            <w:pPr>
              <w:ind w:left="17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F6A" w:rsidRPr="00426BAE" w:rsidTr="00287E8F">
        <w:tc>
          <w:tcPr>
            <w:tcW w:w="4785" w:type="dxa"/>
          </w:tcPr>
          <w:p w:rsidR="00205F6A" w:rsidRPr="00426BAE" w:rsidRDefault="00205F6A" w:rsidP="00205F6A">
            <w:pPr>
              <w:autoSpaceDE w:val="0"/>
              <w:autoSpaceDN w:val="0"/>
              <w:adjustRightInd w:val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26BAE">
              <w:rPr>
                <w:rFonts w:ascii="Times New Roman" w:hAnsi="Times New Roman"/>
                <w:sz w:val="24"/>
                <w:szCs w:val="24"/>
              </w:rPr>
              <w:t>Расходы, связанные с задержкой погашения кредита,</w:t>
            </w:r>
          </w:p>
          <w:p w:rsidR="00205F6A" w:rsidRPr="00426BAE" w:rsidRDefault="00205F6A" w:rsidP="00205F6A">
            <w:pPr>
              <w:autoSpaceDE w:val="0"/>
              <w:autoSpaceDN w:val="0"/>
              <w:adjustRightInd w:val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26BAE">
              <w:rPr>
                <w:rFonts w:ascii="Times New Roman" w:hAnsi="Times New Roman"/>
                <w:sz w:val="24"/>
                <w:szCs w:val="24"/>
              </w:rPr>
              <w:t>Просрочка платежей может привести к серьезным последствиям (таким как принудительное обращение взыскания) и усложнить процедуру получения кредита в будущем</w:t>
            </w:r>
          </w:p>
        </w:tc>
        <w:tc>
          <w:tcPr>
            <w:tcW w:w="4786" w:type="dxa"/>
          </w:tcPr>
          <w:p w:rsidR="00205F6A" w:rsidRPr="00426BAE" w:rsidRDefault="00205F6A" w:rsidP="00205F6A">
            <w:pPr>
              <w:autoSpaceDE w:val="0"/>
              <w:autoSpaceDN w:val="0"/>
              <w:adjustRightInd w:val="0"/>
              <w:ind w:left="177" w:firstLine="0"/>
              <w:rPr>
                <w:rFonts w:ascii="Times New Roman" w:hAnsi="Times New Roman"/>
                <w:sz w:val="24"/>
                <w:szCs w:val="24"/>
              </w:rPr>
            </w:pPr>
            <w:r w:rsidRPr="00426BAE">
              <w:rPr>
                <w:rFonts w:ascii="Times New Roman" w:hAnsi="Times New Roman"/>
                <w:sz w:val="24"/>
                <w:szCs w:val="24"/>
              </w:rPr>
              <w:t>В случае просрочки платежей Вы будете обязаны осуществлять выплаты   _____ (по указанной процентной ставке, комиссии за ее перерасчет и штрафа за несоблюдение условий договора, если таковой предусмотрен)</w:t>
            </w:r>
          </w:p>
        </w:tc>
      </w:tr>
    </w:tbl>
    <w:p w:rsidR="00205F6A" w:rsidRDefault="00205F6A" w:rsidP="00205F6A">
      <w:pPr>
        <w:rPr>
          <w:rFonts w:ascii="Times New Roman" w:hAnsi="Times New Roman"/>
          <w:sz w:val="24"/>
          <w:szCs w:val="24"/>
        </w:rPr>
      </w:pPr>
    </w:p>
    <w:p w:rsidR="00205F6A" w:rsidRPr="00426BAE" w:rsidRDefault="00205F6A" w:rsidP="00C92B24">
      <w:pPr>
        <w:ind w:left="0" w:firstLine="0"/>
        <w:rPr>
          <w:sz w:val="24"/>
          <w:szCs w:val="24"/>
        </w:rPr>
      </w:pPr>
      <w:r w:rsidRPr="00426BAE">
        <w:rPr>
          <w:sz w:val="24"/>
          <w:szCs w:val="24"/>
        </w:rPr>
        <w:tab/>
        <w:t>С 1 июля 2010 года Директива</w:t>
      </w:r>
      <w:r w:rsidR="00531E0D" w:rsidRPr="00426BAE">
        <w:rPr>
          <w:sz w:val="24"/>
          <w:szCs w:val="24"/>
        </w:rPr>
        <w:t xml:space="preserve"> </w:t>
      </w:r>
      <w:r w:rsidR="00531E0D" w:rsidRPr="00426BAE">
        <w:rPr>
          <w:rFonts w:cstheme="minorHAnsi"/>
          <w:sz w:val="24"/>
          <w:szCs w:val="24"/>
        </w:rPr>
        <w:t xml:space="preserve">2008/48 </w:t>
      </w:r>
      <w:r w:rsidRPr="00426BAE">
        <w:rPr>
          <w:sz w:val="24"/>
          <w:szCs w:val="24"/>
        </w:rPr>
        <w:t>имплементирована на всей территории ЕС. С этого момента любой европейский банк доводит по заемщика информацию в табличной форме, предписанной законом</w:t>
      </w:r>
      <w:r w:rsidR="00531E0D" w:rsidRPr="00426BAE">
        <w:rPr>
          <w:sz w:val="24"/>
          <w:szCs w:val="24"/>
        </w:rPr>
        <w:t xml:space="preserve">. Это </w:t>
      </w:r>
      <w:r w:rsidR="00531E0D" w:rsidRPr="00426BAE">
        <w:rPr>
          <w:rFonts w:ascii="Times New Roman" w:hAnsi="Times New Roman" w:cs="Times New Roman"/>
          <w:sz w:val="24"/>
          <w:szCs w:val="24"/>
        </w:rPr>
        <w:t>−</w:t>
      </w:r>
      <w:r w:rsidRPr="00426BAE">
        <w:rPr>
          <w:sz w:val="24"/>
          <w:szCs w:val="24"/>
        </w:rPr>
        <w:t xml:space="preserve"> паспорт потребительского кредита, в котором собрана вся информация о его стоимости. Используя такую стандартную таблицу, заемщик может легко сравнить кредиты разных банков.</w:t>
      </w:r>
    </w:p>
    <w:p w:rsidR="00205F6A" w:rsidRPr="00426BAE" w:rsidRDefault="00205F6A" w:rsidP="00C92B24">
      <w:pPr>
        <w:ind w:left="0" w:firstLine="0"/>
        <w:rPr>
          <w:sz w:val="24"/>
          <w:szCs w:val="24"/>
        </w:rPr>
      </w:pPr>
      <w:r w:rsidRPr="00426BAE">
        <w:rPr>
          <w:sz w:val="24"/>
          <w:szCs w:val="24"/>
        </w:rPr>
        <w:t xml:space="preserve">   </w:t>
      </w:r>
      <w:r w:rsidRPr="00426BAE">
        <w:rPr>
          <w:sz w:val="24"/>
          <w:szCs w:val="24"/>
        </w:rPr>
        <w:tab/>
        <w:t>Таким образом</w:t>
      </w:r>
      <w:r w:rsidR="005324EB">
        <w:rPr>
          <w:sz w:val="24"/>
          <w:szCs w:val="24"/>
        </w:rPr>
        <w:t>,</w:t>
      </w:r>
      <w:r w:rsidRPr="00426BAE">
        <w:rPr>
          <w:sz w:val="24"/>
          <w:szCs w:val="24"/>
        </w:rPr>
        <w:t xml:space="preserve"> европейский законодатель предлагает заемщику не листки на стенах банковских офисов</w:t>
      </w:r>
      <w:r w:rsidR="00531E0D" w:rsidRPr="00426BAE">
        <w:rPr>
          <w:sz w:val="24"/>
          <w:szCs w:val="24"/>
        </w:rPr>
        <w:t xml:space="preserve"> с бессмысленными </w:t>
      </w:r>
      <w:r w:rsidRPr="00426BAE">
        <w:rPr>
          <w:sz w:val="24"/>
          <w:szCs w:val="24"/>
        </w:rPr>
        <w:t>колонками цифр, а стандартиз</w:t>
      </w:r>
      <w:r w:rsidR="00F923DF" w:rsidRPr="00426BAE">
        <w:rPr>
          <w:sz w:val="24"/>
          <w:szCs w:val="24"/>
        </w:rPr>
        <w:t>ир</w:t>
      </w:r>
      <w:r w:rsidRPr="00426BAE">
        <w:rPr>
          <w:sz w:val="24"/>
          <w:szCs w:val="24"/>
        </w:rPr>
        <w:t xml:space="preserve">ованный паспорт финансовой услуги, резюмирует О. Иванов. </w:t>
      </w:r>
    </w:p>
    <w:sectPr w:rsidR="00205F6A" w:rsidRPr="00426BAE" w:rsidSect="00B7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1CE" w:rsidRDefault="00D831CE" w:rsidP="00C92B24">
      <w:r>
        <w:separator/>
      </w:r>
    </w:p>
  </w:endnote>
  <w:endnote w:type="continuationSeparator" w:id="1">
    <w:p w:rsidR="00D831CE" w:rsidRDefault="00D831CE" w:rsidP="00C92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1CE" w:rsidRDefault="00D831CE" w:rsidP="00C92B24">
      <w:r>
        <w:separator/>
      </w:r>
    </w:p>
  </w:footnote>
  <w:footnote w:type="continuationSeparator" w:id="1">
    <w:p w:rsidR="00D831CE" w:rsidRDefault="00D831CE" w:rsidP="00C92B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B24"/>
    <w:rsid w:val="0005759A"/>
    <w:rsid w:val="00155CA2"/>
    <w:rsid w:val="001A554F"/>
    <w:rsid w:val="00205F6A"/>
    <w:rsid w:val="002E30C8"/>
    <w:rsid w:val="00357177"/>
    <w:rsid w:val="00426BAE"/>
    <w:rsid w:val="00447582"/>
    <w:rsid w:val="00531E0D"/>
    <w:rsid w:val="005324EB"/>
    <w:rsid w:val="005A3E36"/>
    <w:rsid w:val="00662DE0"/>
    <w:rsid w:val="00675464"/>
    <w:rsid w:val="0072795F"/>
    <w:rsid w:val="007B66A8"/>
    <w:rsid w:val="007E3D2C"/>
    <w:rsid w:val="0087762C"/>
    <w:rsid w:val="009225C7"/>
    <w:rsid w:val="00937529"/>
    <w:rsid w:val="00A13652"/>
    <w:rsid w:val="00A17024"/>
    <w:rsid w:val="00B754B8"/>
    <w:rsid w:val="00C22201"/>
    <w:rsid w:val="00C92B24"/>
    <w:rsid w:val="00D831CE"/>
    <w:rsid w:val="00DD1220"/>
    <w:rsid w:val="00F36F82"/>
    <w:rsid w:val="00F661A5"/>
    <w:rsid w:val="00F71F20"/>
    <w:rsid w:val="00F923DF"/>
    <w:rsid w:val="00FA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55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2B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2B24"/>
  </w:style>
  <w:style w:type="paragraph" w:styleId="a5">
    <w:name w:val="footer"/>
    <w:basedOn w:val="a"/>
    <w:link w:val="a6"/>
    <w:uiPriority w:val="99"/>
    <w:semiHidden/>
    <w:unhideWhenUsed/>
    <w:rsid w:val="00C92B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2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Елена</cp:lastModifiedBy>
  <cp:revision>2</cp:revision>
  <dcterms:created xsi:type="dcterms:W3CDTF">2010-09-27T09:04:00Z</dcterms:created>
  <dcterms:modified xsi:type="dcterms:W3CDTF">2010-09-27T09:04:00Z</dcterms:modified>
</cp:coreProperties>
</file>