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55" w:rsidRDefault="00CD0B55" w:rsidP="003F58FA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D0B55">
        <w:rPr>
          <w:rFonts w:ascii="Times New Roman" w:hAnsi="Times New Roman"/>
          <w:b/>
          <w:sz w:val="26"/>
          <w:szCs w:val="26"/>
          <w:lang w:eastAsia="ru-RU"/>
        </w:rPr>
        <w:drawing>
          <wp:inline distT="0" distB="0" distL="0" distR="0">
            <wp:extent cx="1169670" cy="11055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55" w:rsidRPr="00EA6804" w:rsidRDefault="00CD0B55" w:rsidP="00CD0B5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804">
        <w:rPr>
          <w:rFonts w:ascii="Times New Roman" w:hAnsi="Times New Roman"/>
          <w:sz w:val="26"/>
          <w:szCs w:val="26"/>
          <w:lang w:eastAsia="ru-RU"/>
        </w:rPr>
        <w:t xml:space="preserve">Ассоциация региональных банков России в рамках Совета по финансовому регулированию и денежно-кредитной политике 20.02.2014 провела экспертное </w:t>
      </w:r>
      <w:r>
        <w:rPr>
          <w:rFonts w:ascii="Times New Roman" w:hAnsi="Times New Roman"/>
          <w:sz w:val="26"/>
          <w:szCs w:val="26"/>
          <w:lang w:eastAsia="ru-RU"/>
        </w:rPr>
        <w:t>заседание</w:t>
      </w:r>
      <w:r w:rsidRPr="00EA6804">
        <w:rPr>
          <w:rFonts w:ascii="Times New Roman" w:hAnsi="Times New Roman"/>
          <w:sz w:val="26"/>
          <w:szCs w:val="26"/>
          <w:lang w:eastAsia="ru-RU"/>
        </w:rPr>
        <w:t xml:space="preserve"> на тему: </w:t>
      </w:r>
      <w:r w:rsidRPr="00EA6804">
        <w:rPr>
          <w:rFonts w:ascii="Times New Roman" w:hAnsi="Times New Roman"/>
          <w:b/>
          <w:sz w:val="26"/>
          <w:szCs w:val="26"/>
        </w:rPr>
        <w:t>«Система залогового рефинансирования коммерческих банков: влияние на ликвидность банковского сектора и развитие рынка облигаций».</w:t>
      </w:r>
    </w:p>
    <w:p w:rsidR="00CD0B55" w:rsidRPr="00EA6804" w:rsidRDefault="00CD0B55" w:rsidP="00CD0B55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sz w:val="26"/>
          <w:szCs w:val="26"/>
        </w:rPr>
        <w:tab/>
        <w:t>В ходе обсуждения были рассмотрены следующие вопросы:</w:t>
      </w:r>
    </w:p>
    <w:p w:rsidR="00CD0B55" w:rsidRPr="00EA6804" w:rsidRDefault="00CD0B55" w:rsidP="00CD0B5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sz w:val="26"/>
          <w:szCs w:val="26"/>
        </w:rPr>
        <w:t>Критерии отбора ценных бумаг в Ломбардный список;</w:t>
      </w:r>
    </w:p>
    <w:p w:rsidR="00CD0B55" w:rsidRPr="00EA6804" w:rsidRDefault="00CD0B55" w:rsidP="00CD0B5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sz w:val="26"/>
          <w:szCs w:val="26"/>
        </w:rPr>
        <w:t>Влияние Ломбардного списка на российский облигационный рынок;</w:t>
      </w:r>
    </w:p>
    <w:p w:rsidR="00CD0B55" w:rsidRPr="00EA6804" w:rsidRDefault="00CD0B55" w:rsidP="00CD0B5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sz w:val="26"/>
          <w:szCs w:val="26"/>
        </w:rPr>
        <w:t>Влияние Ломбардного списка на возможности привлечения финансирования эмитентами небанковского сектора;</w:t>
      </w:r>
    </w:p>
    <w:p w:rsidR="00CD0B55" w:rsidRPr="00EA6804" w:rsidRDefault="00CD0B55" w:rsidP="00CD0B5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sz w:val="26"/>
          <w:szCs w:val="26"/>
        </w:rPr>
        <w:t>Оценка запаса ломбардных активов для привлечения ликвидности у российских банков;</w:t>
      </w:r>
    </w:p>
    <w:p w:rsidR="00CD0B55" w:rsidRPr="00EA6804" w:rsidRDefault="00CD0B55" w:rsidP="00CD0B5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sz w:val="26"/>
          <w:szCs w:val="26"/>
        </w:rPr>
        <w:t>Влияние порядка формирования Ломбардного списка на ликвидность банковского рынка;</w:t>
      </w:r>
    </w:p>
    <w:p w:rsidR="00CD0B55" w:rsidRPr="00EA6804" w:rsidRDefault="00CD0B55" w:rsidP="00CD0B5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sz w:val="26"/>
          <w:szCs w:val="26"/>
        </w:rPr>
        <w:t>Шкалы сопоставления рейтинговых оценок.</w:t>
      </w:r>
    </w:p>
    <w:p w:rsidR="00CD0B55" w:rsidRPr="00EA6804" w:rsidRDefault="00CD0B55" w:rsidP="00CD0B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804">
        <w:rPr>
          <w:rFonts w:ascii="Times New Roman" w:hAnsi="Times New Roman"/>
          <w:sz w:val="26"/>
          <w:szCs w:val="26"/>
          <w:lang w:eastAsia="ru-RU"/>
        </w:rPr>
        <w:t xml:space="preserve">Для рассмотрения выработанных предложений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была подготовлена и направлена </w:t>
      </w:r>
      <w:r w:rsidRPr="00EA680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Банк России </w:t>
      </w:r>
      <w:r w:rsidRPr="00EA6804">
        <w:rPr>
          <w:rFonts w:ascii="Times New Roman" w:hAnsi="Times New Roman"/>
          <w:sz w:val="26"/>
          <w:szCs w:val="26"/>
          <w:lang w:eastAsia="ru-RU"/>
        </w:rPr>
        <w:t>резолюци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EA6804">
        <w:rPr>
          <w:rFonts w:ascii="Times New Roman" w:hAnsi="Times New Roman"/>
          <w:sz w:val="26"/>
          <w:szCs w:val="26"/>
          <w:lang w:eastAsia="ru-RU"/>
        </w:rPr>
        <w:t>Совета по финансовому регулированию и денежно-кредитной политике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CD0B55">
        <w:rPr>
          <w:rFonts w:ascii="Times New Roman" w:hAnsi="Times New Roman"/>
          <w:i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>).</w:t>
      </w:r>
      <w:r w:rsidRPr="00EA680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Pr="009B4861" w:rsidRDefault="00CD0B55" w:rsidP="00CD0B55">
      <w:pPr>
        <w:spacing w:before="24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0B55" w:rsidRPr="00CD0B55" w:rsidRDefault="00CD0B55" w:rsidP="00CD0B55">
      <w:pPr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CD0B55">
        <w:rPr>
          <w:rFonts w:ascii="Times New Roman" w:hAnsi="Times New Roman"/>
          <w:i/>
          <w:sz w:val="26"/>
          <w:szCs w:val="26"/>
          <w:lang w:eastAsia="ru-RU"/>
        </w:rPr>
        <w:lastRenderedPageBreak/>
        <w:t>Приложение</w:t>
      </w:r>
    </w:p>
    <w:p w:rsidR="00CD0B55" w:rsidRDefault="00CD0B55" w:rsidP="00CD0B55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B01">
        <w:rPr>
          <w:rFonts w:ascii="Times New Roman" w:hAnsi="Times New Roman"/>
          <w:b/>
          <w:sz w:val="26"/>
          <w:szCs w:val="26"/>
          <w:lang w:eastAsia="ru-RU"/>
        </w:rPr>
        <w:t>Резолюция заседания Совета по финансовому регулированию и денежно-кредитной политике Ассоциации региональных банков России</w:t>
      </w:r>
    </w:p>
    <w:p w:rsidR="003F58FA" w:rsidRPr="00DC2B01" w:rsidRDefault="003F58FA" w:rsidP="003F58FA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Эксперты отметили значительное влияние проводимой политики Банка России по формированию Ломбардного списка на развитие облигационного рынка. </w:t>
      </w:r>
    </w:p>
    <w:p w:rsidR="003F58FA" w:rsidRPr="00DC2B01" w:rsidRDefault="003F58FA" w:rsidP="003F58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B01">
        <w:rPr>
          <w:rFonts w:ascii="Times New Roman" w:hAnsi="Times New Roman"/>
          <w:sz w:val="26"/>
          <w:szCs w:val="26"/>
          <w:lang w:eastAsia="ru-RU"/>
        </w:rPr>
        <w:t>Три четверти ценных бумаг, входящих в Ломбардный список</w:t>
      </w:r>
      <w:r>
        <w:rPr>
          <w:rFonts w:ascii="Times New Roman" w:hAnsi="Times New Roman"/>
          <w:sz w:val="26"/>
          <w:szCs w:val="26"/>
          <w:lang w:eastAsia="ru-RU"/>
        </w:rPr>
        <w:t xml:space="preserve"> Банка России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, представляют собой государственные бумаги и бумаги, эмитированные кредитными организациями. Компании </w:t>
      </w:r>
      <w:r>
        <w:rPr>
          <w:rFonts w:ascii="Times New Roman" w:hAnsi="Times New Roman"/>
          <w:sz w:val="26"/>
          <w:szCs w:val="26"/>
          <w:lang w:eastAsia="ru-RU"/>
        </w:rPr>
        <w:t>нефинансового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сектора экономики (промышленности, транспорта, связи, энергетики)</w:t>
      </w:r>
      <w:r>
        <w:rPr>
          <w:rFonts w:ascii="Times New Roman" w:hAnsi="Times New Roman"/>
          <w:sz w:val="26"/>
          <w:szCs w:val="26"/>
          <w:lang w:eastAsia="ru-RU"/>
        </w:rPr>
        <w:t>, кроме крупнейших представителей,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практически не используют выпуск облигаций как механизм финансирования бизнеса, так </w:t>
      </w:r>
      <w:r>
        <w:rPr>
          <w:rFonts w:ascii="Times New Roman" w:hAnsi="Times New Roman"/>
          <w:sz w:val="26"/>
          <w:szCs w:val="26"/>
          <w:lang w:eastAsia="ru-RU"/>
        </w:rPr>
        <w:t>как эмитированные ими бумаги не подтверждены иностранными рейтинговыми агентствами, из-за чего не рассматриваются для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включения в Ломбардный список и являются в силу этого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мало </w:t>
      </w:r>
      <w:r w:rsidRPr="00DC2B01">
        <w:rPr>
          <w:rFonts w:ascii="Times New Roman" w:hAnsi="Times New Roman"/>
          <w:sz w:val="26"/>
          <w:szCs w:val="26"/>
          <w:lang w:eastAsia="ru-RU"/>
        </w:rPr>
        <w:t>привлекательными</w:t>
      </w:r>
      <w:proofErr w:type="gramEnd"/>
      <w:r w:rsidRPr="00DC2B01">
        <w:rPr>
          <w:rFonts w:ascii="Times New Roman" w:hAnsi="Times New Roman"/>
          <w:sz w:val="26"/>
          <w:szCs w:val="26"/>
          <w:lang w:eastAsia="ru-RU"/>
        </w:rPr>
        <w:t xml:space="preserve"> для инвесторов. При этом целый ряд </w:t>
      </w:r>
      <w:r>
        <w:rPr>
          <w:rFonts w:ascii="Times New Roman" w:hAnsi="Times New Roman"/>
          <w:sz w:val="26"/>
          <w:szCs w:val="26"/>
          <w:lang w:eastAsia="ru-RU"/>
        </w:rPr>
        <w:t xml:space="preserve">таких </w:t>
      </w:r>
      <w:r w:rsidRPr="00DC2B01">
        <w:rPr>
          <w:rFonts w:ascii="Times New Roman" w:hAnsi="Times New Roman"/>
          <w:sz w:val="26"/>
          <w:szCs w:val="26"/>
          <w:lang w:eastAsia="ru-RU"/>
        </w:rPr>
        <w:t>потенциальных эмитентов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B01">
        <w:rPr>
          <w:rFonts w:ascii="Times New Roman" w:hAnsi="Times New Roman"/>
          <w:sz w:val="26"/>
          <w:szCs w:val="26"/>
          <w:lang w:eastAsia="ru-RU"/>
        </w:rPr>
        <w:t>имеют</w:t>
      </w:r>
      <w:r>
        <w:rPr>
          <w:rFonts w:ascii="Times New Roman" w:hAnsi="Times New Roman"/>
          <w:sz w:val="26"/>
          <w:szCs w:val="26"/>
          <w:lang w:eastAsia="ru-RU"/>
        </w:rPr>
        <w:t xml:space="preserve"> высокие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рейтинги от российских агентств</w:t>
      </w:r>
      <w:r>
        <w:rPr>
          <w:rFonts w:ascii="Times New Roman" w:hAnsi="Times New Roman"/>
          <w:sz w:val="26"/>
          <w:szCs w:val="26"/>
          <w:lang w:eastAsia="ru-RU"/>
        </w:rPr>
        <w:t>, а отсутствие у них международного рейтинга связано исключительно с финансовыми причинами. Высокая стоимость получения такого рейтинга  делает выпуск бумаг этой категории потенциальных эмитентов экономически нецелесообразным по сравнению с другими инструментами привлечения ресурсов.</w:t>
      </w:r>
    </w:p>
    <w:p w:rsidR="003F58FA" w:rsidRPr="00DC2B01" w:rsidRDefault="003F58FA" w:rsidP="003F58FA">
      <w:pPr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B01">
        <w:rPr>
          <w:rFonts w:ascii="Times New Roman" w:hAnsi="Times New Roman"/>
          <w:sz w:val="26"/>
          <w:szCs w:val="26"/>
          <w:lang w:eastAsia="ru-RU"/>
        </w:rPr>
        <w:t xml:space="preserve">Исходя из важности системы рефинансирования и управления ликвидностью, влияния Ломбардного списка на рынок облигаций, </w:t>
      </w:r>
      <w:r w:rsidRPr="00DC2B01">
        <w:rPr>
          <w:rFonts w:ascii="Times New Roman" w:hAnsi="Times New Roman"/>
          <w:i/>
          <w:sz w:val="26"/>
          <w:szCs w:val="26"/>
          <w:lang w:eastAsia="ru-RU"/>
        </w:rPr>
        <w:t xml:space="preserve">предлагается установить, что критерием для включения в Ломбардный список должен быть уровень кредитоспособности, а не </w:t>
      </w:r>
      <w:r>
        <w:rPr>
          <w:rFonts w:ascii="Times New Roman" w:hAnsi="Times New Roman"/>
          <w:i/>
          <w:sz w:val="26"/>
          <w:szCs w:val="26"/>
          <w:lang w:eastAsia="ru-RU"/>
        </w:rPr>
        <w:t>масштаб деятельности и системная значимость</w:t>
      </w:r>
      <w:r w:rsidRPr="00DC2B01">
        <w:rPr>
          <w:rFonts w:ascii="Times New Roman" w:hAnsi="Times New Roman"/>
          <w:i/>
          <w:sz w:val="26"/>
          <w:szCs w:val="26"/>
          <w:lang w:eastAsia="ru-RU"/>
        </w:rPr>
        <w:t xml:space="preserve"> компаний.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При этом должна приниматься оценка кредитоспособности </w:t>
      </w:r>
      <w:r w:rsidRPr="00DC2B01">
        <w:rPr>
          <w:rFonts w:ascii="Times New Roman" w:hAnsi="Times New Roman"/>
          <w:i/>
          <w:sz w:val="26"/>
          <w:szCs w:val="26"/>
          <w:lang w:eastAsia="ru-RU"/>
        </w:rPr>
        <w:t xml:space="preserve">всех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рейтинговых </w:t>
      </w:r>
      <w:r w:rsidRPr="00DC2B01">
        <w:rPr>
          <w:rFonts w:ascii="Times New Roman" w:hAnsi="Times New Roman"/>
          <w:i/>
          <w:sz w:val="26"/>
          <w:szCs w:val="26"/>
          <w:lang w:eastAsia="ru-RU"/>
        </w:rPr>
        <w:t>агентств</w:t>
      </w:r>
      <w:r>
        <w:rPr>
          <w:rFonts w:ascii="Times New Roman" w:hAnsi="Times New Roman"/>
          <w:i/>
          <w:sz w:val="26"/>
          <w:szCs w:val="26"/>
          <w:lang w:eastAsia="ru-RU"/>
        </w:rPr>
        <w:t>, а вопрос доверия должен решаться в ходе их аккредитации.</w:t>
      </w:r>
    </w:p>
    <w:p w:rsidR="003F58FA" w:rsidRPr="00DC2B01" w:rsidRDefault="003F58FA" w:rsidP="003F58FA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Для унификации рейтинговых требований предлагается Банку России рассмотреть возможность </w:t>
      </w:r>
      <w:proofErr w:type="gramStart"/>
      <w:r w:rsidRPr="00DC2B01">
        <w:rPr>
          <w:rFonts w:ascii="Times New Roman" w:hAnsi="Times New Roman"/>
          <w:b/>
          <w:sz w:val="26"/>
          <w:szCs w:val="26"/>
          <w:lang w:eastAsia="ru-RU"/>
        </w:rPr>
        <w:t>создания  шкалы сопоставления рейтингов всех аккредитованных рейтинговых агентств</w:t>
      </w:r>
      <w:proofErr w:type="gramEnd"/>
      <w:r w:rsidRPr="00DC2B0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3F58FA" w:rsidRPr="00DC2B01" w:rsidRDefault="003F58FA" w:rsidP="003F58FA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B01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Разработанная Министерством финансов РФ шкала сопоставления рейтингов аккредитованных агентств, а также существующая практика сопоставления рейтингов (на текущий момент российские рейтинговые агентства уже </w:t>
      </w:r>
      <w:proofErr w:type="spellStart"/>
      <w:r w:rsidRPr="00DC2B01">
        <w:rPr>
          <w:rFonts w:ascii="Times New Roman" w:hAnsi="Times New Roman"/>
          <w:sz w:val="26"/>
          <w:szCs w:val="26"/>
          <w:lang w:eastAsia="ru-RU"/>
        </w:rPr>
        <w:t>отрейтинговали</w:t>
      </w:r>
      <w:proofErr w:type="spellEnd"/>
      <w:r w:rsidRPr="00DC2B01">
        <w:rPr>
          <w:rFonts w:ascii="Times New Roman" w:hAnsi="Times New Roman"/>
          <w:sz w:val="26"/>
          <w:szCs w:val="26"/>
          <w:lang w:eastAsia="ru-RU"/>
        </w:rPr>
        <w:t xml:space="preserve"> около 44% выпусков, которые входят в Ломбардный список) могут стать основой для разработки правил сопоставления рейтингов всех аккредитованных рейтинговых агентств. </w:t>
      </w:r>
    </w:p>
    <w:p w:rsidR="003F58FA" w:rsidRDefault="003F58FA" w:rsidP="003F58FA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Pr="00DC2B01" w:rsidRDefault="003F58FA" w:rsidP="003F58FA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Предлагается Банку России пересмотреть методику расчета нормативов ликвидности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в соответствии с принципами </w:t>
      </w:r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Базеля </w:t>
      </w:r>
      <w:r w:rsidRPr="00DC2B01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</w:p>
    <w:p w:rsidR="003F58FA" w:rsidRPr="00DC2B01" w:rsidRDefault="003F58FA" w:rsidP="003F58FA">
      <w:pPr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B01">
        <w:rPr>
          <w:rFonts w:ascii="Times New Roman" w:hAnsi="Times New Roman"/>
          <w:sz w:val="26"/>
          <w:szCs w:val="26"/>
          <w:lang w:eastAsia="ru-RU"/>
        </w:rPr>
        <w:t xml:space="preserve">При расчете нормативов ликвидности по Базелю </w:t>
      </w:r>
      <w:r w:rsidRPr="00DC2B01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бумаги корпоративных эмитентов не учитываются в качестве ликвидных активов. При этом кредитоспособность этих эмитентов и фактическая ликвидность рынка не принимаются во внимание. Излишне консервативный подход приведет к тому, что кредитные организации будут вынуждены увеличить долю наличности и ее эквивалентов на </w:t>
      </w:r>
      <w:r w:rsidRPr="00DC2B01">
        <w:rPr>
          <w:rFonts w:ascii="Times New Roman" w:hAnsi="Times New Roman"/>
          <w:sz w:val="26"/>
          <w:szCs w:val="26"/>
          <w:lang w:eastAsia="ru-RU"/>
        </w:rPr>
        <w:lastRenderedPageBreak/>
        <w:t>балансе, тем самым снизив активность фондового рынка, затормозив развитие рынка кредитования</w:t>
      </w:r>
      <w:r>
        <w:rPr>
          <w:rFonts w:ascii="Times New Roman" w:hAnsi="Times New Roman"/>
          <w:sz w:val="26"/>
          <w:szCs w:val="26"/>
          <w:lang w:eastAsia="ru-RU"/>
        </w:rPr>
        <w:t>, что неизбежно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отрази</w:t>
      </w:r>
      <w:r>
        <w:rPr>
          <w:rFonts w:ascii="Times New Roman" w:hAnsi="Times New Roman"/>
          <w:sz w:val="26"/>
          <w:szCs w:val="26"/>
          <w:lang w:eastAsia="ru-RU"/>
        </w:rPr>
        <w:t>тся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на росте процентной ставки.</w:t>
      </w:r>
    </w:p>
    <w:p w:rsidR="003F58FA" w:rsidRDefault="003F58FA" w:rsidP="003F58FA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Развитие </w:t>
      </w:r>
      <w:proofErr w:type="spellStart"/>
      <w:r w:rsidRPr="00DC2B01">
        <w:rPr>
          <w:rFonts w:ascii="Times New Roman" w:hAnsi="Times New Roman"/>
          <w:b/>
          <w:sz w:val="26"/>
          <w:szCs w:val="26"/>
          <w:lang w:eastAsia="ru-RU"/>
        </w:rPr>
        <w:t>неипотечной</w:t>
      </w:r>
      <w:proofErr w:type="spellEnd"/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DC2B01">
        <w:rPr>
          <w:rFonts w:ascii="Times New Roman" w:hAnsi="Times New Roman"/>
          <w:b/>
          <w:sz w:val="26"/>
          <w:szCs w:val="26"/>
          <w:lang w:eastAsia="ru-RU"/>
        </w:rPr>
        <w:t>секьюритизации</w:t>
      </w:r>
      <w:proofErr w:type="spellEnd"/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 на российском финансовом рынке позволит </w:t>
      </w:r>
      <w:r>
        <w:rPr>
          <w:rFonts w:ascii="Times New Roman" w:hAnsi="Times New Roman"/>
          <w:b/>
          <w:sz w:val="26"/>
          <w:szCs w:val="26"/>
          <w:lang w:eastAsia="ru-RU"/>
        </w:rPr>
        <w:t>снизить</w:t>
      </w:r>
      <w:r w:rsidRPr="00DC2B01">
        <w:rPr>
          <w:rFonts w:ascii="Times New Roman" w:hAnsi="Times New Roman"/>
          <w:b/>
          <w:sz w:val="26"/>
          <w:szCs w:val="26"/>
          <w:lang w:eastAsia="ru-RU"/>
        </w:rPr>
        <w:t xml:space="preserve"> ключевые риски Банка России при рефинансировании кредитных организаций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под залог нерыночных активов</w:t>
      </w:r>
      <w:r w:rsidRPr="00DC2B0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3F58FA" w:rsidRPr="00DC2B01" w:rsidRDefault="003F58FA" w:rsidP="003F58FA">
      <w:pPr>
        <w:tabs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Инструмент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секьюритизации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позволяет уменьшить риски Банка России при предоставлении рефинансирования под залог ценных бумаг, обеспеченных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неипотечными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кредитами. 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Во-первых, при структурировании сделки в случае банкротства </w:t>
      </w:r>
      <w:proofErr w:type="spellStart"/>
      <w:r w:rsidRPr="00DC2B01">
        <w:rPr>
          <w:rFonts w:ascii="Times New Roman" w:hAnsi="Times New Roman"/>
          <w:sz w:val="26"/>
          <w:szCs w:val="26"/>
          <w:lang w:eastAsia="ru-RU"/>
        </w:rPr>
        <w:t>банка-оригинатора</w:t>
      </w:r>
      <w:proofErr w:type="spellEnd"/>
      <w:r w:rsidRPr="00DC2B01">
        <w:rPr>
          <w:rFonts w:ascii="Times New Roman" w:hAnsi="Times New Roman"/>
          <w:sz w:val="26"/>
          <w:szCs w:val="26"/>
          <w:lang w:eastAsia="ru-RU"/>
        </w:rPr>
        <w:t>, отзыва у него лицензии и иных случаях выбытия его с рынка, назначается резервная обслуживающая компания, которая будет продолжать обслуживание сделки</w:t>
      </w:r>
      <w:r>
        <w:rPr>
          <w:rFonts w:ascii="Times New Roman" w:hAnsi="Times New Roman"/>
          <w:sz w:val="26"/>
          <w:szCs w:val="26"/>
          <w:lang w:eastAsia="ru-RU"/>
        </w:rPr>
        <w:t>, что исключает получение Банком России на баланс кредитного портфеля и необходимость его обслуживания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F58FA" w:rsidRDefault="003F58FA" w:rsidP="003F58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B01">
        <w:rPr>
          <w:rFonts w:ascii="Times New Roman" w:hAnsi="Times New Roman"/>
          <w:sz w:val="26"/>
          <w:szCs w:val="26"/>
          <w:lang w:eastAsia="ru-RU"/>
        </w:rPr>
        <w:t xml:space="preserve">Во-вторых, </w:t>
      </w:r>
      <w:r>
        <w:rPr>
          <w:rFonts w:ascii="Times New Roman" w:hAnsi="Times New Roman"/>
          <w:sz w:val="26"/>
          <w:szCs w:val="26"/>
          <w:lang w:eastAsia="ru-RU"/>
        </w:rPr>
        <w:t xml:space="preserve">инструмент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транширования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используемый 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при </w:t>
      </w:r>
      <w:proofErr w:type="spellStart"/>
      <w:r w:rsidRPr="00DC2B01">
        <w:rPr>
          <w:rFonts w:ascii="Times New Roman" w:hAnsi="Times New Roman"/>
          <w:sz w:val="26"/>
          <w:szCs w:val="26"/>
          <w:lang w:eastAsia="ru-RU"/>
        </w:rPr>
        <w:t>секьюритизации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закрывает риск получения Банком России на баланс необслуживаемых кредитов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C2B01">
        <w:rPr>
          <w:rFonts w:ascii="Times New Roman" w:hAnsi="Times New Roman"/>
          <w:sz w:val="26"/>
          <w:szCs w:val="26"/>
          <w:lang w:eastAsia="ru-RU"/>
        </w:rPr>
        <w:t>ри установлении младшего транша</w:t>
      </w:r>
      <w:r>
        <w:rPr>
          <w:rFonts w:ascii="Times New Roman" w:hAnsi="Times New Roman"/>
          <w:sz w:val="26"/>
          <w:szCs w:val="26"/>
          <w:lang w:eastAsia="ru-RU"/>
        </w:rPr>
        <w:t xml:space="preserve">, например, 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на уровне 20-30%, старший транш застрахован от </w:t>
      </w:r>
      <w:proofErr w:type="spellStart"/>
      <w:r w:rsidRPr="00DC2B01">
        <w:rPr>
          <w:rFonts w:ascii="Times New Roman" w:hAnsi="Times New Roman"/>
          <w:sz w:val="26"/>
          <w:szCs w:val="26"/>
          <w:lang w:eastAsia="ru-RU"/>
        </w:rPr>
        <w:t>дефолт</w:t>
      </w:r>
      <w:r>
        <w:rPr>
          <w:rFonts w:ascii="Times New Roman" w:hAnsi="Times New Roman"/>
          <w:sz w:val="26"/>
          <w:szCs w:val="26"/>
          <w:lang w:eastAsia="ru-RU"/>
        </w:rPr>
        <w:t>ности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портфеля на </w:t>
      </w:r>
      <w:r w:rsidRPr="00DC2B01">
        <w:rPr>
          <w:rFonts w:ascii="Times New Roman" w:hAnsi="Times New Roman"/>
          <w:sz w:val="26"/>
          <w:szCs w:val="26"/>
          <w:lang w:eastAsia="ru-RU"/>
        </w:rPr>
        <w:t>20-30%</w:t>
      </w:r>
      <w:r>
        <w:rPr>
          <w:rFonts w:ascii="Times New Roman" w:hAnsi="Times New Roman"/>
          <w:sz w:val="26"/>
          <w:szCs w:val="26"/>
          <w:lang w:eastAsia="ru-RU"/>
        </w:rPr>
        <w:t>, что является высоким уровнем для целого ряда видов кредитов</w:t>
      </w:r>
      <w:r w:rsidRPr="00DC2B01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Банк России может установить и более значительный размер младшего транша для портфелей ссуд в соответствии с  экспертной оценкой потенциального уровня их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дефолтности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F58FA" w:rsidRPr="00DC2B01" w:rsidRDefault="003F58FA" w:rsidP="003F58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В-третьих, возможность получения рефинансирования под залог таких бумаг поднимет интерес к ним широкого круга инвесторов, что станет стимулирующим для рынка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секьюритизации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фактором, а также даст возможность Банку России реализовывать в рынок эти бумаги в случае отзыва лицензии у кредитной организации, передавшей их в обеспечение при получении кредитов от ЦБ РФ.</w:t>
      </w:r>
    </w:p>
    <w:p w:rsidR="003F58FA" w:rsidRPr="00DC2B01" w:rsidRDefault="003F58FA" w:rsidP="003F58FA">
      <w:pPr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B01">
        <w:rPr>
          <w:rFonts w:ascii="Times New Roman" w:hAnsi="Times New Roman"/>
          <w:sz w:val="26"/>
          <w:szCs w:val="26"/>
          <w:lang w:eastAsia="ru-RU"/>
        </w:rPr>
        <w:t xml:space="preserve">В связи с этим, ЦБ РФ предлагается рассмотреть возможность рефинансирования, обеспеченного старшим траншем, выпущенным в результате сделок </w:t>
      </w:r>
      <w:proofErr w:type="spellStart"/>
      <w:r w:rsidRPr="00DC2B01">
        <w:rPr>
          <w:rFonts w:ascii="Times New Roman" w:hAnsi="Times New Roman"/>
          <w:sz w:val="26"/>
          <w:szCs w:val="26"/>
          <w:lang w:eastAsia="ru-RU"/>
        </w:rPr>
        <w:t>неипотечной</w:t>
      </w:r>
      <w:proofErr w:type="spellEnd"/>
      <w:r w:rsidRPr="00DC2B0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C2B01">
        <w:rPr>
          <w:rFonts w:ascii="Times New Roman" w:hAnsi="Times New Roman"/>
          <w:sz w:val="26"/>
          <w:szCs w:val="26"/>
          <w:lang w:eastAsia="ru-RU"/>
        </w:rPr>
        <w:t>секьюритизации</w:t>
      </w:r>
      <w:proofErr w:type="spellEnd"/>
      <w:r w:rsidRPr="00DC2B01">
        <w:rPr>
          <w:rFonts w:ascii="Times New Roman" w:hAnsi="Times New Roman"/>
          <w:sz w:val="26"/>
          <w:szCs w:val="26"/>
          <w:lang w:eastAsia="ru-RU"/>
        </w:rPr>
        <w:t xml:space="preserve"> портфелей кредитов малому и среднему бизнесу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DC2B01">
        <w:rPr>
          <w:rFonts w:ascii="Times New Roman" w:hAnsi="Times New Roman"/>
          <w:sz w:val="26"/>
          <w:szCs w:val="26"/>
          <w:lang w:eastAsia="ru-RU"/>
        </w:rPr>
        <w:t xml:space="preserve"> потребительских кредитов.</w:t>
      </w:r>
    </w:p>
    <w:p w:rsidR="003F58FA" w:rsidRPr="00DC2B01" w:rsidRDefault="003F58FA" w:rsidP="003F58FA">
      <w:pPr>
        <w:ind w:firstLine="720"/>
        <w:jc w:val="both"/>
        <w:rPr>
          <w:sz w:val="26"/>
          <w:szCs w:val="26"/>
          <w:lang w:eastAsia="ru-RU"/>
        </w:rPr>
      </w:pPr>
    </w:p>
    <w:p w:rsidR="003F58FA" w:rsidRPr="00DC2B01" w:rsidRDefault="003F58FA" w:rsidP="003F58FA">
      <w:pPr>
        <w:rPr>
          <w:sz w:val="26"/>
          <w:szCs w:val="26"/>
        </w:rPr>
      </w:pPr>
    </w:p>
    <w:p w:rsidR="00DA56AB" w:rsidRDefault="00DA56AB"/>
    <w:sectPr w:rsidR="00DA56AB" w:rsidSect="00CD0B55">
      <w:footerReference w:type="default" r:id="rId8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0F" w:rsidRDefault="00D12C0F" w:rsidP="00BB483F">
      <w:pPr>
        <w:spacing w:after="0" w:line="240" w:lineRule="auto"/>
      </w:pPr>
      <w:r>
        <w:separator/>
      </w:r>
    </w:p>
  </w:endnote>
  <w:endnote w:type="continuationSeparator" w:id="0">
    <w:p w:rsidR="00D12C0F" w:rsidRDefault="00D12C0F" w:rsidP="00B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F1" w:rsidRDefault="006B1B1D">
    <w:pPr>
      <w:pStyle w:val="a5"/>
      <w:jc w:val="right"/>
    </w:pPr>
    <w:r>
      <w:fldChar w:fldCharType="begin"/>
    </w:r>
    <w:r w:rsidR="003F58FA">
      <w:instrText xml:space="preserve"> PAGE   \* MERGEFORMAT </w:instrText>
    </w:r>
    <w:r>
      <w:fldChar w:fldCharType="separate"/>
    </w:r>
    <w:r w:rsidR="0064456B">
      <w:rPr>
        <w:noProof/>
      </w:rPr>
      <w:t>2</w:t>
    </w:r>
    <w:r>
      <w:fldChar w:fldCharType="end"/>
    </w:r>
  </w:p>
  <w:p w:rsidR="00C206F1" w:rsidRDefault="00D12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0F" w:rsidRDefault="00D12C0F" w:rsidP="00BB483F">
      <w:pPr>
        <w:spacing w:after="0" w:line="240" w:lineRule="auto"/>
      </w:pPr>
      <w:r>
        <w:separator/>
      </w:r>
    </w:p>
  </w:footnote>
  <w:footnote w:type="continuationSeparator" w:id="0">
    <w:p w:rsidR="00D12C0F" w:rsidRDefault="00D12C0F" w:rsidP="00BB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7CD"/>
    <w:multiLevelType w:val="hybridMultilevel"/>
    <w:tmpl w:val="916A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22D67"/>
    <w:multiLevelType w:val="hybridMultilevel"/>
    <w:tmpl w:val="F9A282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FA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5DA6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24D7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002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8FA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5DB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66A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27753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456B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B1D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5D9D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032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4681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483F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2C32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0B55"/>
    <w:rsid w:val="00CD4BEE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C0F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8B2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46EBF"/>
    <w:rsid w:val="00E5095E"/>
    <w:rsid w:val="00E5173E"/>
    <w:rsid w:val="00E5306C"/>
    <w:rsid w:val="00E54274"/>
    <w:rsid w:val="00E54A30"/>
    <w:rsid w:val="00E56002"/>
    <w:rsid w:val="00E56252"/>
    <w:rsid w:val="00E56B3D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8D3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3F58FA"/>
    <w:pPr>
      <w:ind w:left="720"/>
      <w:contextualSpacing/>
    </w:pPr>
  </w:style>
  <w:style w:type="paragraph" w:styleId="a5">
    <w:name w:val="footer"/>
    <w:basedOn w:val="a"/>
    <w:link w:val="a6"/>
    <w:uiPriority w:val="99"/>
    <w:rsid w:val="003F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8FA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B946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B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cp:lastPrinted>2014-03-11T08:09:00Z</cp:lastPrinted>
  <dcterms:created xsi:type="dcterms:W3CDTF">2014-03-04T07:32:00Z</dcterms:created>
  <dcterms:modified xsi:type="dcterms:W3CDTF">2014-03-11T11:43:00Z</dcterms:modified>
</cp:coreProperties>
</file>