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9C" w:rsidRDefault="0062310D">
      <w:pPr>
        <w:jc w:val="right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04/25 от 25.04.2011</w:t>
      </w:r>
    </w:p>
    <w:p w:rsidR="001062DC" w:rsidRDefault="001062DC" w:rsidP="00CD759D">
      <w:pPr>
        <w:rPr>
          <w:rStyle w:val="apple-style-span"/>
          <w:color w:val="000000"/>
          <w:sz w:val="18"/>
          <w:szCs w:val="18"/>
        </w:rPr>
      </w:pPr>
    </w:p>
    <w:p w:rsidR="001062DC" w:rsidRDefault="001062DC" w:rsidP="00CD759D">
      <w:pPr>
        <w:rPr>
          <w:rStyle w:val="apple-style-span"/>
          <w:color w:val="000000"/>
          <w:sz w:val="18"/>
          <w:szCs w:val="18"/>
        </w:rPr>
      </w:pPr>
    </w:p>
    <w:p w:rsidR="001062DC" w:rsidRDefault="001062DC" w:rsidP="001062DC">
      <w:pPr>
        <w:pStyle w:val="af0"/>
        <w:spacing w:line="480" w:lineRule="atLeast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Предложения Ассоциации региональных банков России</w:t>
      </w:r>
    </w:p>
    <w:p w:rsidR="001062DC" w:rsidRDefault="001062DC" w:rsidP="001062DC">
      <w:pPr>
        <w:pStyle w:val="af0"/>
        <w:spacing w:line="420" w:lineRule="atLeas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В План дальнейшего развития бухгалтерского учета на основе МСФО</w:t>
      </w:r>
    </w:p>
    <w:tbl>
      <w:tblPr>
        <w:tblW w:w="0" w:type="auto"/>
        <w:tblInd w:w="70" w:type="dxa"/>
        <w:shd w:val="clear" w:color="auto" w:fill="FFFFFF"/>
        <w:tblLayout w:type="fixed"/>
        <w:tblLook w:val="04A0"/>
      </w:tblPr>
      <w:tblGrid>
        <w:gridCol w:w="556"/>
        <w:gridCol w:w="4440"/>
        <w:gridCol w:w="2653"/>
        <w:gridCol w:w="1549"/>
        <w:gridCol w:w="1703"/>
        <w:gridCol w:w="3236"/>
      </w:tblGrid>
      <w:tr w:rsidR="001062DC" w:rsidTr="001062DC">
        <w:trPr>
          <w:cantSplit/>
          <w:trHeight w:val="660"/>
          <w:tblHeader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№№</w:t>
            </w:r>
          </w:p>
          <w:p w:rsidR="001062DC" w:rsidRDefault="001062DC">
            <w:pPr>
              <w:pStyle w:val="af0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п\п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Наименование мероприятия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Ожидаемый результат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Срок исполнения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Исполнители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Обоснование</w:t>
            </w:r>
          </w:p>
        </w:tc>
      </w:tr>
      <w:tr w:rsidR="001062DC" w:rsidTr="001062DC">
        <w:trPr>
          <w:cantSplit/>
          <w:trHeight w:val="2860"/>
        </w:trPr>
        <w:tc>
          <w:tcPr>
            <w:tcW w:w="556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62DC" w:rsidRDefault="001062DC">
            <w:pPr>
              <w:pStyle w:val="af0"/>
            </w:pPr>
          </w:p>
        </w:tc>
        <w:tc>
          <w:tcPr>
            <w:tcW w:w="4440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062DC" w:rsidRDefault="001062DC">
            <w:pPr>
              <w:pStyle w:val="af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Организация работы по ежегодному переводу МСФО на русский язык с учетом изменений в МСФО</w:t>
            </w:r>
          </w:p>
        </w:tc>
        <w:tc>
          <w:tcPr>
            <w:tcW w:w="2653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062DC" w:rsidRDefault="001062DC">
            <w:pPr>
              <w:pStyle w:val="af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Актуальный перевод на государственный язык РФ текста МСФО  и поддержание этого перевода с учетом всех изменений и дополнений в МСФО.</w:t>
            </w:r>
          </w:p>
        </w:tc>
        <w:tc>
          <w:tcPr>
            <w:tcW w:w="1549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062DC" w:rsidRDefault="001062DC">
            <w:pPr>
              <w:pStyle w:val="af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До 1 октября 2011 года и далее на регулярной основе</w:t>
            </w:r>
          </w:p>
        </w:tc>
        <w:tc>
          <w:tcPr>
            <w:tcW w:w="1703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062DC" w:rsidRDefault="001062DC">
            <w:pPr>
              <w:pStyle w:val="af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По государственному конкурсу между коллективами переводчиков либо путем формирования единой редакционной коллегии под эгидой Минфина РФ</w:t>
            </w:r>
          </w:p>
        </w:tc>
        <w:tc>
          <w:tcPr>
            <w:tcW w:w="3236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062DC" w:rsidRDefault="001062DC">
            <w:pPr>
              <w:pStyle w:val="af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В настоящее время в законодательстве присутствуют ссылки на МСФО, однако единого текста для работы с МСФО - нет. Используются либо перевод на русский язык, принятый в Казахстане, либо текст на английском языке - что мешает единообразию применения МСФО, регулированию и использованию ссылок на МСФО в официальной документации.</w:t>
            </w:r>
          </w:p>
        </w:tc>
      </w:tr>
      <w:tr w:rsidR="001062DC" w:rsidTr="001062DC">
        <w:trPr>
          <w:cantSplit/>
          <w:trHeight w:val="374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 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Эквилизация регулирования, требования членства в СРО, использования профессиональных стандартов и повышение уровня ответственности оценщиков до уровня, используемого в настоящий момент с аудиторами. Эквилизация регулирования достигается путем внесения изменений в законодательство и подзаконные нормативные акты Минфина РФ, ЦБ РФ, ФСФР и МЭР (ФА по управлению госимуществом)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Требования к результатам работы оценщиков будут повышены. Будет повышена ответственность оценщика за выдачу заведомо ложного результата оценки. Повышение доверия к деятельности оценщиков и повышение качества внешней оценки активов и обязательств экономических субъектов для целей отчетности.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До 1 октября 2011 года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Органы федеральной государственной власти в части законодательной инициативы и доработки внутренних подзаконных актов (Минфин РФ, ЦБ РФ, ФСФР и МЭР (ФА по управлению государственным имуществом)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 </w:t>
            </w:r>
          </w:p>
        </w:tc>
      </w:tr>
      <w:tr w:rsidR="001062DC" w:rsidTr="001062DC">
        <w:trPr>
          <w:cantSplit/>
          <w:trHeight w:val="682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lastRenderedPageBreak/>
              <w:t>1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Введение квалификационных требований, согласования на должность и требования состоять в СРО для всех главных бухгалтеров и лиц, подписывающих отчетность публичных компаний и компаний, подлежащих обязательному аудиту в соответствии с законом РФ «Об аудиторской деятельности»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Повышение уровня ответственности и уровня профессионализма при составлении консолидированной отчетности, повышения уровня доверия к отчетности, снижение транзакционных издержек.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до 1 октября 2011 года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Законодательная инициатива, Минфин РФ, ФСФР, ЦБ РФ.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В настоящее время требований по квалификации к главным бухгалтерам не предъявляется, назначение на должность (за исключением кредитных организаций) не согласуется. Всё вместе даёт потенциальную возможность менеджменту компании вовлекать главного бухгалтера в манипулирование отчетностью с корыстными последствиями без учета возможных персональных последствий для главного бухгалтера («запрета на профессию»).  Введение требований обязательности членства в СРО, квалификационных требований и требований согласования на должность даст возможность главному бухгалтеру публичной компании ориентироваться в первую очередь на стандарты отчетности, надлежащим (неискаженным образом) использовать инструмент «мотивированного суждения» для отражения в отчетности фактов деятельности публичной компании.</w:t>
            </w:r>
          </w:p>
        </w:tc>
      </w:tr>
      <w:tr w:rsidR="001062DC" w:rsidTr="001062DC">
        <w:trPr>
          <w:cantSplit/>
          <w:trHeight w:val="242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lastRenderedPageBreak/>
              <w:t>2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Поощрение компаний к использованию МСФО и раскрытию информации по МСФО.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Увеличение компаний, использующих МСФО для отражения результатов своей деятельности за пределами списка компаний, поименованных в Законе № 208-ФЗ «О консолидированной отчетности».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Без ограничения срока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Минфин РФ, ФСФР, МЭР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В настоящее время существует необходимость в росте практики надлежащего применения МСФО всеми участниками рынка для обеспечения возможности участникам рынка и регуляторам выработать и испробовать на практике использование МСФО в качестве базиса отчетности.</w:t>
            </w:r>
          </w:p>
        </w:tc>
      </w:tr>
      <w:tr w:rsidR="001062DC" w:rsidTr="001062DC">
        <w:trPr>
          <w:cantSplit/>
          <w:trHeight w:val="308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Введение обязательности составления и раскрытия информации по промежуточной отчетности публичных компаний в соответствии с МСФО на ежеквартальной основе.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Усиление информационного насыщения рынка качественной информацией и увеличение возможностей участников рынка по доступу к информации публичных компаний на основе МСФО.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До 1 января 2013 года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Минфин РФ, ФСФР, МЭР, ЦБ РФ.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Существует необходимость повышения уровня ответственности публичных компаний за манипулирование отчетностью. Наличие опубликованных квартальных результатов, сделает по ряду причин, манипулирование годовой отчетностью (аудируемой) значительно более трудоёмким и повысит шансы регуляторов и других участников рынка на выявление манипуляций.</w:t>
            </w:r>
          </w:p>
        </w:tc>
      </w:tr>
      <w:tr w:rsidR="001062DC" w:rsidTr="001062DC">
        <w:trPr>
          <w:cantSplit/>
          <w:trHeight w:val="374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lastRenderedPageBreak/>
              <w:t>4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Разработка программы повышения квалификации бухгалтеров и проведение повышения квалификации бухгалтеров до введения требований по членству в СРО для бухгалтеров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Усиление квалификации бухгалтеров и главных бухгалтеров компаний -резидентов РФ снизит транзакционные издержки, позволит ликвидировать первоначальный одномоментный разрыв в базовом образовании для начала адекватного применения МСФО на практике.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До 1 января 2013 года (поэтапно)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Определяются по конкурсу (в случае бюджетного финансирования) и/или на основании совместных решений союзов и ассоциаций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Значительное количество бухгалтеров и главных бухгалтеров компаний в России не имеют базовых знаний по МСФО, поскольку получали своё образование в советские и/или переходные времена. Для начала применения МСФО необходимы однократные значительные усилия по первоначальному обучению и заданию массовости обучения и регулярности повышения квалификации среди представителей сообщества бухгалтеров и главных бухгалтеров. </w:t>
            </w:r>
          </w:p>
        </w:tc>
      </w:tr>
      <w:tr w:rsidR="001062DC" w:rsidTr="001062DC">
        <w:trPr>
          <w:cantSplit/>
          <w:trHeight w:val="33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Разработка программы повышения квалификации государственных служащих, рабочие обязанности которых связаны и/или пересекаются с использованием отчетности юридических лиц и проведение повышения квалификации указанных категорий государственных служащих.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Повышение уровня ответственности государственных служащих при принятии решений на основе отчетности компаний по МСФО, повышение уровня диалога власти и бизнеса для «разговора на одном языке», снижение транзакционных издержек, повышение надежности и уровня надлежащего применения МСФО компаниями  РФ.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До 1 января 2013 года (поэтапно)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Минфин РФ, ФНС РФ, ФСФР, МЭР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 w:rsidP="009C70DF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Государственные служащие (особенно в регионах и на региональном уровне) не имеют базовых знаний по МСФО, поскольку получали своё образование в советские и/или переходные времена. Для начала применения МСФО необходимы однократные значительные усилия по первоначальному обучению и заданию массовости обучения и регулярности повышения квалификации среди государственных служащих.</w:t>
            </w:r>
          </w:p>
        </w:tc>
      </w:tr>
      <w:tr w:rsidR="001062DC" w:rsidTr="001062DC">
        <w:trPr>
          <w:cantSplit/>
          <w:trHeight w:val="484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lastRenderedPageBreak/>
              <w:t>6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Повышение уровня информированности общественности об МСФО.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Снижение транзакционных издержек, приведение единого и адаптированного к реалиям России информационного пространства применения МСФО.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Без ограничения срока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Определяются по конкурсу (в случае бюджетного финансирования) и/или на основании совместных решений союзов и ассоциаций с учетом решения вопросов по использованию интеллектуальной собственности и формах информирования общественности.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Необходимо для развития надлежащей инфраструктуры использования МСФО в России.</w:t>
            </w:r>
          </w:p>
        </w:tc>
      </w:tr>
      <w:tr w:rsidR="001062DC" w:rsidTr="001062DC">
        <w:trPr>
          <w:cantSplit/>
          <w:trHeight w:val="440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lastRenderedPageBreak/>
              <w:t>7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Присоединение России к работе по XBRL и внедрению XBRL для приема/хранения/анализа и использования отчетности компаний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Снижение транзакционных издержек, повышение уровня использования отчетности по МСФО для взаимодействия бизнеса и власти и компаний между собой. XBRL уже используется в ряде стран в качестве основной и дополнительной возможности обязательной отчетности - соответственно использование XBRL в России повышает инвестиционную привлекательность отечественного бизнеса.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До 1 октября 2011 года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Минфин РФ, ФСФР, ЦБ РФ - от регуляторов, союзы и ассоциации - от бизнеса.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062DC" w:rsidRDefault="001062DC">
            <w:pPr>
              <w:pStyle w:val="af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Для полноценного использования МСФО и составления отчетности МСФО, а также для целей надлежащего использования отчетности, составленной по МСФО в целях регулирования, необходимо организовать процесс быстрого обмена информацией и передачи существенных объёмов данных между регулятором и участником рынка. Такая возможность предоставляется с использованием XBRL. XBRL также является международным проектом, участие в котором принимает КМСФО. </w:t>
            </w:r>
          </w:p>
        </w:tc>
      </w:tr>
    </w:tbl>
    <w:p w:rsidR="001062DC" w:rsidRDefault="001062DC" w:rsidP="001062DC">
      <w:pPr>
        <w:pStyle w:val="af0"/>
        <w:spacing w:line="420" w:lineRule="atLeast"/>
        <w:rPr>
          <w:rFonts w:ascii="Times New Roman" w:eastAsia="Times New Roman" w:hAnsi="Times New Roman"/>
          <w:color w:val="auto"/>
          <w:sz w:val="20"/>
        </w:rPr>
      </w:pPr>
    </w:p>
    <w:p w:rsidR="001062DC" w:rsidRPr="00CD759D" w:rsidRDefault="001062DC" w:rsidP="00CD759D">
      <w:pPr>
        <w:rPr>
          <w:rFonts w:eastAsia="Times New Roman"/>
          <w:bCs/>
          <w:color w:val="000000"/>
          <w:sz w:val="18"/>
          <w:szCs w:val="18"/>
          <w:lang w:eastAsia="ru-RU"/>
        </w:rPr>
      </w:pPr>
    </w:p>
    <w:p w:rsidR="003D5667" w:rsidRDefault="003D5667" w:rsidP="003B698E">
      <w:pPr>
        <w:rPr>
          <w:rFonts w:eastAsia="Times New Roman"/>
          <w:bCs/>
          <w:color w:val="000000"/>
          <w:sz w:val="28"/>
          <w:szCs w:val="28"/>
          <w:lang w:eastAsia="ru-RU"/>
        </w:rPr>
      </w:pPr>
    </w:p>
    <w:sectPr w:rsidR="003D5667" w:rsidSect="009C70DF">
      <w:headerReference w:type="even" r:id="rId7"/>
      <w:headerReference w:type="default" r:id="rId8"/>
      <w:footerReference w:type="even" r:id="rId9"/>
      <w:footerReference w:type="default" r:id="rId10"/>
      <w:pgSz w:w="16840" w:h="11907" w:orient="landscape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7C8" w:rsidRDefault="005727C8">
      <w:r>
        <w:separator/>
      </w:r>
    </w:p>
  </w:endnote>
  <w:endnote w:type="continuationSeparator" w:id="1">
    <w:p w:rsidR="005727C8" w:rsidRDefault="00572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D8" w:rsidRDefault="00D01F92">
    <w:pPr>
      <w:pStyle w:val="a9"/>
      <w:framePr w:wrap="around" w:vAnchor="text" w:hAnchor="margin" w:xAlign="center" w:y="1"/>
      <w:rPr>
        <w:rStyle w:val="aa"/>
        <w:rFonts w:eastAsia="MS Mincho"/>
      </w:rPr>
    </w:pPr>
    <w:r>
      <w:rPr>
        <w:rStyle w:val="aa"/>
        <w:rFonts w:eastAsia="MS Mincho"/>
      </w:rPr>
      <w:fldChar w:fldCharType="begin"/>
    </w:r>
    <w:r w:rsidR="00A428D8">
      <w:rPr>
        <w:rStyle w:val="aa"/>
        <w:rFonts w:eastAsia="MS Mincho"/>
      </w:rPr>
      <w:instrText xml:space="preserve">PAGE  </w:instrText>
    </w:r>
    <w:r>
      <w:rPr>
        <w:rStyle w:val="aa"/>
        <w:rFonts w:eastAsia="MS Mincho"/>
      </w:rPr>
      <w:fldChar w:fldCharType="end"/>
    </w:r>
  </w:p>
  <w:p w:rsidR="00A428D8" w:rsidRDefault="00A428D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D8" w:rsidRDefault="00A428D8">
    <w:pPr>
      <w:pStyle w:val="a9"/>
      <w:framePr w:wrap="around" w:vAnchor="text" w:hAnchor="margin" w:xAlign="center" w:y="1"/>
      <w:rPr>
        <w:rStyle w:val="aa"/>
        <w:rFonts w:eastAsia="MS Mincho"/>
      </w:rPr>
    </w:pPr>
  </w:p>
  <w:p w:rsidR="00A428D8" w:rsidRDefault="00A428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7C8" w:rsidRDefault="005727C8">
      <w:r>
        <w:separator/>
      </w:r>
    </w:p>
  </w:footnote>
  <w:footnote w:type="continuationSeparator" w:id="1">
    <w:p w:rsidR="005727C8" w:rsidRDefault="00572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D8" w:rsidRDefault="00D01F92">
    <w:pPr>
      <w:pStyle w:val="3"/>
      <w:framePr w:wrap="around" w:vAnchor="text" w:hAnchor="margin" w:xAlign="right" w:y="1"/>
    </w:pPr>
    <w:r>
      <w:fldChar w:fldCharType="begin"/>
    </w:r>
    <w:r w:rsidR="00A428D8">
      <w:instrText xml:space="preserve">PAGE  </w:instrText>
    </w:r>
    <w:r>
      <w:fldChar w:fldCharType="separate"/>
    </w:r>
    <w:r w:rsidR="00A428D8">
      <w:t>9</w:t>
    </w:r>
    <w:r>
      <w:fldChar w:fldCharType="end"/>
    </w:r>
  </w:p>
  <w:p w:rsidR="00A428D8" w:rsidRDefault="00A428D8">
    <w:pPr>
      <w:pStyle w:val="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D8" w:rsidRDefault="00A428D8">
    <w:pPr>
      <w:pStyle w:val="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75ED"/>
    <w:multiLevelType w:val="hybridMultilevel"/>
    <w:tmpl w:val="BE9E6E5E"/>
    <w:lvl w:ilvl="0" w:tplc="B108133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BECD5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DF80DA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4A531F4"/>
    <w:multiLevelType w:val="hybridMultilevel"/>
    <w:tmpl w:val="3B22096E"/>
    <w:lvl w:ilvl="0" w:tplc="DDCEEAD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0AA8"/>
    <w:rsid w:val="001062DC"/>
    <w:rsid w:val="00127B2D"/>
    <w:rsid w:val="001848F0"/>
    <w:rsid w:val="00185DBC"/>
    <w:rsid w:val="001C0AA8"/>
    <w:rsid w:val="003B698E"/>
    <w:rsid w:val="003D2024"/>
    <w:rsid w:val="003D5667"/>
    <w:rsid w:val="00407CD5"/>
    <w:rsid w:val="00423A40"/>
    <w:rsid w:val="004838C0"/>
    <w:rsid w:val="005727C8"/>
    <w:rsid w:val="00593A2A"/>
    <w:rsid w:val="005B1A7F"/>
    <w:rsid w:val="005D1E4A"/>
    <w:rsid w:val="005F4281"/>
    <w:rsid w:val="0062310D"/>
    <w:rsid w:val="00664BD9"/>
    <w:rsid w:val="00683249"/>
    <w:rsid w:val="0069789C"/>
    <w:rsid w:val="006D0014"/>
    <w:rsid w:val="007135CB"/>
    <w:rsid w:val="009A686E"/>
    <w:rsid w:val="009C70DF"/>
    <w:rsid w:val="00A428D8"/>
    <w:rsid w:val="00AB0758"/>
    <w:rsid w:val="00CD759D"/>
    <w:rsid w:val="00D01F92"/>
    <w:rsid w:val="00E469E6"/>
    <w:rsid w:val="00E5169B"/>
    <w:rsid w:val="00E66E25"/>
    <w:rsid w:val="00ED26F9"/>
    <w:rsid w:val="00F1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281"/>
    <w:rPr>
      <w:sz w:val="24"/>
      <w:szCs w:val="24"/>
      <w:lang w:eastAsia="ja-JP"/>
    </w:rPr>
  </w:style>
  <w:style w:type="paragraph" w:styleId="1">
    <w:name w:val="heading 1"/>
    <w:basedOn w:val="a"/>
    <w:next w:val="a"/>
    <w:qFormat/>
    <w:rsid w:val="005F4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F4281"/>
    <w:pPr>
      <w:keepNext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F4281"/>
    <w:rPr>
      <w:sz w:val="20"/>
      <w:szCs w:val="20"/>
    </w:rPr>
  </w:style>
  <w:style w:type="character" w:styleId="a4">
    <w:name w:val="footnote reference"/>
    <w:basedOn w:val="a0"/>
    <w:semiHidden/>
    <w:rsid w:val="005F4281"/>
    <w:rPr>
      <w:vertAlign w:val="superscript"/>
    </w:rPr>
  </w:style>
  <w:style w:type="paragraph" w:customStyle="1" w:styleId="ConsPlusNormal">
    <w:name w:val="ConsPlusNormal"/>
    <w:rsid w:val="005F42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5F42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42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нак1"/>
    <w:basedOn w:val="a0"/>
    <w:rsid w:val="005F4281"/>
    <w:rPr>
      <w:rFonts w:eastAsia="MS Mincho"/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rsid w:val="005F4281"/>
    <w:pPr>
      <w:ind w:firstLine="540"/>
      <w:jc w:val="both"/>
    </w:pPr>
    <w:rPr>
      <w:b/>
      <w:bCs/>
      <w:sz w:val="26"/>
      <w:lang w:eastAsia="ru-RU"/>
    </w:rPr>
  </w:style>
  <w:style w:type="character" w:customStyle="1" w:styleId="a6">
    <w:name w:val="Знак"/>
    <w:basedOn w:val="a0"/>
    <w:rsid w:val="005F4281"/>
    <w:rPr>
      <w:rFonts w:eastAsia="MS Mincho"/>
      <w:b/>
      <w:bCs/>
      <w:sz w:val="26"/>
      <w:szCs w:val="24"/>
      <w:lang w:val="ru-RU" w:eastAsia="ru-RU" w:bidi="ar-SA"/>
    </w:rPr>
  </w:style>
  <w:style w:type="paragraph" w:styleId="a7">
    <w:name w:val="Title"/>
    <w:basedOn w:val="a"/>
    <w:qFormat/>
    <w:rsid w:val="005F4281"/>
    <w:pPr>
      <w:jc w:val="center"/>
    </w:pPr>
    <w:rPr>
      <w:rFonts w:eastAsia="Times New Roman"/>
      <w:b/>
      <w:sz w:val="28"/>
      <w:szCs w:val="20"/>
      <w:lang w:eastAsia="ru-RU"/>
    </w:rPr>
  </w:style>
  <w:style w:type="paragraph" w:styleId="20">
    <w:name w:val="Body Text 2"/>
    <w:basedOn w:val="a"/>
    <w:rsid w:val="005F4281"/>
    <w:pPr>
      <w:spacing w:after="120" w:line="480" w:lineRule="auto"/>
    </w:pPr>
  </w:style>
  <w:style w:type="paragraph" w:styleId="3">
    <w:name w:val="Body Text 3"/>
    <w:basedOn w:val="a"/>
    <w:rsid w:val="005F4281"/>
    <w:pPr>
      <w:spacing w:after="120"/>
    </w:pPr>
    <w:rPr>
      <w:sz w:val="16"/>
      <w:szCs w:val="16"/>
    </w:rPr>
  </w:style>
  <w:style w:type="paragraph" w:styleId="a8">
    <w:name w:val="Body Text"/>
    <w:basedOn w:val="a"/>
    <w:rsid w:val="005F4281"/>
    <w:pPr>
      <w:spacing w:after="120"/>
    </w:pPr>
  </w:style>
  <w:style w:type="paragraph" w:styleId="21">
    <w:name w:val="Body Text Indent 2"/>
    <w:basedOn w:val="a"/>
    <w:rsid w:val="005F4281"/>
    <w:pPr>
      <w:spacing w:after="120" w:line="480" w:lineRule="auto"/>
      <w:ind w:left="283"/>
    </w:pPr>
  </w:style>
  <w:style w:type="paragraph" w:styleId="a9">
    <w:name w:val="footer"/>
    <w:basedOn w:val="a"/>
    <w:rsid w:val="005F4281"/>
    <w:pPr>
      <w:tabs>
        <w:tab w:val="center" w:pos="4153"/>
        <w:tab w:val="right" w:pos="8306"/>
      </w:tabs>
      <w:ind w:firstLine="720"/>
      <w:jc w:val="both"/>
    </w:pPr>
    <w:rPr>
      <w:rFonts w:eastAsia="Times New Roman"/>
      <w:sz w:val="28"/>
      <w:szCs w:val="20"/>
      <w:lang w:eastAsia="ru-RU"/>
    </w:rPr>
  </w:style>
  <w:style w:type="character" w:styleId="aa">
    <w:name w:val="page number"/>
    <w:basedOn w:val="a0"/>
    <w:rsid w:val="005F4281"/>
  </w:style>
  <w:style w:type="paragraph" w:customStyle="1" w:styleId="FR1">
    <w:name w:val="FR1"/>
    <w:rsid w:val="005F4281"/>
    <w:pPr>
      <w:widowControl w:val="0"/>
      <w:jc w:val="both"/>
    </w:pPr>
    <w:rPr>
      <w:rFonts w:ascii="Arial" w:eastAsia="Times New Roman" w:hAnsi="Arial"/>
      <w:snapToGrid w:val="0"/>
      <w:sz w:val="18"/>
    </w:rPr>
  </w:style>
  <w:style w:type="paragraph" w:styleId="ab">
    <w:name w:val="Block Text"/>
    <w:basedOn w:val="a"/>
    <w:rsid w:val="005F4281"/>
    <w:pPr>
      <w:spacing w:line="240" w:lineRule="atLeast"/>
      <w:ind w:left="34" w:right="102"/>
      <w:jc w:val="both"/>
    </w:pPr>
    <w:rPr>
      <w:rFonts w:eastAsia="Times New Roman"/>
      <w:sz w:val="28"/>
      <w:szCs w:val="20"/>
      <w:lang w:eastAsia="ru-RU"/>
    </w:rPr>
  </w:style>
  <w:style w:type="character" w:styleId="ac">
    <w:name w:val="Hyperlink"/>
    <w:basedOn w:val="a0"/>
    <w:rsid w:val="005F4281"/>
    <w:rPr>
      <w:color w:val="0000FF"/>
      <w:u w:val="single"/>
    </w:rPr>
  </w:style>
  <w:style w:type="paragraph" w:customStyle="1" w:styleId="ad">
    <w:name w:val="Знак Знак Знак Знак Знак Знак Знак Знак Знак Знак"/>
    <w:basedOn w:val="a"/>
    <w:rsid w:val="001C0AA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e">
    <w:name w:val="header"/>
    <w:basedOn w:val="a"/>
    <w:rsid w:val="003D5667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185DB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D759D"/>
  </w:style>
  <w:style w:type="paragraph" w:customStyle="1" w:styleId="af0">
    <w:name w:val="Свободная форма"/>
    <w:autoRedefine/>
    <w:rsid w:val="001062DC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министру финансов</vt:lpstr>
    </vt:vector>
  </TitlesOfParts>
  <Company>CTS</Company>
  <LinksUpToDate>false</LinksUpToDate>
  <CharactersWithSpaces>7964</CharactersWithSpaces>
  <SharedDoc>false</SharedDoc>
  <HLinks>
    <vt:vector size="30" baseType="variant">
      <vt:variant>
        <vt:i4>8257626</vt:i4>
      </vt:variant>
      <vt:variant>
        <vt:i4>12</vt:i4>
      </vt:variant>
      <vt:variant>
        <vt:i4>0</vt:i4>
      </vt:variant>
      <vt:variant>
        <vt:i4>5</vt:i4>
      </vt:variant>
      <vt:variant>
        <vt:lpwstr>mailto:mbc@asros.ru</vt:lpwstr>
      </vt:variant>
      <vt:variant>
        <vt:lpwstr/>
      </vt:variant>
      <vt:variant>
        <vt:i4>8257626</vt:i4>
      </vt:variant>
      <vt:variant>
        <vt:i4>9</vt:i4>
      </vt:variant>
      <vt:variant>
        <vt:i4>0</vt:i4>
      </vt:variant>
      <vt:variant>
        <vt:i4>5</vt:i4>
      </vt:variant>
      <vt:variant>
        <vt:lpwstr>mailto:mbc@asros.ru</vt:lpwstr>
      </vt:variant>
      <vt:variant>
        <vt:lpwstr/>
      </vt:variant>
      <vt:variant>
        <vt:i4>8257626</vt:i4>
      </vt:variant>
      <vt:variant>
        <vt:i4>6</vt:i4>
      </vt:variant>
      <vt:variant>
        <vt:i4>0</vt:i4>
      </vt:variant>
      <vt:variant>
        <vt:i4>5</vt:i4>
      </vt:variant>
      <vt:variant>
        <vt:lpwstr>mailto:mbc@asros.ru</vt:lpwstr>
      </vt:variant>
      <vt:variant>
        <vt:lpwstr/>
      </vt:variant>
      <vt:variant>
        <vt:i4>8257626</vt:i4>
      </vt:variant>
      <vt:variant>
        <vt:i4>3</vt:i4>
      </vt:variant>
      <vt:variant>
        <vt:i4>0</vt:i4>
      </vt:variant>
      <vt:variant>
        <vt:i4>5</vt:i4>
      </vt:variant>
      <vt:variant>
        <vt:lpwstr>mailto:mbc@asros.ru</vt:lpwstr>
      </vt:variant>
      <vt:variant>
        <vt:lpwstr/>
      </vt:variant>
      <vt:variant>
        <vt:i4>8257626</vt:i4>
      </vt:variant>
      <vt:variant>
        <vt:i4>0</vt:i4>
      </vt:variant>
      <vt:variant>
        <vt:i4>0</vt:i4>
      </vt:variant>
      <vt:variant>
        <vt:i4>5</vt:i4>
      </vt:variant>
      <vt:variant>
        <vt:lpwstr>mailto:mbc@asros.ru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министру финансов</dc:title>
  <dc:creator>user1</dc:creator>
  <cp:lastModifiedBy>Елена</cp:lastModifiedBy>
  <cp:revision>2</cp:revision>
  <cp:lastPrinted>2011-05-25T08:12:00Z</cp:lastPrinted>
  <dcterms:created xsi:type="dcterms:W3CDTF">2011-06-01T12:12:00Z</dcterms:created>
  <dcterms:modified xsi:type="dcterms:W3CDTF">2011-06-01T12:12:00Z</dcterms:modified>
</cp:coreProperties>
</file>