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A8B3" w14:textId="77777777" w:rsidR="006F0B36" w:rsidRDefault="008A44F5" w:rsidP="006F0B36">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Ответы на</w:t>
      </w:r>
      <w:r w:rsidR="00730E55" w:rsidRPr="006571B3">
        <w:rPr>
          <w:rFonts w:ascii="Times New Roman" w:hAnsi="Times New Roman" w:cs="Times New Roman"/>
          <w:b/>
          <w:sz w:val="26"/>
          <w:szCs w:val="26"/>
        </w:rPr>
        <w:t xml:space="preserve"> в</w:t>
      </w:r>
      <w:r w:rsidR="00AF2EB1" w:rsidRPr="006571B3">
        <w:rPr>
          <w:rFonts w:ascii="Times New Roman" w:hAnsi="Times New Roman" w:cs="Times New Roman"/>
          <w:b/>
          <w:sz w:val="26"/>
          <w:szCs w:val="26"/>
        </w:rPr>
        <w:t>опросы</w:t>
      </w:r>
      <w:r w:rsidR="00730E55" w:rsidRPr="006571B3">
        <w:rPr>
          <w:rFonts w:ascii="Times New Roman" w:hAnsi="Times New Roman" w:cs="Times New Roman"/>
          <w:b/>
          <w:sz w:val="26"/>
          <w:szCs w:val="26"/>
        </w:rPr>
        <w:t xml:space="preserve"> и предложения</w:t>
      </w:r>
      <w:r>
        <w:rPr>
          <w:rFonts w:ascii="Times New Roman" w:hAnsi="Times New Roman" w:cs="Times New Roman"/>
          <w:b/>
          <w:sz w:val="26"/>
          <w:szCs w:val="26"/>
        </w:rPr>
        <w:t>,</w:t>
      </w:r>
      <w:r w:rsidR="00730E55" w:rsidRPr="006571B3">
        <w:rPr>
          <w:rFonts w:ascii="Times New Roman" w:hAnsi="Times New Roman" w:cs="Times New Roman"/>
          <w:b/>
          <w:sz w:val="26"/>
          <w:szCs w:val="26"/>
        </w:rPr>
        <w:t xml:space="preserve"> </w:t>
      </w:r>
      <w:r w:rsidR="00AF2EB1" w:rsidRPr="006571B3">
        <w:rPr>
          <w:rFonts w:ascii="Times New Roman" w:hAnsi="Times New Roman" w:cs="Times New Roman"/>
          <w:b/>
          <w:sz w:val="26"/>
          <w:szCs w:val="26"/>
        </w:rPr>
        <w:t>направлен</w:t>
      </w:r>
      <w:r>
        <w:rPr>
          <w:rFonts w:ascii="Times New Roman" w:hAnsi="Times New Roman" w:cs="Times New Roman"/>
          <w:b/>
          <w:sz w:val="26"/>
          <w:szCs w:val="26"/>
        </w:rPr>
        <w:t>ные</w:t>
      </w:r>
      <w:r w:rsidR="00AF2EB1" w:rsidRPr="006571B3">
        <w:rPr>
          <w:rFonts w:ascii="Times New Roman" w:hAnsi="Times New Roman" w:cs="Times New Roman"/>
          <w:b/>
          <w:sz w:val="26"/>
          <w:szCs w:val="26"/>
        </w:rPr>
        <w:t xml:space="preserve"> </w:t>
      </w:r>
    </w:p>
    <w:p w14:paraId="79646A7A" w14:textId="21069C4B" w:rsidR="00564BCA" w:rsidRDefault="008A44F5" w:rsidP="006F0B36">
      <w:pPr>
        <w:spacing w:after="24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п</w:t>
      </w:r>
      <w:r w:rsidR="00717F17" w:rsidRPr="006571B3">
        <w:rPr>
          <w:rFonts w:ascii="Times New Roman" w:hAnsi="Times New Roman" w:cs="Times New Roman"/>
          <w:b/>
          <w:sz w:val="26"/>
          <w:szCs w:val="26"/>
        </w:rPr>
        <w:t xml:space="preserve">ервому </w:t>
      </w:r>
      <w:r>
        <w:rPr>
          <w:rFonts w:ascii="Times New Roman" w:hAnsi="Times New Roman" w:cs="Times New Roman"/>
          <w:b/>
          <w:sz w:val="26"/>
          <w:szCs w:val="26"/>
        </w:rPr>
        <w:t>з</w:t>
      </w:r>
      <w:r w:rsidR="00717F17" w:rsidRPr="006571B3">
        <w:rPr>
          <w:rFonts w:ascii="Times New Roman" w:hAnsi="Times New Roman" w:cs="Times New Roman"/>
          <w:b/>
          <w:sz w:val="26"/>
          <w:szCs w:val="26"/>
        </w:rPr>
        <w:t>аместителю</w:t>
      </w:r>
      <w:r w:rsidR="001A59AE" w:rsidRPr="006571B3">
        <w:rPr>
          <w:rFonts w:ascii="Times New Roman" w:hAnsi="Times New Roman" w:cs="Times New Roman"/>
          <w:b/>
          <w:sz w:val="26"/>
          <w:szCs w:val="26"/>
        </w:rPr>
        <w:t xml:space="preserve"> Председателя</w:t>
      </w:r>
      <w:r w:rsidR="00717F17" w:rsidRPr="006571B3">
        <w:rPr>
          <w:rFonts w:ascii="Times New Roman" w:hAnsi="Times New Roman" w:cs="Times New Roman"/>
          <w:b/>
          <w:sz w:val="26"/>
          <w:szCs w:val="26"/>
        </w:rPr>
        <w:t xml:space="preserve"> Банка России</w:t>
      </w:r>
      <w:r w:rsidR="006F0B36" w:rsidRPr="00617995">
        <w:rPr>
          <w:rFonts w:ascii="Times New Roman" w:hAnsi="Times New Roman" w:cs="Times New Roman"/>
          <w:b/>
          <w:sz w:val="26"/>
          <w:szCs w:val="26"/>
        </w:rPr>
        <w:t xml:space="preserve"> </w:t>
      </w:r>
      <w:proofErr w:type="spellStart"/>
      <w:r w:rsidR="00717F17" w:rsidRPr="006571B3">
        <w:rPr>
          <w:rFonts w:ascii="Times New Roman" w:hAnsi="Times New Roman" w:cs="Times New Roman"/>
          <w:b/>
          <w:sz w:val="26"/>
          <w:szCs w:val="26"/>
        </w:rPr>
        <w:t>Тулину</w:t>
      </w:r>
      <w:proofErr w:type="spellEnd"/>
      <w:r w:rsidR="00717F17" w:rsidRPr="006571B3">
        <w:rPr>
          <w:rFonts w:ascii="Times New Roman" w:hAnsi="Times New Roman" w:cs="Times New Roman"/>
          <w:b/>
          <w:sz w:val="26"/>
          <w:szCs w:val="26"/>
        </w:rPr>
        <w:t xml:space="preserve"> Д.В.</w:t>
      </w:r>
    </w:p>
    <w:tbl>
      <w:tblPr>
        <w:tblStyle w:val="a8"/>
        <w:tblW w:w="14289" w:type="dxa"/>
        <w:tblLook w:val="04A0" w:firstRow="1" w:lastRow="0" w:firstColumn="1" w:lastColumn="0" w:noHBand="0" w:noVBand="1"/>
      </w:tblPr>
      <w:tblGrid>
        <w:gridCol w:w="5503"/>
        <w:gridCol w:w="8786"/>
      </w:tblGrid>
      <w:tr w:rsidR="006F0B36" w:rsidRPr="002F0BB6" w14:paraId="3601C6B6" w14:textId="77777777" w:rsidTr="006F0B36">
        <w:trPr>
          <w:trHeight w:val="672"/>
        </w:trPr>
        <w:tc>
          <w:tcPr>
            <w:tcW w:w="5503" w:type="dxa"/>
            <w:vAlign w:val="center"/>
          </w:tcPr>
          <w:p w14:paraId="616D3E57" w14:textId="05DC5B5F" w:rsidR="006F0B36" w:rsidRPr="002C615A" w:rsidRDefault="006F0B36" w:rsidP="006F0B36">
            <w:pPr>
              <w:spacing w:before="120" w:after="120"/>
              <w:jc w:val="center"/>
              <w:rPr>
                <w:rFonts w:ascii="Times New Roman" w:hAnsi="Times New Roman" w:cs="Times New Roman"/>
                <w:b/>
                <w:sz w:val="26"/>
                <w:szCs w:val="26"/>
              </w:rPr>
            </w:pPr>
            <w:r w:rsidRPr="002C615A">
              <w:rPr>
                <w:rFonts w:ascii="Times New Roman" w:hAnsi="Times New Roman" w:cs="Times New Roman"/>
                <w:b/>
                <w:sz w:val="24"/>
                <w:szCs w:val="24"/>
              </w:rPr>
              <w:t>Вопросы и предложения</w:t>
            </w:r>
          </w:p>
        </w:tc>
        <w:tc>
          <w:tcPr>
            <w:tcW w:w="8786" w:type="dxa"/>
            <w:vAlign w:val="center"/>
          </w:tcPr>
          <w:p w14:paraId="36FD7F1A" w14:textId="3B6A983C" w:rsidR="006F0B36" w:rsidRPr="002C615A" w:rsidRDefault="006F0B36" w:rsidP="006F0B36">
            <w:pPr>
              <w:spacing w:before="120" w:after="120"/>
              <w:jc w:val="center"/>
              <w:rPr>
                <w:rFonts w:ascii="Times New Roman" w:hAnsi="Times New Roman" w:cs="Times New Roman"/>
                <w:b/>
                <w:sz w:val="26"/>
                <w:szCs w:val="26"/>
              </w:rPr>
            </w:pPr>
            <w:r w:rsidRPr="002C615A">
              <w:rPr>
                <w:rFonts w:ascii="Times New Roman" w:hAnsi="Times New Roman" w:cs="Times New Roman"/>
                <w:b/>
                <w:sz w:val="24"/>
                <w:szCs w:val="24"/>
              </w:rPr>
              <w:t>Ответы и комментарии</w:t>
            </w:r>
          </w:p>
        </w:tc>
      </w:tr>
      <w:tr w:rsidR="006F0B36" w:rsidRPr="002F0BB6" w14:paraId="3856B360" w14:textId="77777777" w:rsidTr="006F0B36">
        <w:trPr>
          <w:trHeight w:val="504"/>
        </w:trPr>
        <w:tc>
          <w:tcPr>
            <w:tcW w:w="5503" w:type="dxa"/>
          </w:tcPr>
          <w:p w14:paraId="5D9DE56D" w14:textId="77777777" w:rsidR="006F0B36" w:rsidRPr="006F0B36" w:rsidRDefault="006F0B36" w:rsidP="006F0B36">
            <w:pPr>
              <w:pStyle w:val="a3"/>
              <w:numPr>
                <w:ilvl w:val="0"/>
                <w:numId w:val="38"/>
              </w:numPr>
              <w:spacing w:before="120" w:after="120"/>
              <w:ind w:left="0" w:firstLine="737"/>
              <w:jc w:val="both"/>
              <w:rPr>
                <w:rFonts w:ascii="Times New Roman" w:hAnsi="Times New Roman" w:cs="Times New Roman"/>
                <w:sz w:val="26"/>
                <w:szCs w:val="26"/>
              </w:rPr>
            </w:pPr>
            <w:r w:rsidRPr="006F0B36">
              <w:rPr>
                <w:rFonts w:ascii="Times New Roman" w:hAnsi="Times New Roman" w:cs="Times New Roman"/>
                <w:sz w:val="26"/>
                <w:szCs w:val="26"/>
              </w:rPr>
              <w:t>Каковы основные планируемые Банком России шаги по повышению эффективности деятельности кредитных организаций (включая стимулирование банков по кредитованию реального сектора экономики), которая должна, с одной стороны, позволить банкам встретить усиленные требования Базеля 4, а с другой – обеспечить устойчивое развитие банковского сектора?</w:t>
            </w:r>
          </w:p>
        </w:tc>
        <w:tc>
          <w:tcPr>
            <w:tcW w:w="8786" w:type="dxa"/>
          </w:tcPr>
          <w:p w14:paraId="0D77647C" w14:textId="5C1FFB52" w:rsidR="006F0B36" w:rsidRPr="002F0BB6" w:rsidRDefault="006F0B36" w:rsidP="000219AC">
            <w:pPr>
              <w:spacing w:before="120" w:after="120"/>
              <w:ind w:firstLine="601"/>
              <w:jc w:val="both"/>
              <w:rPr>
                <w:rFonts w:ascii="Times New Roman" w:hAnsi="Times New Roman" w:cs="Times New Roman"/>
                <w:sz w:val="26"/>
                <w:szCs w:val="26"/>
              </w:rPr>
            </w:pPr>
            <w:r w:rsidRPr="00D02CA6">
              <w:rPr>
                <w:rFonts w:ascii="Times New Roman" w:hAnsi="Times New Roman" w:cs="Times New Roman"/>
                <w:sz w:val="26"/>
                <w:szCs w:val="26"/>
              </w:rPr>
              <w:t>Банк России планирует совершенствование подходов к порядку оценки ссуд, предоставленных предприятиям реального сектора на осуществление операционной деятельности, в зависимости от уровня кредитного риска, присущего ссуде. Улучшение классификации таких ссуд на одну категорию качества обеспечивает поддержку реального бизнеса и направлено на ограничение сделок слияний и поглощений (M&amp;A).</w:t>
            </w:r>
          </w:p>
        </w:tc>
      </w:tr>
      <w:tr w:rsidR="006F0B36" w:rsidRPr="002F0BB6" w14:paraId="416A5962" w14:textId="77777777" w:rsidTr="006F0B36">
        <w:trPr>
          <w:trHeight w:val="519"/>
        </w:trPr>
        <w:tc>
          <w:tcPr>
            <w:tcW w:w="5503" w:type="dxa"/>
          </w:tcPr>
          <w:p w14:paraId="4B4288BD" w14:textId="68F46386" w:rsidR="006F0B36" w:rsidRPr="006F0B36" w:rsidRDefault="006F0B36" w:rsidP="006F0B36">
            <w:pPr>
              <w:pStyle w:val="a3"/>
              <w:numPr>
                <w:ilvl w:val="0"/>
                <w:numId w:val="38"/>
              </w:numPr>
              <w:spacing w:before="120" w:after="120"/>
              <w:ind w:left="0" w:firstLine="737"/>
              <w:jc w:val="both"/>
              <w:rPr>
                <w:rFonts w:ascii="Times New Roman" w:hAnsi="Times New Roman" w:cs="Times New Roman"/>
                <w:sz w:val="26"/>
                <w:szCs w:val="26"/>
              </w:rPr>
            </w:pPr>
            <w:r w:rsidRPr="006F0B36">
              <w:rPr>
                <w:rFonts w:ascii="Times New Roman" w:hAnsi="Times New Roman" w:cs="Times New Roman"/>
                <w:sz w:val="26"/>
                <w:szCs w:val="26"/>
              </w:rPr>
              <w:t>Каковы планы Банка России по реформе регулирования залогового обеспечения (как результат обсуждений доклада для общественных консультаций)?</w:t>
            </w:r>
          </w:p>
        </w:tc>
        <w:tc>
          <w:tcPr>
            <w:tcW w:w="8786" w:type="dxa"/>
          </w:tcPr>
          <w:p w14:paraId="52848836" w14:textId="25DFCF77" w:rsidR="006F0B36" w:rsidRPr="002F0BB6" w:rsidRDefault="006F0B36" w:rsidP="000219AC">
            <w:pPr>
              <w:spacing w:before="120" w:after="120"/>
              <w:ind w:firstLine="601"/>
              <w:jc w:val="both"/>
              <w:rPr>
                <w:rFonts w:ascii="Times New Roman" w:hAnsi="Times New Roman" w:cs="Times New Roman"/>
                <w:sz w:val="26"/>
                <w:szCs w:val="26"/>
              </w:rPr>
            </w:pPr>
            <w:r w:rsidRPr="00D02CA6">
              <w:rPr>
                <w:rFonts w:ascii="Times New Roman" w:hAnsi="Times New Roman" w:cs="Times New Roman"/>
                <w:sz w:val="26"/>
                <w:szCs w:val="26"/>
              </w:rPr>
              <w:t xml:space="preserve">Банк России продолжит работу с представителями банковского сообщества и банковскими ассоциациями по выработке подходов по распределению обеспечения на 3 категории качества, которая позволит регламентировать деятельность кредитных организаций и, полагаем, может привести </w:t>
            </w:r>
            <w:r>
              <w:rPr>
                <w:rFonts w:ascii="Times New Roman" w:hAnsi="Times New Roman" w:cs="Times New Roman"/>
                <w:sz w:val="26"/>
                <w:szCs w:val="26"/>
              </w:rPr>
              <w:t xml:space="preserve">к </w:t>
            </w:r>
            <w:r w:rsidRPr="00D02CA6">
              <w:rPr>
                <w:rFonts w:ascii="Times New Roman" w:hAnsi="Times New Roman" w:cs="Times New Roman"/>
                <w:sz w:val="26"/>
                <w:szCs w:val="26"/>
              </w:rPr>
              <w:t>положительному эффекту для банковского сектора с точки зрения адекватности оценки принимаемых рисков.</w:t>
            </w:r>
          </w:p>
        </w:tc>
      </w:tr>
      <w:tr w:rsidR="006F0B36" w:rsidRPr="002F0BB6" w14:paraId="2CA492DA" w14:textId="77777777" w:rsidTr="006F0B36">
        <w:trPr>
          <w:trHeight w:val="504"/>
        </w:trPr>
        <w:tc>
          <w:tcPr>
            <w:tcW w:w="5503" w:type="dxa"/>
          </w:tcPr>
          <w:p w14:paraId="4F64C0D9" w14:textId="66B5890C" w:rsidR="006F0B36" w:rsidRPr="002F0BB6" w:rsidRDefault="006F0B36" w:rsidP="006F0B36">
            <w:pPr>
              <w:pStyle w:val="a3"/>
              <w:numPr>
                <w:ilvl w:val="0"/>
                <w:numId w:val="38"/>
              </w:numPr>
              <w:spacing w:before="120" w:after="120"/>
              <w:ind w:left="0" w:firstLine="737"/>
              <w:jc w:val="both"/>
              <w:rPr>
                <w:rFonts w:ascii="Times New Roman" w:hAnsi="Times New Roman" w:cs="Times New Roman"/>
                <w:sz w:val="26"/>
                <w:szCs w:val="26"/>
              </w:rPr>
            </w:pPr>
            <w:r w:rsidRPr="009147F0">
              <w:rPr>
                <w:rFonts w:ascii="Times New Roman" w:hAnsi="Times New Roman" w:cs="Times New Roman"/>
                <w:sz w:val="26"/>
                <w:szCs w:val="26"/>
              </w:rPr>
              <w:t>Планируется ли видоизменять подходы к отчислениям в ГК «АСВ»?</w:t>
            </w:r>
          </w:p>
        </w:tc>
        <w:tc>
          <w:tcPr>
            <w:tcW w:w="8786" w:type="dxa"/>
          </w:tcPr>
          <w:p w14:paraId="79E3EF55" w14:textId="0E5348FF" w:rsidR="006F0B36" w:rsidRPr="00DD147B" w:rsidRDefault="006F0B36" w:rsidP="006F0B36">
            <w:pPr>
              <w:spacing w:before="120"/>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Это вопрос всестороннего анализа новаций системе страхования вкладов.</w:t>
            </w:r>
          </w:p>
          <w:p w14:paraId="09E93227" w14:textId="50C21A8B" w:rsidR="006F0B36" w:rsidRPr="00451F70" w:rsidRDefault="006F0B36" w:rsidP="00451F70">
            <w:pPr>
              <w:ind w:firstLine="709"/>
              <w:jc w:val="both"/>
              <w:rPr>
                <w:rFonts w:ascii="Times New Roman" w:eastAsia="Times New Roman" w:hAnsi="Times New Roman" w:cs="Times New Roman"/>
                <w:bCs/>
                <w:sz w:val="26"/>
                <w:szCs w:val="26"/>
              </w:rPr>
            </w:pPr>
            <w:r w:rsidRPr="00451F70">
              <w:rPr>
                <w:rFonts w:ascii="Times New Roman" w:eastAsia="Times New Roman" w:hAnsi="Times New Roman" w:cs="Times New Roman"/>
                <w:bCs/>
                <w:sz w:val="26"/>
                <w:szCs w:val="26"/>
              </w:rPr>
              <w:t>В настоящее время предусмотренные Федеральным законом «О страховании вкладов в банках Российской Федерации» (далее – Федеральный закон) базовая ставка страховых взносов банков</w:t>
            </w:r>
            <w:r w:rsidRPr="006F0B36">
              <w:rPr>
                <w:rFonts w:ascii="Times New Roman" w:eastAsia="Times New Roman" w:hAnsi="Times New Roman" w:cs="Times New Roman"/>
                <w:bCs/>
                <w:sz w:val="26"/>
                <w:szCs w:val="26"/>
              </w:rPr>
              <w:t xml:space="preserve"> </w:t>
            </w:r>
            <w:r w:rsidRPr="00451F70">
              <w:rPr>
                <w:rFonts w:ascii="Times New Roman" w:eastAsia="Times New Roman" w:hAnsi="Times New Roman" w:cs="Times New Roman"/>
                <w:bCs/>
                <w:sz w:val="26"/>
                <w:szCs w:val="26"/>
              </w:rPr>
              <w:t xml:space="preserve">в ФОСВ (0,15%), а также дополнительная (50% базовой ставки) и повышенная дополнительная (500% </w:t>
            </w:r>
            <w:r w:rsidRPr="00451F70">
              <w:rPr>
                <w:rFonts w:ascii="Times New Roman" w:eastAsia="Times New Roman" w:hAnsi="Times New Roman" w:cs="Times New Roman"/>
                <w:bCs/>
                <w:sz w:val="26"/>
                <w:szCs w:val="26"/>
              </w:rPr>
              <w:lastRenderedPageBreak/>
              <w:t>базовой ставки) ставки находятся на максимально допустимом Федеральным законом уровне.</w:t>
            </w:r>
          </w:p>
          <w:p w14:paraId="5235B6D7" w14:textId="12F30735" w:rsidR="006F0B36" w:rsidRPr="00451F70" w:rsidRDefault="006F0B36" w:rsidP="00451F70">
            <w:pPr>
              <w:ind w:firstLine="709"/>
              <w:jc w:val="both"/>
              <w:rPr>
                <w:rFonts w:ascii="Times New Roman" w:eastAsia="Times New Roman" w:hAnsi="Times New Roman" w:cs="Times New Roman"/>
                <w:bCs/>
                <w:sz w:val="26"/>
                <w:szCs w:val="26"/>
              </w:rPr>
            </w:pPr>
            <w:r w:rsidRPr="00451F70">
              <w:rPr>
                <w:rFonts w:ascii="Times New Roman" w:eastAsia="Times New Roman" w:hAnsi="Times New Roman" w:cs="Times New Roman"/>
                <w:bCs/>
                <w:sz w:val="26"/>
                <w:szCs w:val="26"/>
              </w:rPr>
              <w:t xml:space="preserve">Банком России реализуется комплекс мероприятий, </w:t>
            </w:r>
            <w:r w:rsidRPr="00451F70">
              <w:rPr>
                <w:rFonts w:ascii="Times New Roman" w:hAnsi="Times New Roman" w:cs="Times New Roman"/>
                <w:sz w:val="26"/>
                <w:szCs w:val="26"/>
              </w:rPr>
              <w:t>направленных на повышение рыночной дисциплины банков – участников системы страхования вкладов (далее – ССВ), в том числе проводящих рискованную политику по привлечению вкладов.</w:t>
            </w:r>
          </w:p>
          <w:p w14:paraId="71B44A8B" w14:textId="77777777" w:rsidR="006F0B36" w:rsidRPr="00451F70" w:rsidRDefault="006F0B36" w:rsidP="00451F70">
            <w:pPr>
              <w:ind w:firstLine="709"/>
              <w:jc w:val="both"/>
              <w:rPr>
                <w:rFonts w:ascii="Times New Roman" w:eastAsia="Times New Roman" w:hAnsi="Times New Roman" w:cs="Times New Roman"/>
                <w:bCs/>
                <w:sz w:val="26"/>
                <w:szCs w:val="26"/>
              </w:rPr>
            </w:pPr>
            <w:r w:rsidRPr="00451F70">
              <w:rPr>
                <w:rFonts w:ascii="Times New Roman" w:eastAsia="Times New Roman" w:hAnsi="Times New Roman" w:cs="Times New Roman"/>
                <w:bCs/>
                <w:sz w:val="26"/>
                <w:szCs w:val="26"/>
              </w:rPr>
              <w:t>Начиная с 01.07.2015 банки – участники ССВ, превышающие установленный Банком России базовый уровень доходности вкладов, уплачивают в ФОСВ дополнительные страховые взносы:</w:t>
            </w:r>
          </w:p>
          <w:p w14:paraId="2C9C9AAD" w14:textId="131B7C06" w:rsidR="006F0B36" w:rsidRPr="00451F70" w:rsidRDefault="006F0B36" w:rsidP="00451F70">
            <w:pPr>
              <w:ind w:firstLine="709"/>
              <w:jc w:val="both"/>
              <w:rPr>
                <w:rFonts w:ascii="Times New Roman" w:eastAsia="Times New Roman" w:hAnsi="Times New Roman" w:cs="Times New Roman"/>
                <w:bCs/>
                <w:sz w:val="26"/>
                <w:szCs w:val="26"/>
              </w:rPr>
            </w:pPr>
            <w:r w:rsidRPr="00451F70">
              <w:rPr>
                <w:rFonts w:ascii="Times New Roman" w:eastAsia="Times New Roman" w:hAnsi="Times New Roman" w:cs="Times New Roman"/>
                <w:bCs/>
                <w:sz w:val="26"/>
                <w:szCs w:val="26"/>
              </w:rPr>
              <w:t>при превышении более чем на 2 процентных пункта, но менее чем</w:t>
            </w:r>
            <w:r w:rsidRPr="006F0B36">
              <w:rPr>
                <w:rFonts w:ascii="Times New Roman" w:eastAsia="Times New Roman" w:hAnsi="Times New Roman" w:cs="Times New Roman"/>
                <w:bCs/>
                <w:sz w:val="26"/>
                <w:szCs w:val="26"/>
              </w:rPr>
              <w:t xml:space="preserve"> </w:t>
            </w:r>
            <w:r w:rsidRPr="00451F70">
              <w:rPr>
                <w:rFonts w:ascii="Times New Roman" w:eastAsia="Times New Roman" w:hAnsi="Times New Roman" w:cs="Times New Roman"/>
                <w:bCs/>
                <w:sz w:val="26"/>
                <w:szCs w:val="26"/>
              </w:rPr>
              <w:t>3</w:t>
            </w:r>
            <w:r w:rsidR="001E7A90">
              <w:rPr>
                <w:rFonts w:ascii="Times New Roman" w:eastAsia="Times New Roman" w:hAnsi="Times New Roman" w:cs="Times New Roman"/>
                <w:bCs/>
                <w:sz w:val="26"/>
                <w:szCs w:val="26"/>
                <w:lang w:val="en-US"/>
              </w:rPr>
              <w:t> </w:t>
            </w:r>
            <w:r w:rsidRPr="00451F70">
              <w:rPr>
                <w:rFonts w:ascii="Times New Roman" w:eastAsia="Times New Roman" w:hAnsi="Times New Roman" w:cs="Times New Roman"/>
                <w:bCs/>
                <w:sz w:val="26"/>
                <w:szCs w:val="26"/>
              </w:rPr>
              <w:t>процентных пункта – по дополнительной ставке (в настоящее время 50% базовой ставки);</w:t>
            </w:r>
          </w:p>
          <w:p w14:paraId="0EE6B325" w14:textId="2071C0B5" w:rsidR="006F0B36" w:rsidRPr="00451F70" w:rsidRDefault="006F0B36" w:rsidP="00451F70">
            <w:pPr>
              <w:ind w:firstLine="709"/>
              <w:jc w:val="both"/>
              <w:rPr>
                <w:rFonts w:ascii="Times New Roman" w:eastAsia="Times New Roman" w:hAnsi="Times New Roman" w:cs="Times New Roman"/>
                <w:bCs/>
                <w:sz w:val="26"/>
                <w:szCs w:val="26"/>
              </w:rPr>
            </w:pPr>
            <w:r w:rsidRPr="00451F70">
              <w:rPr>
                <w:rFonts w:ascii="Times New Roman" w:eastAsia="Times New Roman" w:hAnsi="Times New Roman" w:cs="Times New Roman"/>
                <w:bCs/>
                <w:sz w:val="26"/>
                <w:szCs w:val="26"/>
              </w:rPr>
              <w:t xml:space="preserve">при превышении более чем на 3 процентных пункта – по повышенной дополнительной ставке (в настоящее время 500% базовой ставки). </w:t>
            </w:r>
          </w:p>
          <w:p w14:paraId="4373532E" w14:textId="46FAA104" w:rsidR="006F0B36" w:rsidRPr="00451F70" w:rsidRDefault="006F0B36" w:rsidP="00451F70">
            <w:pPr>
              <w:ind w:firstLine="709"/>
              <w:jc w:val="both"/>
              <w:rPr>
                <w:rFonts w:ascii="Times New Roman" w:eastAsia="Times New Roman" w:hAnsi="Times New Roman" w:cs="Times New Roman"/>
                <w:bCs/>
                <w:sz w:val="26"/>
                <w:szCs w:val="26"/>
              </w:rPr>
            </w:pPr>
            <w:r w:rsidRPr="00451F70">
              <w:rPr>
                <w:rFonts w:ascii="Times New Roman" w:eastAsia="Times New Roman" w:hAnsi="Times New Roman" w:cs="Times New Roman"/>
                <w:bCs/>
                <w:sz w:val="26"/>
                <w:szCs w:val="26"/>
              </w:rPr>
              <w:t>В рамках совершенствовани</w:t>
            </w:r>
            <w:r>
              <w:rPr>
                <w:rFonts w:ascii="Times New Roman" w:eastAsia="Times New Roman" w:hAnsi="Times New Roman" w:cs="Times New Roman"/>
                <w:bCs/>
                <w:sz w:val="26"/>
                <w:szCs w:val="26"/>
              </w:rPr>
              <w:t>я</w:t>
            </w:r>
            <w:r w:rsidRPr="00451F70">
              <w:rPr>
                <w:rFonts w:ascii="Times New Roman" w:eastAsia="Times New Roman" w:hAnsi="Times New Roman" w:cs="Times New Roman"/>
                <w:bCs/>
                <w:sz w:val="26"/>
                <w:szCs w:val="26"/>
              </w:rPr>
              <w:t xml:space="preserve"> законодательства Российской Федерации в области страхования вкладов Банком России с участием государственной корпорации «Агентство по страхованию вкладов» подготовлен</w:t>
            </w:r>
            <w:r>
              <w:rPr>
                <w:rFonts w:ascii="Times New Roman" w:eastAsia="Times New Roman" w:hAnsi="Times New Roman" w:cs="Times New Roman"/>
                <w:bCs/>
                <w:sz w:val="26"/>
                <w:szCs w:val="26"/>
              </w:rPr>
              <w:t>ы</w:t>
            </w:r>
            <w:r w:rsidRPr="00451F70">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законопроектные предложения,</w:t>
            </w:r>
            <w:r w:rsidRPr="00451F70">
              <w:rPr>
                <w:rFonts w:ascii="Times New Roman" w:eastAsia="Times New Roman" w:hAnsi="Times New Roman" w:cs="Times New Roman"/>
                <w:bCs/>
                <w:sz w:val="26"/>
                <w:szCs w:val="26"/>
              </w:rPr>
              <w:t xml:space="preserve"> предусматривающи</w:t>
            </w:r>
            <w:r>
              <w:rPr>
                <w:rFonts w:ascii="Times New Roman" w:eastAsia="Times New Roman" w:hAnsi="Times New Roman" w:cs="Times New Roman"/>
                <w:bCs/>
                <w:sz w:val="26"/>
                <w:szCs w:val="26"/>
              </w:rPr>
              <w:t>е,</w:t>
            </w:r>
            <w:r w:rsidRPr="00451F70">
              <w:rPr>
                <w:rFonts w:ascii="Times New Roman" w:eastAsia="Times New Roman" w:hAnsi="Times New Roman" w:cs="Times New Roman"/>
                <w:bCs/>
                <w:sz w:val="26"/>
                <w:szCs w:val="26"/>
              </w:rPr>
              <w:t xml:space="preserve"> в том числе снижение пороговых значений превышения базового уровня доходности вкладов, установленных в целях уплаты банками дополнительной и повышенной дополнит</w:t>
            </w:r>
            <w:r>
              <w:rPr>
                <w:rFonts w:ascii="Times New Roman" w:eastAsia="Times New Roman" w:hAnsi="Times New Roman" w:cs="Times New Roman"/>
                <w:bCs/>
                <w:sz w:val="26"/>
                <w:szCs w:val="26"/>
              </w:rPr>
              <w:t>ельной ставок страховых взносов.</w:t>
            </w:r>
          </w:p>
          <w:p w14:paraId="3A4AE327" w14:textId="51E5D114" w:rsidR="006F0B36" w:rsidRPr="00451F70" w:rsidRDefault="006F0B36" w:rsidP="00451F70">
            <w:pPr>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w:t>
            </w:r>
            <w:r w:rsidRPr="00451F70">
              <w:rPr>
                <w:rFonts w:ascii="Times New Roman" w:eastAsia="Times New Roman" w:hAnsi="Times New Roman" w:cs="Times New Roman"/>
                <w:bCs/>
                <w:sz w:val="26"/>
                <w:szCs w:val="26"/>
              </w:rPr>
              <w:t xml:space="preserve"> 01.01.2019 в связи изменениями в Федеральный закон «О страховании вкладов в банках Российской Федерации», предусматривающими распространение действия ССВ на малые предприятия, при определении базового уровня доходности вкладов не учитываются остатки денежных средств на счетах (вкладах), размещенных малыми предприятиями или в их пользу. Также изменен порядок определения расчетной базы для исчисления страховых взносов – теперь расчетная база вместо средне хронологической определяется как среднее арифметическое за расчетный период ежедневных балансовых остатков на </w:t>
            </w:r>
            <w:r w:rsidRPr="00451F70">
              <w:rPr>
                <w:rFonts w:ascii="Times New Roman" w:eastAsia="Times New Roman" w:hAnsi="Times New Roman" w:cs="Times New Roman"/>
                <w:bCs/>
                <w:sz w:val="26"/>
                <w:szCs w:val="26"/>
              </w:rPr>
              <w:lastRenderedPageBreak/>
              <w:t>счетах по учету вкладов, за исключением денежных средств во вкладах, не подлежащих страхованию (статья 36 Федерального закона).</w:t>
            </w:r>
          </w:p>
          <w:p w14:paraId="674712AE" w14:textId="19F96C82" w:rsidR="006F0B36" w:rsidRPr="002F0BB6" w:rsidRDefault="006F0B36" w:rsidP="006F0B36">
            <w:pPr>
              <w:tabs>
                <w:tab w:val="left" w:pos="1253"/>
              </w:tabs>
              <w:spacing w:after="120"/>
              <w:ind w:firstLine="601"/>
              <w:jc w:val="both"/>
              <w:rPr>
                <w:rFonts w:ascii="Times New Roman" w:hAnsi="Times New Roman" w:cs="Times New Roman"/>
                <w:sz w:val="26"/>
                <w:szCs w:val="26"/>
              </w:rPr>
            </w:pPr>
            <w:r>
              <w:rPr>
                <w:rFonts w:ascii="Times New Roman" w:hAnsi="Times New Roman" w:cs="Times New Roman"/>
                <w:sz w:val="26"/>
                <w:szCs w:val="26"/>
              </w:rPr>
              <w:t>С учетом изложенного,</w:t>
            </w:r>
            <w:r w:rsidRPr="0075005E">
              <w:rPr>
                <w:rFonts w:ascii="Times New Roman" w:hAnsi="Times New Roman" w:cs="Times New Roman"/>
                <w:sz w:val="26"/>
                <w:szCs w:val="26"/>
              </w:rPr>
              <w:t xml:space="preserve"> </w:t>
            </w:r>
            <w:r>
              <w:rPr>
                <w:rFonts w:ascii="Times New Roman" w:hAnsi="Times New Roman" w:cs="Times New Roman"/>
                <w:sz w:val="26"/>
                <w:szCs w:val="26"/>
              </w:rPr>
              <w:t>п</w:t>
            </w:r>
            <w:r w:rsidRPr="0075005E">
              <w:rPr>
                <w:rFonts w:ascii="Times New Roman" w:hAnsi="Times New Roman" w:cs="Times New Roman"/>
                <w:sz w:val="26"/>
                <w:szCs w:val="26"/>
              </w:rPr>
              <w:t xml:space="preserve">олагаем, что обсуждение вопроса необходимости пересмотра подходов к системе отчислений страховых взносов в фонд обязательного страхования вкладов целесообразно по итогам оценки внесенных законодательных изменений, </w:t>
            </w:r>
            <w:r>
              <w:rPr>
                <w:rFonts w:ascii="Times New Roman" w:hAnsi="Times New Roman" w:cs="Times New Roman"/>
                <w:sz w:val="26"/>
                <w:szCs w:val="26"/>
              </w:rPr>
              <w:t xml:space="preserve">в том числе </w:t>
            </w:r>
            <w:r w:rsidRPr="0075005E">
              <w:rPr>
                <w:rFonts w:ascii="Times New Roman" w:hAnsi="Times New Roman" w:cs="Times New Roman"/>
                <w:sz w:val="26"/>
                <w:szCs w:val="26"/>
              </w:rPr>
              <w:t>предусматривающих включение малых предприятий в состав застрахованных лиц, а также предполагаемого в этом году поэтапного распространения страховой защиты на денежные средства иных юридических лиц, в первую очередь некоммерческих организаций.</w:t>
            </w:r>
          </w:p>
        </w:tc>
      </w:tr>
      <w:tr w:rsidR="006F0B36" w:rsidRPr="002F0BB6" w14:paraId="79B7D935" w14:textId="77777777" w:rsidTr="006F0B36">
        <w:trPr>
          <w:trHeight w:val="519"/>
        </w:trPr>
        <w:tc>
          <w:tcPr>
            <w:tcW w:w="5503" w:type="dxa"/>
          </w:tcPr>
          <w:p w14:paraId="32991485" w14:textId="0B5D24C8" w:rsidR="006F0B36" w:rsidRPr="002F0BB6" w:rsidRDefault="006F0B36" w:rsidP="006F0B36">
            <w:pPr>
              <w:pStyle w:val="a3"/>
              <w:numPr>
                <w:ilvl w:val="0"/>
                <w:numId w:val="38"/>
              </w:numPr>
              <w:spacing w:before="120" w:after="120"/>
              <w:ind w:left="0" w:firstLine="737"/>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связи с изданием Банком России Информационного письма </w:t>
            </w:r>
            <w:r w:rsidRPr="006F0B36">
              <w:rPr>
                <w:rFonts w:ascii="Times New Roman" w:hAnsi="Times New Roman" w:cs="Times New Roman"/>
                <w:sz w:val="26"/>
                <w:szCs w:val="26"/>
              </w:rPr>
              <w:t>от 14 декабря 2018 г. № ИН-03-17-1-1/73</w:t>
            </w:r>
            <w:r>
              <w:rPr>
                <w:rFonts w:ascii="Times New Roman" w:hAnsi="Times New Roman" w:cs="Times New Roman"/>
                <w:sz w:val="26"/>
                <w:szCs w:val="26"/>
              </w:rPr>
              <w:t xml:space="preserve"> рассматривается ли возможность модифицировать</w:t>
            </w:r>
            <w:r w:rsidRPr="006571B3">
              <w:rPr>
                <w:rFonts w:ascii="Times New Roman" w:hAnsi="Times New Roman" w:cs="Times New Roman"/>
                <w:sz w:val="26"/>
                <w:szCs w:val="26"/>
              </w:rPr>
              <w:t xml:space="preserve"> подходы к системе ВПОДК в кредитных организациях / дочерних кредитных организациях, находящихся в процессе санации, а также ВПОДК по группе, в которую входит санируемый банк</w:t>
            </w:r>
            <w:r>
              <w:rPr>
                <w:rFonts w:ascii="Times New Roman" w:hAnsi="Times New Roman" w:cs="Times New Roman"/>
                <w:sz w:val="26"/>
                <w:szCs w:val="26"/>
              </w:rPr>
              <w:t>?</w:t>
            </w:r>
          </w:p>
        </w:tc>
        <w:tc>
          <w:tcPr>
            <w:tcW w:w="8786" w:type="dxa"/>
          </w:tcPr>
          <w:p w14:paraId="35B4F215" w14:textId="749CC0A8" w:rsidR="006F0B36" w:rsidRPr="002F0BB6" w:rsidRDefault="006F0B36" w:rsidP="000219AC">
            <w:pPr>
              <w:spacing w:before="120" w:after="120"/>
              <w:ind w:firstLine="601"/>
              <w:jc w:val="both"/>
              <w:rPr>
                <w:rFonts w:ascii="Times New Roman" w:hAnsi="Times New Roman" w:cs="Times New Roman"/>
                <w:sz w:val="26"/>
                <w:szCs w:val="26"/>
              </w:rPr>
            </w:pPr>
            <w:r>
              <w:rPr>
                <w:rFonts w:ascii="Times New Roman" w:hAnsi="Times New Roman" w:cs="Times New Roman"/>
                <w:sz w:val="26"/>
                <w:szCs w:val="26"/>
              </w:rPr>
              <w:t xml:space="preserve">Банком России в настоящее время не планируется пересмотр подходов к регулированию ВПОДК </w:t>
            </w:r>
            <w:r w:rsidRPr="005F0BB3">
              <w:rPr>
                <w:rFonts w:ascii="Times New Roman" w:hAnsi="Times New Roman" w:cs="Times New Roman"/>
                <w:sz w:val="26"/>
                <w:szCs w:val="26"/>
              </w:rPr>
              <w:t>кредитных</w:t>
            </w:r>
            <w:r>
              <w:rPr>
                <w:rFonts w:ascii="Times New Roman" w:hAnsi="Times New Roman" w:cs="Times New Roman"/>
                <w:sz w:val="26"/>
                <w:szCs w:val="26"/>
              </w:rPr>
              <w:t xml:space="preserve"> организаций</w:t>
            </w:r>
            <w:r w:rsidRPr="005F0BB3">
              <w:rPr>
                <w:rFonts w:ascii="Times New Roman" w:hAnsi="Times New Roman" w:cs="Times New Roman"/>
                <w:sz w:val="26"/>
                <w:szCs w:val="26"/>
              </w:rPr>
              <w:t xml:space="preserve">, находящихся в процессе санации, а также ВПОДК </w:t>
            </w:r>
            <w:r>
              <w:rPr>
                <w:rFonts w:ascii="Times New Roman" w:hAnsi="Times New Roman" w:cs="Times New Roman"/>
                <w:sz w:val="26"/>
                <w:szCs w:val="26"/>
              </w:rPr>
              <w:t xml:space="preserve">банковской </w:t>
            </w:r>
            <w:r w:rsidRPr="005F0BB3">
              <w:rPr>
                <w:rFonts w:ascii="Times New Roman" w:hAnsi="Times New Roman" w:cs="Times New Roman"/>
                <w:sz w:val="26"/>
                <w:szCs w:val="26"/>
              </w:rPr>
              <w:t>групп</w:t>
            </w:r>
            <w:r>
              <w:rPr>
                <w:rFonts w:ascii="Times New Roman" w:hAnsi="Times New Roman" w:cs="Times New Roman"/>
                <w:sz w:val="26"/>
                <w:szCs w:val="26"/>
              </w:rPr>
              <w:t>ы</w:t>
            </w:r>
            <w:r w:rsidRPr="005F0BB3">
              <w:rPr>
                <w:rFonts w:ascii="Times New Roman" w:hAnsi="Times New Roman" w:cs="Times New Roman"/>
                <w:sz w:val="26"/>
                <w:szCs w:val="26"/>
              </w:rPr>
              <w:t>, в которую входит санируем</w:t>
            </w:r>
            <w:r>
              <w:rPr>
                <w:rFonts w:ascii="Times New Roman" w:hAnsi="Times New Roman" w:cs="Times New Roman"/>
                <w:sz w:val="26"/>
                <w:szCs w:val="26"/>
              </w:rPr>
              <w:t>ая кредитная организация.</w:t>
            </w:r>
          </w:p>
        </w:tc>
      </w:tr>
      <w:tr w:rsidR="006F0B36" w:rsidRPr="002F0BB6" w14:paraId="79590C7B" w14:textId="77777777" w:rsidTr="006F0B36">
        <w:trPr>
          <w:trHeight w:val="519"/>
        </w:trPr>
        <w:tc>
          <w:tcPr>
            <w:tcW w:w="5503" w:type="dxa"/>
          </w:tcPr>
          <w:p w14:paraId="3D70B1E5" w14:textId="5AD2517B" w:rsidR="006F0B36" w:rsidRPr="002F0BB6" w:rsidRDefault="006F0B36" w:rsidP="006F0B36">
            <w:pPr>
              <w:pStyle w:val="a3"/>
              <w:numPr>
                <w:ilvl w:val="0"/>
                <w:numId w:val="38"/>
              </w:numPr>
              <w:spacing w:before="120" w:after="120"/>
              <w:ind w:left="0" w:firstLine="737"/>
              <w:jc w:val="both"/>
              <w:rPr>
                <w:rFonts w:ascii="Times New Roman" w:hAnsi="Times New Roman" w:cs="Times New Roman"/>
                <w:sz w:val="26"/>
                <w:szCs w:val="26"/>
              </w:rPr>
            </w:pPr>
            <w:r w:rsidRPr="009147F0">
              <w:rPr>
                <w:rFonts w:ascii="Times New Roman" w:hAnsi="Times New Roman" w:cs="Times New Roman"/>
                <w:sz w:val="26"/>
                <w:szCs w:val="26"/>
              </w:rPr>
              <w:t xml:space="preserve">В связи с переходом на стандарт МСФО 9 в РСБУ отчетности, сейчас банки вынуждены поддерживать два процесса резервирования в соответствии с требованиями Положения № 590-П, Положения № 611-П (оценка финансового состояния, истории обслуживания долга и дополнительных критериев), а также МСФО 9 (оценка через PD, LGD, EAD). Резервы по 590-П и 611-П являются </w:t>
            </w:r>
            <w:proofErr w:type="spellStart"/>
            <w:r w:rsidRPr="009147F0">
              <w:rPr>
                <w:rFonts w:ascii="Times New Roman" w:hAnsi="Times New Roman" w:cs="Times New Roman"/>
                <w:sz w:val="26"/>
                <w:szCs w:val="26"/>
              </w:rPr>
              <w:t>пруденциальными</w:t>
            </w:r>
            <w:proofErr w:type="spellEnd"/>
            <w:r w:rsidRPr="009147F0">
              <w:rPr>
                <w:rFonts w:ascii="Times New Roman" w:hAnsi="Times New Roman" w:cs="Times New Roman"/>
                <w:sz w:val="26"/>
                <w:szCs w:val="26"/>
              </w:rPr>
              <w:t xml:space="preserve"> и учитываются </w:t>
            </w:r>
            <w:r w:rsidRPr="009147F0">
              <w:rPr>
                <w:rFonts w:ascii="Times New Roman" w:hAnsi="Times New Roman" w:cs="Times New Roman"/>
                <w:sz w:val="26"/>
                <w:szCs w:val="26"/>
              </w:rPr>
              <w:lastRenderedPageBreak/>
              <w:t>при расчете капитала, нормативов банка. Оценочные резервы же в настоящий момент носят больше информационный характер. Расчет двух видов резервов для банк</w:t>
            </w:r>
            <w:r>
              <w:rPr>
                <w:rFonts w:ascii="Times New Roman" w:hAnsi="Times New Roman" w:cs="Times New Roman"/>
                <w:sz w:val="26"/>
                <w:szCs w:val="26"/>
              </w:rPr>
              <w:t>ов</w:t>
            </w:r>
            <w:r w:rsidRPr="009147F0">
              <w:rPr>
                <w:rFonts w:ascii="Times New Roman" w:hAnsi="Times New Roman" w:cs="Times New Roman"/>
                <w:sz w:val="26"/>
                <w:szCs w:val="26"/>
              </w:rPr>
              <w:t xml:space="preserve"> трудоемок, создает двойную нагрузку для подразделений оценки рисков, бухгалтерии, а также для программного обеспечения. Планирует ли Банк России в будущем отказ от или полную синхронизацию с МСФО 9 требований Положения № 590-П и Положения № 611-П? Если да, то каковы ориентировочные сроки перехода на единые требования и в бухгалтерском учёте, и в </w:t>
            </w:r>
            <w:proofErr w:type="spellStart"/>
            <w:r w:rsidRPr="009147F0">
              <w:rPr>
                <w:rFonts w:ascii="Times New Roman" w:hAnsi="Times New Roman" w:cs="Times New Roman"/>
                <w:sz w:val="26"/>
                <w:szCs w:val="26"/>
              </w:rPr>
              <w:t>пруденциальных</w:t>
            </w:r>
            <w:proofErr w:type="spellEnd"/>
            <w:r w:rsidRPr="009147F0">
              <w:rPr>
                <w:rFonts w:ascii="Times New Roman" w:hAnsi="Times New Roman" w:cs="Times New Roman"/>
                <w:sz w:val="26"/>
                <w:szCs w:val="26"/>
              </w:rPr>
              <w:t xml:space="preserve"> целях?</w:t>
            </w:r>
          </w:p>
        </w:tc>
        <w:tc>
          <w:tcPr>
            <w:tcW w:w="8786" w:type="dxa"/>
          </w:tcPr>
          <w:p w14:paraId="27656ED1" w14:textId="349E0AC3" w:rsidR="006F0B36" w:rsidRPr="006F0B36" w:rsidRDefault="006F0B36" w:rsidP="001E7A90">
            <w:pPr>
              <w:spacing w:before="120"/>
              <w:ind w:firstLine="601"/>
              <w:jc w:val="both"/>
              <w:rPr>
                <w:rFonts w:ascii="Times New Roman" w:hAnsi="Times New Roman" w:cs="Times New Roman"/>
                <w:sz w:val="26"/>
                <w:szCs w:val="26"/>
              </w:rPr>
            </w:pPr>
            <w:r w:rsidRPr="006F0B36">
              <w:rPr>
                <w:rFonts w:ascii="Times New Roman" w:hAnsi="Times New Roman" w:cs="Times New Roman"/>
                <w:color w:val="000000" w:themeColor="text1"/>
                <w:sz w:val="26"/>
                <w:szCs w:val="26"/>
              </w:rPr>
              <w:lastRenderedPageBreak/>
              <w:t xml:space="preserve">Решение о сохранении подходов к регулированию </w:t>
            </w:r>
            <w:proofErr w:type="spellStart"/>
            <w:r w:rsidRPr="006F0B36">
              <w:rPr>
                <w:rFonts w:ascii="Times New Roman" w:hAnsi="Times New Roman" w:cs="Times New Roman"/>
                <w:color w:val="000000" w:themeColor="text1"/>
                <w:sz w:val="26"/>
                <w:szCs w:val="26"/>
              </w:rPr>
              <w:t>пруденциальных</w:t>
            </w:r>
            <w:proofErr w:type="spellEnd"/>
            <w:r w:rsidRPr="006F0B36">
              <w:rPr>
                <w:rFonts w:ascii="Times New Roman" w:hAnsi="Times New Roman" w:cs="Times New Roman"/>
                <w:color w:val="000000" w:themeColor="text1"/>
                <w:sz w:val="26"/>
                <w:szCs w:val="26"/>
              </w:rPr>
              <w:t xml:space="preserve"> показателей деятельности кредитных организаций в связи с переходом бухгалтерского учета</w:t>
            </w:r>
            <w:r w:rsidR="000219AC">
              <w:rPr>
                <w:rFonts w:ascii="Times New Roman" w:hAnsi="Times New Roman" w:cs="Times New Roman"/>
                <w:color w:val="000000" w:themeColor="text1"/>
                <w:sz w:val="26"/>
                <w:szCs w:val="26"/>
              </w:rPr>
              <w:t xml:space="preserve"> </w:t>
            </w:r>
            <w:r w:rsidRPr="006F0B36">
              <w:rPr>
                <w:rFonts w:ascii="Times New Roman" w:hAnsi="Times New Roman" w:cs="Times New Roman"/>
                <w:color w:val="000000" w:themeColor="text1"/>
                <w:sz w:val="26"/>
                <w:szCs w:val="26"/>
              </w:rPr>
              <w:t>на МСФО 9 было принято Банком России исходя из полученных предварительных оценок кредитных организаций о разнона</w:t>
            </w:r>
            <w:r>
              <w:rPr>
                <w:rFonts w:ascii="Times New Roman" w:hAnsi="Times New Roman" w:cs="Times New Roman"/>
                <w:color w:val="000000" w:themeColor="text1"/>
                <w:sz w:val="26"/>
                <w:szCs w:val="26"/>
              </w:rPr>
              <w:t xml:space="preserve">правленном влиянии внедрения </w:t>
            </w:r>
            <w:r w:rsidRPr="006F0B36">
              <w:rPr>
                <w:rFonts w:ascii="Times New Roman" w:hAnsi="Times New Roman" w:cs="Times New Roman"/>
                <w:color w:val="000000" w:themeColor="text1"/>
                <w:sz w:val="26"/>
                <w:szCs w:val="26"/>
              </w:rPr>
              <w:t xml:space="preserve">МСФО 9. На текущий момент перед надзорными подразделениями Банка России стоит задача осуществления мониторинга результатов </w:t>
            </w:r>
            <w:proofErr w:type="spellStart"/>
            <w:r w:rsidRPr="006F0B36">
              <w:rPr>
                <w:rFonts w:ascii="Times New Roman" w:hAnsi="Times New Roman" w:cs="Times New Roman"/>
                <w:color w:val="000000" w:themeColor="text1"/>
                <w:sz w:val="26"/>
                <w:szCs w:val="26"/>
              </w:rPr>
              <w:t>пруденциальных</w:t>
            </w:r>
            <w:proofErr w:type="spellEnd"/>
            <w:r w:rsidRPr="006F0B36">
              <w:rPr>
                <w:rFonts w:ascii="Times New Roman" w:hAnsi="Times New Roman" w:cs="Times New Roman"/>
                <w:color w:val="000000" w:themeColor="text1"/>
                <w:sz w:val="26"/>
                <w:szCs w:val="26"/>
              </w:rPr>
              <w:t xml:space="preserve"> и бухгалтерских оценок стоимости активов. Полагаем, что вопрос о сроке переходного периода на настоящем этапе преждевремен</w:t>
            </w:r>
            <w:r w:rsidR="001E7A90">
              <w:rPr>
                <w:rFonts w:ascii="Times New Roman" w:hAnsi="Times New Roman" w:cs="Times New Roman"/>
                <w:color w:val="000000" w:themeColor="text1"/>
                <w:sz w:val="26"/>
                <w:szCs w:val="26"/>
              </w:rPr>
              <w:t>ен</w:t>
            </w:r>
            <w:r w:rsidRPr="006F0B36">
              <w:rPr>
                <w:rFonts w:ascii="Times New Roman" w:hAnsi="Times New Roman" w:cs="Times New Roman"/>
                <w:color w:val="000000" w:themeColor="text1"/>
                <w:sz w:val="26"/>
                <w:szCs w:val="26"/>
              </w:rPr>
              <w:t>.</w:t>
            </w:r>
          </w:p>
        </w:tc>
      </w:tr>
      <w:tr w:rsidR="006F0B36" w:rsidRPr="002F0BB6" w14:paraId="0B4CA2B4" w14:textId="77777777" w:rsidTr="006F0B36">
        <w:trPr>
          <w:trHeight w:val="504"/>
        </w:trPr>
        <w:tc>
          <w:tcPr>
            <w:tcW w:w="5503" w:type="dxa"/>
          </w:tcPr>
          <w:p w14:paraId="19DC4AF8" w14:textId="28AD9D52" w:rsidR="006F0B36" w:rsidRPr="002F0BB6" w:rsidRDefault="006F0B36" w:rsidP="006F0B36">
            <w:pPr>
              <w:pStyle w:val="a3"/>
              <w:numPr>
                <w:ilvl w:val="0"/>
                <w:numId w:val="38"/>
              </w:numPr>
              <w:spacing w:before="120" w:after="120"/>
              <w:ind w:left="0" w:firstLine="737"/>
              <w:jc w:val="both"/>
              <w:rPr>
                <w:rFonts w:ascii="Times New Roman" w:hAnsi="Times New Roman" w:cs="Times New Roman"/>
                <w:sz w:val="26"/>
                <w:szCs w:val="26"/>
              </w:rPr>
            </w:pPr>
            <w:r w:rsidRPr="009147F0">
              <w:rPr>
                <w:rFonts w:ascii="Times New Roman" w:hAnsi="Times New Roman" w:cs="Times New Roman"/>
                <w:sz w:val="26"/>
                <w:szCs w:val="26"/>
              </w:rPr>
              <w:lastRenderedPageBreak/>
              <w:t xml:space="preserve">При этом со стороны базовых банков, да и средних универсальных банков отмечается запрос на </w:t>
            </w:r>
            <w:bookmarkStart w:id="0" w:name="_Hlk535501391"/>
            <w:r>
              <w:rPr>
                <w:rFonts w:ascii="Times New Roman" w:hAnsi="Times New Roman" w:cs="Times New Roman"/>
                <w:sz w:val="26"/>
                <w:szCs w:val="26"/>
              </w:rPr>
              <w:t>рекомендательные</w:t>
            </w:r>
            <w:r w:rsidRPr="009147F0">
              <w:rPr>
                <w:rFonts w:ascii="Times New Roman" w:hAnsi="Times New Roman" w:cs="Times New Roman"/>
                <w:sz w:val="26"/>
                <w:szCs w:val="26"/>
              </w:rPr>
              <w:t xml:space="preserve"> документы ЦБ РФ, определяющие порядок и методологию расчета величины ожидаемых кредитных убытков по финансовым инструментов в рамках МСФО 9, описывающие и разъясняющие процедуру определения амортизированной стоимости финансовых инструментов, определяющие критерии существенности (параметры критериев) для применения в целях МСФО 9. </w:t>
            </w:r>
            <w:bookmarkEnd w:id="0"/>
            <w:r w:rsidRPr="009147F0">
              <w:rPr>
                <w:rFonts w:ascii="Times New Roman" w:hAnsi="Times New Roman" w:cs="Times New Roman"/>
                <w:sz w:val="26"/>
                <w:szCs w:val="26"/>
              </w:rPr>
              <w:t xml:space="preserve">Кроме того, на данный момент банки самостоятельно прибегают к разработке моделей влияния внешних факторов, прогнозных значений отраслевых и макроэкономических параметров, </w:t>
            </w:r>
            <w:r w:rsidRPr="009147F0">
              <w:rPr>
                <w:rFonts w:ascii="Times New Roman" w:hAnsi="Times New Roman" w:cs="Times New Roman"/>
                <w:sz w:val="26"/>
                <w:szCs w:val="26"/>
              </w:rPr>
              <w:lastRenderedPageBreak/>
              <w:t>применяемых для корректировки вероятности дефолта, в связи с чем небольшие и региональные банки заинтересованы в рекомендациях по построению моделей оценки ожидаемых кредитных убытков, предоставлении макроэкономических параметров (в том числе в региональном разрезе) со стороны регулятора. Какова позиция Банка России в отношении инициатив по выработке относительно единых подходов к расчету ОКУ?</w:t>
            </w:r>
          </w:p>
        </w:tc>
        <w:tc>
          <w:tcPr>
            <w:tcW w:w="8786" w:type="dxa"/>
          </w:tcPr>
          <w:p w14:paraId="3334CA96" w14:textId="10BCEE93" w:rsidR="006F0B36" w:rsidRPr="002F0BB6" w:rsidRDefault="006F0B36" w:rsidP="000219AC">
            <w:pPr>
              <w:spacing w:before="120"/>
              <w:ind w:firstLine="601"/>
              <w:jc w:val="both"/>
              <w:rPr>
                <w:rFonts w:ascii="Times New Roman" w:hAnsi="Times New Roman" w:cs="Times New Roman"/>
                <w:sz w:val="26"/>
                <w:szCs w:val="26"/>
              </w:rPr>
            </w:pPr>
            <w:r w:rsidRPr="00000DDC">
              <w:rPr>
                <w:rFonts w:ascii="Times New Roman" w:hAnsi="Times New Roman" w:cs="Times New Roman"/>
                <w:sz w:val="26"/>
                <w:szCs w:val="26"/>
              </w:rPr>
              <w:lastRenderedPageBreak/>
              <w:t>Вопросы, определяющие порядок и методологию расчета величины ожидаемых кредитных убытков по финансовым инструмент</w:t>
            </w:r>
            <w:r>
              <w:rPr>
                <w:rFonts w:ascii="Times New Roman" w:hAnsi="Times New Roman" w:cs="Times New Roman"/>
                <w:sz w:val="26"/>
                <w:szCs w:val="26"/>
              </w:rPr>
              <w:t>ам</w:t>
            </w:r>
            <w:r w:rsidRPr="00000DDC">
              <w:rPr>
                <w:rFonts w:ascii="Times New Roman" w:hAnsi="Times New Roman" w:cs="Times New Roman"/>
                <w:sz w:val="26"/>
                <w:szCs w:val="26"/>
              </w:rPr>
              <w:t xml:space="preserve"> в рамках МСФО 9, не относятся к сфере </w:t>
            </w:r>
            <w:proofErr w:type="spellStart"/>
            <w:r w:rsidRPr="00000DDC">
              <w:rPr>
                <w:rFonts w:ascii="Times New Roman" w:hAnsi="Times New Roman" w:cs="Times New Roman"/>
                <w:sz w:val="26"/>
                <w:szCs w:val="26"/>
              </w:rPr>
              <w:t>пруденциального</w:t>
            </w:r>
            <w:proofErr w:type="spellEnd"/>
            <w:r w:rsidRPr="00000DDC">
              <w:rPr>
                <w:rFonts w:ascii="Times New Roman" w:hAnsi="Times New Roman" w:cs="Times New Roman"/>
                <w:sz w:val="26"/>
                <w:szCs w:val="26"/>
              </w:rPr>
              <w:t xml:space="preserve"> регулирования</w:t>
            </w:r>
          </w:p>
        </w:tc>
      </w:tr>
      <w:tr w:rsidR="006F0B36" w:rsidRPr="002F0BB6" w14:paraId="5BD4F26A" w14:textId="77777777" w:rsidTr="006F0B36">
        <w:trPr>
          <w:trHeight w:val="504"/>
        </w:trPr>
        <w:tc>
          <w:tcPr>
            <w:tcW w:w="5503" w:type="dxa"/>
          </w:tcPr>
          <w:p w14:paraId="714BF799" w14:textId="77777777" w:rsidR="006F0B36" w:rsidRDefault="006F0B36" w:rsidP="006F0B36">
            <w:pPr>
              <w:pStyle w:val="a3"/>
              <w:numPr>
                <w:ilvl w:val="0"/>
                <w:numId w:val="38"/>
              </w:numPr>
              <w:spacing w:before="120"/>
              <w:ind w:left="0" w:firstLine="737"/>
              <w:jc w:val="both"/>
              <w:rPr>
                <w:rFonts w:ascii="Times New Roman" w:hAnsi="Times New Roman" w:cs="Times New Roman"/>
                <w:sz w:val="26"/>
                <w:szCs w:val="26"/>
              </w:rPr>
            </w:pPr>
            <w:r w:rsidRPr="006F0B36">
              <w:rPr>
                <w:rFonts w:ascii="Times New Roman" w:hAnsi="Times New Roman" w:cs="Times New Roman"/>
                <w:sz w:val="26"/>
                <w:szCs w:val="26"/>
              </w:rPr>
              <w:t>Стимулирующее (пропорциональное) регулирование и содействие конкуренции.</w:t>
            </w:r>
          </w:p>
          <w:p w14:paraId="659A4F62" w14:textId="77777777" w:rsidR="006F0B36" w:rsidRDefault="006F0B36" w:rsidP="006F0B36">
            <w:pPr>
              <w:ind w:firstLine="738"/>
              <w:jc w:val="both"/>
              <w:rPr>
                <w:rFonts w:ascii="Times New Roman" w:hAnsi="Times New Roman" w:cs="Times New Roman"/>
                <w:sz w:val="26"/>
                <w:szCs w:val="26"/>
              </w:rPr>
            </w:pPr>
            <w:r w:rsidRPr="006F0B36">
              <w:rPr>
                <w:rFonts w:ascii="Times New Roman" w:hAnsi="Times New Roman" w:cs="Times New Roman"/>
                <w:sz w:val="26"/>
                <w:szCs w:val="26"/>
              </w:rPr>
              <w:t>В настоящее время корпоративное кредитование сконцентрировано в банках ТОП-10 (более 80% рынка), при этом портфель этих банков сформирован преимущественно крупными благонадежными клиентами, привлекаемых в том числе за счет возможности кредитовать по более низким ставкам из-за разницы в стоимости фондирования. Планируется ли оказание мер поддержки региональным банкам для выравнивания условий конкуренции?</w:t>
            </w:r>
          </w:p>
          <w:p w14:paraId="596D603E" w14:textId="77777777" w:rsidR="006F0B36" w:rsidRDefault="006F0B36" w:rsidP="006F0B36">
            <w:pPr>
              <w:ind w:firstLine="738"/>
              <w:jc w:val="both"/>
              <w:rPr>
                <w:rFonts w:ascii="Times New Roman" w:hAnsi="Times New Roman" w:cs="Times New Roman"/>
                <w:sz w:val="26"/>
                <w:szCs w:val="26"/>
              </w:rPr>
            </w:pPr>
            <w:r>
              <w:rPr>
                <w:rFonts w:ascii="Times New Roman" w:hAnsi="Times New Roman" w:cs="Times New Roman"/>
                <w:sz w:val="26"/>
                <w:szCs w:val="26"/>
              </w:rPr>
              <w:t xml:space="preserve">Поддерживает ли Банк России </w:t>
            </w:r>
            <w:r w:rsidRPr="00241930">
              <w:rPr>
                <w:rFonts w:ascii="Times New Roman" w:hAnsi="Times New Roman" w:cs="Times New Roman"/>
                <w:sz w:val="26"/>
                <w:szCs w:val="26"/>
              </w:rPr>
              <w:t>включени</w:t>
            </w:r>
            <w:r>
              <w:rPr>
                <w:rFonts w:ascii="Times New Roman" w:hAnsi="Times New Roman" w:cs="Times New Roman"/>
                <w:sz w:val="26"/>
                <w:szCs w:val="26"/>
              </w:rPr>
              <w:t>е</w:t>
            </w:r>
            <w:r w:rsidRPr="006F0B36">
              <w:footnoteReference w:id="1"/>
            </w:r>
            <w:r w:rsidRPr="00241930">
              <w:rPr>
                <w:rFonts w:ascii="Times New Roman" w:hAnsi="Times New Roman" w:cs="Times New Roman"/>
                <w:sz w:val="26"/>
                <w:szCs w:val="26"/>
              </w:rPr>
              <w:t xml:space="preserve"> региональных банков в программу </w:t>
            </w:r>
            <w:r>
              <w:rPr>
                <w:rFonts w:ascii="Times New Roman" w:hAnsi="Times New Roman" w:cs="Times New Roman"/>
                <w:sz w:val="26"/>
                <w:szCs w:val="26"/>
              </w:rPr>
              <w:t xml:space="preserve">субсидируемого </w:t>
            </w:r>
            <w:r w:rsidRPr="00241930">
              <w:rPr>
                <w:rFonts w:ascii="Times New Roman" w:hAnsi="Times New Roman" w:cs="Times New Roman"/>
                <w:sz w:val="26"/>
                <w:szCs w:val="26"/>
              </w:rPr>
              <w:t xml:space="preserve">кредитования </w:t>
            </w:r>
            <w:proofErr w:type="spellStart"/>
            <w:r w:rsidRPr="00241930">
              <w:rPr>
                <w:rFonts w:ascii="Times New Roman" w:hAnsi="Times New Roman" w:cs="Times New Roman"/>
                <w:sz w:val="26"/>
                <w:szCs w:val="26"/>
              </w:rPr>
              <w:lastRenderedPageBreak/>
              <w:t>сельхозтоваропроизводителей</w:t>
            </w:r>
            <w:proofErr w:type="spellEnd"/>
            <w:r w:rsidRPr="00241930">
              <w:rPr>
                <w:rFonts w:ascii="Times New Roman" w:hAnsi="Times New Roman" w:cs="Times New Roman"/>
                <w:sz w:val="26"/>
                <w:szCs w:val="26"/>
              </w:rPr>
              <w:t xml:space="preserve"> по льготным</w:t>
            </w:r>
            <w:r>
              <w:rPr>
                <w:rFonts w:ascii="Times New Roman" w:hAnsi="Times New Roman" w:cs="Times New Roman"/>
                <w:sz w:val="26"/>
                <w:szCs w:val="26"/>
              </w:rPr>
              <w:t xml:space="preserve"> ставкам (Постановление №1528)?</w:t>
            </w:r>
          </w:p>
          <w:p w14:paraId="20F452D6" w14:textId="77777777" w:rsidR="006F0B36" w:rsidRDefault="006F0B36" w:rsidP="006F0B36">
            <w:pPr>
              <w:ind w:firstLine="738"/>
              <w:jc w:val="both"/>
              <w:rPr>
                <w:rFonts w:ascii="Times New Roman" w:hAnsi="Times New Roman" w:cs="Times New Roman"/>
                <w:sz w:val="26"/>
                <w:szCs w:val="26"/>
              </w:rPr>
            </w:pPr>
            <w:r>
              <w:rPr>
                <w:rFonts w:ascii="Times New Roman" w:hAnsi="Times New Roman" w:cs="Times New Roman"/>
                <w:sz w:val="26"/>
                <w:szCs w:val="26"/>
              </w:rPr>
              <w:t xml:space="preserve">Взаимодействует ли Банк России с Минфином России по вопросам нового механизма </w:t>
            </w:r>
            <w:r w:rsidRPr="007D510E">
              <w:rPr>
                <w:rFonts w:ascii="Times New Roman" w:hAnsi="Times New Roman" w:cs="Times New Roman"/>
                <w:sz w:val="26"/>
                <w:szCs w:val="26"/>
              </w:rPr>
              <w:t xml:space="preserve">обеспечения заявок посредством внесения денежных средств участниками </w:t>
            </w:r>
            <w:r>
              <w:rPr>
                <w:rFonts w:ascii="Times New Roman" w:hAnsi="Times New Roman" w:cs="Times New Roman"/>
                <w:sz w:val="26"/>
                <w:szCs w:val="26"/>
              </w:rPr>
              <w:t>гос</w:t>
            </w:r>
            <w:r w:rsidRPr="007D510E">
              <w:rPr>
                <w:rFonts w:ascii="Times New Roman" w:hAnsi="Times New Roman" w:cs="Times New Roman"/>
                <w:sz w:val="26"/>
                <w:szCs w:val="26"/>
              </w:rPr>
              <w:t>закупок на специальные счета при проведении конкурсов и аукционов</w:t>
            </w:r>
            <w:r>
              <w:rPr>
                <w:rFonts w:ascii="Times New Roman" w:hAnsi="Times New Roman" w:cs="Times New Roman"/>
                <w:sz w:val="26"/>
                <w:szCs w:val="26"/>
              </w:rPr>
              <w:t>? Участниками госзакупок часто являются представители МСП, обсуживающиеся в небольших кредитных организациях, которые сообщают о потере клиентов после внедрение нового механизма обеспечения заявок.</w:t>
            </w:r>
          </w:p>
          <w:p w14:paraId="1A3957BD" w14:textId="77777777" w:rsidR="006F0B36" w:rsidRDefault="006F0B36" w:rsidP="006F0B36">
            <w:pPr>
              <w:ind w:firstLine="738"/>
              <w:jc w:val="both"/>
              <w:rPr>
                <w:rFonts w:ascii="Times New Roman" w:hAnsi="Times New Roman" w:cs="Times New Roman"/>
                <w:sz w:val="26"/>
                <w:szCs w:val="26"/>
              </w:rPr>
            </w:pPr>
            <w:r w:rsidRPr="00241930">
              <w:rPr>
                <w:rFonts w:ascii="Times New Roman" w:hAnsi="Times New Roman" w:cs="Times New Roman"/>
                <w:sz w:val="26"/>
                <w:szCs w:val="26"/>
              </w:rPr>
              <w:t>Планируется ли разработка и внедрение новых механизмов поддержки субъектов малого и среднего предпринимательства (МСП)</w:t>
            </w:r>
            <w:r w:rsidRPr="006571B3">
              <w:rPr>
                <w:rFonts w:ascii="Times New Roman" w:hAnsi="Times New Roman" w:cs="Times New Roman"/>
                <w:sz w:val="26"/>
                <w:szCs w:val="26"/>
              </w:rPr>
              <w:t>?</w:t>
            </w:r>
          </w:p>
          <w:p w14:paraId="2E071743" w14:textId="24E7A0EA" w:rsidR="006F0B36" w:rsidRPr="002F0BB6" w:rsidRDefault="006F0B36" w:rsidP="006F0B36">
            <w:pPr>
              <w:ind w:firstLine="738"/>
              <w:jc w:val="both"/>
              <w:rPr>
                <w:rFonts w:ascii="Times New Roman" w:hAnsi="Times New Roman" w:cs="Times New Roman"/>
                <w:sz w:val="26"/>
                <w:szCs w:val="26"/>
              </w:rPr>
            </w:pPr>
            <w:r>
              <w:rPr>
                <w:rFonts w:ascii="Times New Roman" w:hAnsi="Times New Roman" w:cs="Times New Roman"/>
                <w:sz w:val="26"/>
                <w:szCs w:val="26"/>
              </w:rPr>
              <w:t>Поддерживает ли Банк России внедрение системы лимитов по аналогии с Постановлением № 874</w:t>
            </w:r>
            <w:r w:rsidRPr="006F0B36">
              <w:footnoteReference w:id="2"/>
            </w:r>
            <w:r>
              <w:rPr>
                <w:rFonts w:ascii="Times New Roman" w:hAnsi="Times New Roman" w:cs="Times New Roman"/>
                <w:sz w:val="26"/>
                <w:szCs w:val="26"/>
              </w:rPr>
              <w:t xml:space="preserve"> и в другие нормативно-правовые акты, устанавливающие критерии допуска к работе с клиентами (инструментами) в целях учета как специфики малых банков (которым в силу технических ограничений применяемых рейтинговыми агентствами методик расчета рейтингов сложнее получить высокий рейтинг), так и обеспечения повышения возможностей для </w:t>
            </w:r>
            <w:r>
              <w:rPr>
                <w:rFonts w:ascii="Times New Roman" w:hAnsi="Times New Roman" w:cs="Times New Roman"/>
                <w:sz w:val="26"/>
                <w:szCs w:val="26"/>
              </w:rPr>
              <w:lastRenderedPageBreak/>
              <w:t xml:space="preserve">работы в сегменте при улучшении финансовых показателей банка или же </w:t>
            </w:r>
            <w:r w:rsidRPr="00D30DE5">
              <w:rPr>
                <w:rFonts w:ascii="Times New Roman" w:hAnsi="Times New Roman" w:cs="Times New Roman"/>
                <w:sz w:val="26"/>
                <w:szCs w:val="26"/>
              </w:rPr>
              <w:t>плавно</w:t>
            </w:r>
            <w:r>
              <w:rPr>
                <w:rFonts w:ascii="Times New Roman" w:hAnsi="Times New Roman" w:cs="Times New Roman"/>
                <w:sz w:val="26"/>
                <w:szCs w:val="26"/>
              </w:rPr>
              <w:t>го сворачивания работы с клиентами при негативных тенденциях без резкой потери всего сегмента?</w:t>
            </w:r>
          </w:p>
        </w:tc>
        <w:tc>
          <w:tcPr>
            <w:tcW w:w="8786" w:type="dxa"/>
          </w:tcPr>
          <w:p w14:paraId="0BAFABF9" w14:textId="2A7F554D" w:rsidR="006F0B36" w:rsidRPr="000C0072" w:rsidRDefault="006F0B36" w:rsidP="000219AC">
            <w:pPr>
              <w:spacing w:before="120"/>
              <w:ind w:firstLine="709"/>
              <w:jc w:val="both"/>
              <w:rPr>
                <w:rFonts w:ascii="Times New Roman" w:hAnsi="Times New Roman" w:cs="Times New Roman"/>
                <w:sz w:val="26"/>
                <w:szCs w:val="26"/>
              </w:rPr>
            </w:pPr>
            <w:r w:rsidRPr="000C0072">
              <w:rPr>
                <w:rFonts w:ascii="Times New Roman" w:hAnsi="Times New Roman" w:cs="Times New Roman"/>
                <w:sz w:val="26"/>
                <w:szCs w:val="26"/>
              </w:rPr>
              <w:lastRenderedPageBreak/>
              <w:t>Развитие справедливой конкуренции на финансовом рынке, в том числе на рынке банковских услуг, остается одной из приоритетных задач Банка России. При разработке мер по развитию конкуренции Банк России нацелен на максимально возможный учет интересов банков разного уровня, независимо от размера и масштаба деятельности, при одновременном ограничении рисков и поддержании стабильного функци</w:t>
            </w:r>
            <w:r>
              <w:rPr>
                <w:rFonts w:ascii="Times New Roman" w:hAnsi="Times New Roman" w:cs="Times New Roman"/>
                <w:sz w:val="26"/>
                <w:szCs w:val="26"/>
              </w:rPr>
              <w:t>онирования банковского сектора.</w:t>
            </w:r>
          </w:p>
          <w:p w14:paraId="6D651EA9" w14:textId="4D480F54" w:rsidR="006F0B36" w:rsidRPr="000C0072" w:rsidRDefault="006F0B36" w:rsidP="000C0072">
            <w:pPr>
              <w:ind w:firstLine="709"/>
              <w:jc w:val="both"/>
              <w:rPr>
                <w:rFonts w:ascii="Times New Roman" w:hAnsi="Times New Roman" w:cs="Times New Roman"/>
                <w:sz w:val="26"/>
                <w:szCs w:val="26"/>
              </w:rPr>
            </w:pPr>
            <w:r w:rsidRPr="000C0072">
              <w:rPr>
                <w:rFonts w:ascii="Times New Roman" w:hAnsi="Times New Roman" w:cs="Times New Roman"/>
                <w:sz w:val="26"/>
                <w:szCs w:val="26"/>
              </w:rPr>
              <w:t>В результате вывода с рынка значительного числа нежизнеспособных игроков повысилась концентрация банковского сектора. Однако с точки зрения развития и укрепления банковской системы нынешняя динамика показателей концентрации в российском банковском секторе не может быть однозначно истолкован</w:t>
            </w:r>
            <w:r>
              <w:rPr>
                <w:rFonts w:ascii="Times New Roman" w:hAnsi="Times New Roman" w:cs="Times New Roman"/>
                <w:sz w:val="26"/>
                <w:szCs w:val="26"/>
              </w:rPr>
              <w:t>а</w:t>
            </w:r>
            <w:r w:rsidRPr="000C0072">
              <w:rPr>
                <w:rFonts w:ascii="Times New Roman" w:hAnsi="Times New Roman" w:cs="Times New Roman"/>
                <w:sz w:val="26"/>
                <w:szCs w:val="26"/>
              </w:rPr>
              <w:t xml:space="preserve"> как негативная тенденция. В последние годы рост концентрации сопровождался повышением эффективности операционной деятельности банков, что может объясняться, с одной стороны, низкой операционной эффективностью выводимых с рынка банков, а с другой – пониманием подавляющим большинством здоровых банков объективной </w:t>
            </w:r>
            <w:r w:rsidRPr="000C0072">
              <w:rPr>
                <w:rFonts w:ascii="Times New Roman" w:hAnsi="Times New Roman" w:cs="Times New Roman"/>
                <w:sz w:val="26"/>
                <w:szCs w:val="26"/>
              </w:rPr>
              <w:lastRenderedPageBreak/>
              <w:t xml:space="preserve">необходимости оптимизации расходов в силу общеэкономических обстоятельств, развития конкуренции в отрасли и требований регулятора. </w:t>
            </w:r>
          </w:p>
          <w:p w14:paraId="5B5623DE" w14:textId="4CC6FE69" w:rsidR="006F0B36" w:rsidRPr="000C0072" w:rsidRDefault="006F0B36" w:rsidP="000C0072">
            <w:pPr>
              <w:ind w:firstLine="709"/>
              <w:jc w:val="both"/>
              <w:rPr>
                <w:rFonts w:ascii="Times New Roman" w:hAnsi="Times New Roman" w:cs="Times New Roman"/>
                <w:sz w:val="26"/>
                <w:szCs w:val="26"/>
              </w:rPr>
            </w:pPr>
            <w:r w:rsidRPr="000C0072">
              <w:rPr>
                <w:rFonts w:ascii="Times New Roman" w:hAnsi="Times New Roman" w:cs="Times New Roman"/>
                <w:sz w:val="26"/>
                <w:szCs w:val="26"/>
              </w:rPr>
              <w:t>В итоге реальная конкуренция в банковском секторе усиливается, а распределение «рыночной власти» становится более сбалансированным</w:t>
            </w:r>
            <w:r w:rsidRPr="006F0B36">
              <w:rPr>
                <w:rFonts w:ascii="Times New Roman" w:hAnsi="Times New Roman" w:cs="Times New Roman"/>
                <w:sz w:val="26"/>
                <w:szCs w:val="26"/>
              </w:rPr>
              <w:t xml:space="preserve"> </w:t>
            </w:r>
            <w:r w:rsidRPr="000C0072">
              <w:rPr>
                <w:rFonts w:ascii="Times New Roman" w:hAnsi="Times New Roman" w:cs="Times New Roman"/>
                <w:sz w:val="26"/>
                <w:szCs w:val="26"/>
              </w:rPr>
              <w:t>и в большей степени отражающим эффективность бизнес-моделей банков.</w:t>
            </w:r>
          </w:p>
          <w:p w14:paraId="12AAD9D6" w14:textId="7E7A7BF2" w:rsidR="006F0B36" w:rsidRPr="000C0072" w:rsidRDefault="006F0B36" w:rsidP="000C0072">
            <w:pPr>
              <w:ind w:firstLine="709"/>
              <w:jc w:val="both"/>
              <w:rPr>
                <w:rFonts w:ascii="Times New Roman" w:hAnsi="Times New Roman" w:cs="Times New Roman"/>
                <w:sz w:val="26"/>
                <w:szCs w:val="26"/>
              </w:rPr>
            </w:pPr>
            <w:r w:rsidRPr="000C0072">
              <w:rPr>
                <w:rFonts w:ascii="Times New Roman" w:hAnsi="Times New Roman" w:cs="Times New Roman"/>
                <w:sz w:val="26"/>
                <w:szCs w:val="26"/>
              </w:rPr>
              <w:t xml:space="preserve">Непосредственно на повышение конкурентоспособности банковского сектора ориентировано и </w:t>
            </w:r>
            <w:r w:rsidRPr="000C0072">
              <w:rPr>
                <w:rFonts w:ascii="Times New Roman" w:hAnsi="Times New Roman" w:cs="Times New Roman"/>
                <w:b/>
                <w:sz w:val="26"/>
                <w:szCs w:val="26"/>
              </w:rPr>
              <w:t>совершенствование регулирования</w:t>
            </w:r>
            <w:r w:rsidRPr="000C0072">
              <w:rPr>
                <w:rFonts w:ascii="Times New Roman" w:hAnsi="Times New Roman" w:cs="Times New Roman"/>
                <w:sz w:val="26"/>
                <w:szCs w:val="26"/>
              </w:rPr>
              <w:t xml:space="preserve">, в первую очередь, применение с 2018 года </w:t>
            </w:r>
            <w:r w:rsidRPr="000C0072">
              <w:rPr>
                <w:rFonts w:ascii="Times New Roman" w:hAnsi="Times New Roman" w:cs="Times New Roman"/>
                <w:b/>
                <w:sz w:val="26"/>
                <w:szCs w:val="26"/>
              </w:rPr>
              <w:t>пропорционального регулирования</w:t>
            </w:r>
            <w:r w:rsidRPr="000C0072">
              <w:rPr>
                <w:rFonts w:ascii="Times New Roman" w:hAnsi="Times New Roman" w:cs="Times New Roman"/>
                <w:sz w:val="26"/>
                <w:szCs w:val="26"/>
              </w:rPr>
              <w:t xml:space="preserve"> банковской деятельности. Соразмерное распределение регулятивной и надзорной нагрузки на банки непосредственно влияет на улучшение конкурентных условий для небольших банков, в том числе региональных. Функционирование банков с базовой лицензией, к которым применимы упрощенные регулятивные требования, нацелено на обеспечение доступности банковских услуг для населения и субъектов малого и среднего предпринимательства в регионах, в том числе сельских районах, что должно способствовать оживлению роста региональных экономик.</w:t>
            </w:r>
          </w:p>
          <w:p w14:paraId="3F73A695" w14:textId="3BF1FDE8" w:rsidR="006F0B36" w:rsidRPr="000C0072" w:rsidRDefault="006F0B36" w:rsidP="000C0072">
            <w:pPr>
              <w:suppressAutoHyphens/>
              <w:autoSpaceDN w:val="0"/>
              <w:ind w:firstLine="709"/>
              <w:jc w:val="both"/>
              <w:rPr>
                <w:rFonts w:ascii="Times New Roman" w:eastAsia="SimSun" w:hAnsi="Times New Roman" w:cs="Times New Roman"/>
                <w:kern w:val="3"/>
                <w:sz w:val="26"/>
                <w:szCs w:val="26"/>
                <w:shd w:val="clear" w:color="auto" w:fill="FFFFFF"/>
                <w:lang w:eastAsia="zh-CN" w:bidi="hi-IN"/>
              </w:rPr>
            </w:pPr>
            <w:r w:rsidRPr="000C0072">
              <w:rPr>
                <w:rFonts w:ascii="Times New Roman" w:hAnsi="Times New Roman" w:cs="Times New Roman"/>
                <w:b/>
                <w:sz w:val="26"/>
                <w:szCs w:val="26"/>
                <w:shd w:val="clear" w:color="auto" w:fill="FFFFFF"/>
              </w:rPr>
              <w:t>Банк России принимает участие</w:t>
            </w:r>
            <w:r w:rsidRPr="000C0072">
              <w:rPr>
                <w:rFonts w:ascii="Times New Roman" w:hAnsi="Times New Roman" w:cs="Times New Roman"/>
                <w:sz w:val="26"/>
                <w:szCs w:val="26"/>
                <w:shd w:val="clear" w:color="auto" w:fill="FFFFFF"/>
              </w:rPr>
              <w:t xml:space="preserve"> в реализации мероприятий Правительства Российской Федерации</w:t>
            </w:r>
            <w:r w:rsidR="00617995" w:rsidRPr="00617995">
              <w:rPr>
                <w:rFonts w:ascii="Times New Roman" w:hAnsi="Times New Roman" w:cs="Times New Roman"/>
                <w:sz w:val="26"/>
                <w:szCs w:val="26"/>
                <w:shd w:val="clear" w:color="auto" w:fill="FFFFFF"/>
              </w:rPr>
              <w:t xml:space="preserve"> </w:t>
            </w:r>
            <w:r w:rsidRPr="000C0072">
              <w:rPr>
                <w:rFonts w:ascii="Times New Roman" w:hAnsi="Times New Roman" w:cs="Times New Roman"/>
                <w:sz w:val="26"/>
                <w:szCs w:val="26"/>
                <w:shd w:val="clear" w:color="auto" w:fill="FFFFFF"/>
              </w:rPr>
              <w:t xml:space="preserve">по развитию конкуренции на рынке банковских услуг и унификации требований, предъявляемых к кредитным организациям, в том числе для </w:t>
            </w:r>
            <w:r w:rsidRPr="000C0072">
              <w:rPr>
                <w:rFonts w:ascii="Times New Roman" w:hAnsi="Times New Roman" w:cs="Times New Roman"/>
                <w:color w:val="000000"/>
                <w:sz w:val="26"/>
                <w:szCs w:val="26"/>
                <w:shd w:val="clear" w:color="auto" w:fill="FFFFFF"/>
              </w:rPr>
              <w:t>участия в программах субсидирования льготного кредитования и</w:t>
            </w:r>
            <w:r w:rsidRPr="000C0072">
              <w:rPr>
                <w:rFonts w:ascii="Times New Roman" w:hAnsi="Times New Roman" w:cs="Times New Roman"/>
                <w:sz w:val="26"/>
                <w:szCs w:val="26"/>
                <w:shd w:val="clear" w:color="auto" w:fill="FFFFFF"/>
              </w:rPr>
              <w:t xml:space="preserve"> </w:t>
            </w:r>
            <w:r w:rsidRPr="000C0072">
              <w:rPr>
                <w:rFonts w:ascii="Times New Roman" w:hAnsi="Times New Roman" w:cs="Times New Roman"/>
                <w:color w:val="000000"/>
                <w:sz w:val="26"/>
                <w:szCs w:val="26"/>
                <w:shd w:val="clear" w:color="auto" w:fill="FFFFFF"/>
              </w:rPr>
              <w:t>выдачи банковских гарантий в целях обеспечения исполнения обязательств третьих лиц перед государством. Такая работа проводится с</w:t>
            </w:r>
            <w:r w:rsidRPr="000C0072">
              <w:rPr>
                <w:rFonts w:ascii="Times New Roman" w:eastAsia="SimSun" w:hAnsi="Times New Roman" w:cs="Times New Roman"/>
                <w:b/>
                <w:kern w:val="3"/>
                <w:sz w:val="26"/>
                <w:szCs w:val="26"/>
                <w:shd w:val="clear" w:color="auto" w:fill="FFFFFF"/>
                <w:lang w:eastAsia="zh-CN" w:bidi="hi-IN"/>
              </w:rPr>
              <w:t>овместно</w:t>
            </w:r>
            <w:r w:rsidR="00617995" w:rsidRPr="00617995">
              <w:rPr>
                <w:rFonts w:ascii="Times New Roman" w:eastAsia="SimSun" w:hAnsi="Times New Roman" w:cs="Times New Roman"/>
                <w:b/>
                <w:kern w:val="3"/>
                <w:sz w:val="26"/>
                <w:szCs w:val="26"/>
                <w:shd w:val="clear" w:color="auto" w:fill="FFFFFF"/>
                <w:lang w:eastAsia="zh-CN" w:bidi="hi-IN"/>
              </w:rPr>
              <w:t xml:space="preserve"> </w:t>
            </w:r>
            <w:r w:rsidRPr="000C0072">
              <w:rPr>
                <w:rFonts w:ascii="Times New Roman" w:eastAsia="SimSun" w:hAnsi="Times New Roman" w:cs="Times New Roman"/>
                <w:kern w:val="3"/>
                <w:sz w:val="26"/>
                <w:szCs w:val="26"/>
                <w:shd w:val="clear" w:color="auto" w:fill="FFFFFF"/>
                <w:lang w:eastAsia="zh-CN" w:bidi="hi-IN"/>
              </w:rPr>
              <w:t xml:space="preserve">с Минфином России, Минэкономразвития России и ФАС России. </w:t>
            </w:r>
          </w:p>
          <w:p w14:paraId="6CB0145E" w14:textId="56C4F845" w:rsidR="006F0B36" w:rsidRDefault="006F0B36" w:rsidP="000C0072">
            <w:pPr>
              <w:suppressAutoHyphens/>
              <w:autoSpaceDN w:val="0"/>
              <w:ind w:firstLine="709"/>
              <w:jc w:val="both"/>
              <w:rPr>
                <w:rFonts w:ascii="Times New Roman" w:hAnsi="Times New Roman" w:cs="Times New Roman"/>
                <w:kern w:val="3"/>
                <w:sz w:val="26"/>
                <w:szCs w:val="26"/>
                <w:lang w:eastAsia="zh-CN" w:bidi="hi-IN"/>
              </w:rPr>
            </w:pPr>
            <w:r w:rsidRPr="000C0072">
              <w:rPr>
                <w:rFonts w:ascii="Times New Roman" w:hAnsi="Times New Roman" w:cs="Times New Roman"/>
                <w:kern w:val="3"/>
                <w:sz w:val="26"/>
                <w:szCs w:val="26"/>
                <w:lang w:eastAsia="zh-CN" w:bidi="hi-IN"/>
              </w:rPr>
              <w:t>Прежде всего это касается применения в качестве требования к отбору кредитных организаций кредитного рейтинга как основного рыночного критерия, связанного с оценкой финансовой устойчивости.</w:t>
            </w:r>
          </w:p>
          <w:p w14:paraId="66487D44" w14:textId="084A058F" w:rsidR="006F0B36" w:rsidRDefault="006F0B36" w:rsidP="000C0072">
            <w:pPr>
              <w:suppressAutoHyphens/>
              <w:autoSpaceDN w:val="0"/>
              <w:ind w:firstLine="709"/>
              <w:jc w:val="both"/>
              <w:rPr>
                <w:rFonts w:ascii="Times New Roman" w:hAnsi="Times New Roman" w:cs="Times New Roman"/>
                <w:kern w:val="3"/>
                <w:sz w:val="26"/>
                <w:szCs w:val="26"/>
                <w:lang w:eastAsia="zh-CN" w:bidi="hi-IN"/>
              </w:rPr>
            </w:pPr>
            <w:r>
              <w:rPr>
                <w:rFonts w:ascii="Times New Roman" w:hAnsi="Times New Roman" w:cs="Times New Roman"/>
                <w:kern w:val="3"/>
                <w:sz w:val="26"/>
                <w:szCs w:val="26"/>
                <w:lang w:eastAsia="zh-CN" w:bidi="hi-IN"/>
              </w:rPr>
              <w:lastRenderedPageBreak/>
              <w:t>По мнению Банка России</w:t>
            </w:r>
            <w:r w:rsidRPr="000C0072">
              <w:rPr>
                <w:rFonts w:ascii="Times New Roman" w:hAnsi="Times New Roman" w:cs="Times New Roman"/>
                <w:kern w:val="3"/>
                <w:sz w:val="26"/>
                <w:szCs w:val="26"/>
                <w:lang w:eastAsia="zh-CN" w:bidi="hi-IN"/>
              </w:rPr>
              <w:t xml:space="preserve">, </w:t>
            </w:r>
            <w:r w:rsidRPr="000C0072">
              <w:rPr>
                <w:rFonts w:ascii="Times New Roman" w:hAnsi="Times New Roman" w:cs="Times New Roman"/>
                <w:b/>
                <w:kern w:val="3"/>
                <w:sz w:val="26"/>
                <w:szCs w:val="26"/>
                <w:lang w:eastAsia="zh-CN" w:bidi="hi-IN"/>
              </w:rPr>
              <w:t>жесткость требований</w:t>
            </w:r>
            <w:r w:rsidRPr="000C0072">
              <w:rPr>
                <w:rFonts w:ascii="Times New Roman" w:hAnsi="Times New Roman" w:cs="Times New Roman"/>
                <w:kern w:val="3"/>
                <w:sz w:val="26"/>
                <w:szCs w:val="26"/>
                <w:lang w:eastAsia="zh-CN" w:bidi="hi-IN"/>
              </w:rPr>
              <w:t xml:space="preserve"> к банкам по уровню кредитных рейтингов необходимо </w:t>
            </w:r>
            <w:r w:rsidRPr="000C0072">
              <w:rPr>
                <w:rFonts w:ascii="Times New Roman" w:hAnsi="Times New Roman" w:cs="Times New Roman"/>
                <w:b/>
                <w:kern w:val="3"/>
                <w:sz w:val="26"/>
                <w:szCs w:val="26"/>
                <w:lang w:eastAsia="zh-CN" w:bidi="hi-IN"/>
              </w:rPr>
              <w:t xml:space="preserve">дифференцировать </w:t>
            </w:r>
            <w:r w:rsidRPr="000C0072">
              <w:rPr>
                <w:rFonts w:ascii="Times New Roman" w:hAnsi="Times New Roman" w:cs="Times New Roman"/>
                <w:kern w:val="3"/>
                <w:sz w:val="26"/>
                <w:szCs w:val="26"/>
                <w:lang w:eastAsia="zh-CN" w:bidi="hi-IN"/>
              </w:rPr>
              <w:t xml:space="preserve">в зависимости от присутствия кредитного риска при размещении государственных средств, срочности и характера проводимых банковских операций. </w:t>
            </w:r>
          </w:p>
          <w:p w14:paraId="6A4CE58D" w14:textId="77777777" w:rsidR="006F0B36" w:rsidRDefault="006F0B36" w:rsidP="000C0072">
            <w:pPr>
              <w:suppressAutoHyphens/>
              <w:autoSpaceDN w:val="0"/>
              <w:ind w:firstLine="709"/>
              <w:jc w:val="both"/>
              <w:rPr>
                <w:rFonts w:ascii="Times New Roman" w:hAnsi="Times New Roman" w:cs="Times New Roman"/>
                <w:kern w:val="3"/>
                <w:sz w:val="26"/>
                <w:szCs w:val="26"/>
                <w:lang w:eastAsia="zh-CN" w:bidi="hi-IN"/>
              </w:rPr>
            </w:pPr>
            <w:r w:rsidRPr="000C0072">
              <w:rPr>
                <w:rFonts w:ascii="Times New Roman" w:hAnsi="Times New Roman" w:cs="Times New Roman"/>
                <w:b/>
                <w:kern w:val="3"/>
                <w:sz w:val="26"/>
                <w:szCs w:val="26"/>
                <w:lang w:eastAsia="zh-CN" w:bidi="hi-IN"/>
              </w:rPr>
              <w:t>По результатам проводимой работы</w:t>
            </w:r>
          </w:p>
          <w:p w14:paraId="596C8E4D" w14:textId="276E89AD" w:rsidR="006F0B36" w:rsidRPr="000C0072" w:rsidRDefault="006F0B36" w:rsidP="000C0072">
            <w:pPr>
              <w:suppressAutoHyphens/>
              <w:autoSpaceDN w:val="0"/>
              <w:ind w:firstLine="709"/>
              <w:jc w:val="both"/>
              <w:rPr>
                <w:rFonts w:ascii="Times New Roman" w:hAnsi="Times New Roman" w:cs="Times New Roman"/>
                <w:kern w:val="3"/>
                <w:sz w:val="26"/>
                <w:szCs w:val="26"/>
                <w:lang w:eastAsia="zh-CN" w:bidi="hi-IN"/>
              </w:rPr>
            </w:pPr>
            <w:r w:rsidRPr="000C0072">
              <w:rPr>
                <w:rFonts w:ascii="Times New Roman" w:hAnsi="Times New Roman" w:cs="Times New Roman"/>
                <w:kern w:val="3"/>
                <w:sz w:val="26"/>
                <w:szCs w:val="26"/>
                <w:lang w:eastAsia="zh-CN" w:bidi="hi-IN"/>
              </w:rPr>
              <w:t xml:space="preserve">1. </w:t>
            </w:r>
            <w:r w:rsidRPr="000C0072">
              <w:rPr>
                <w:rFonts w:ascii="Times New Roman" w:hAnsi="Times New Roman" w:cs="Times New Roman"/>
                <w:b/>
                <w:color w:val="000000"/>
                <w:kern w:val="3"/>
                <w:sz w:val="26"/>
                <w:szCs w:val="26"/>
                <w:lang w:eastAsia="zh-CN" w:bidi="hi-IN"/>
              </w:rPr>
              <w:t>В отношении участия кредитных организаций, в том числе региональных банков в программах субсидирования льготного кредитования субъектов малого и среднего предпринимательства (МСП) и сельскохозяйственных товаропроизводителей (АПК)</w:t>
            </w:r>
            <w:r w:rsidRPr="000C0072">
              <w:rPr>
                <w:rFonts w:ascii="Times New Roman" w:hAnsi="Times New Roman" w:cs="Times New Roman"/>
                <w:color w:val="000000"/>
                <w:kern w:val="3"/>
                <w:sz w:val="26"/>
                <w:szCs w:val="26"/>
                <w:lang w:eastAsia="zh-CN" w:bidi="hi-IN"/>
              </w:rPr>
              <w:t xml:space="preserve">, когда государство не размещает средства, а лишь возмещает часть выпадающих доходов по кредитам, выдаваемым банками по льготным ставкам субъектам МСП и АПК (программы субсидирования), Банком России предлагается применять менее жесткие требования </w:t>
            </w:r>
            <w:r w:rsidRPr="000C0072">
              <w:rPr>
                <w:rFonts w:ascii="Times New Roman" w:hAnsi="Times New Roman" w:cs="Times New Roman"/>
                <w:b/>
                <w:color w:val="000000"/>
                <w:kern w:val="3"/>
                <w:sz w:val="26"/>
                <w:szCs w:val="26"/>
                <w:lang w:eastAsia="zh-CN" w:bidi="hi-IN"/>
              </w:rPr>
              <w:t>вплоть до отказа от использования рейтингов.</w:t>
            </w:r>
            <w:r w:rsidRPr="000C0072">
              <w:rPr>
                <w:rFonts w:ascii="Times New Roman" w:hAnsi="Times New Roman" w:cs="Times New Roman"/>
                <w:color w:val="000000"/>
                <w:kern w:val="3"/>
                <w:sz w:val="26"/>
                <w:szCs w:val="26"/>
                <w:lang w:eastAsia="zh-CN" w:bidi="hi-IN"/>
              </w:rPr>
              <w:t xml:space="preserve"> У</w:t>
            </w:r>
            <w:r w:rsidRPr="000C0072">
              <w:rPr>
                <w:rFonts w:ascii="Times New Roman" w:hAnsi="Times New Roman" w:cs="Times New Roman"/>
                <w:color w:val="000000"/>
                <w:kern w:val="3"/>
                <w:sz w:val="26"/>
                <w:szCs w:val="26"/>
                <w:shd w:val="clear" w:color="auto" w:fill="FFFFFF"/>
                <w:lang w:eastAsia="zh-CN" w:bidi="hi-IN"/>
              </w:rPr>
              <w:t>частие в этих программах, на наш взгляд, должно осуществляться кредитными организациями на основании их волеизъявления и принятия обязательств по исполнению условий программ стимулирования кредитования. Указанная позиция поддержана ФАС России.</w:t>
            </w:r>
          </w:p>
          <w:p w14:paraId="349BFA6A" w14:textId="7FB565F2" w:rsidR="006F0B36" w:rsidRPr="000C0072" w:rsidRDefault="006F0B36" w:rsidP="000C0072">
            <w:pPr>
              <w:tabs>
                <w:tab w:val="left" w:pos="763"/>
                <w:tab w:val="left" w:pos="1013"/>
              </w:tabs>
              <w:suppressAutoHyphens/>
              <w:autoSpaceDN w:val="0"/>
              <w:ind w:firstLine="709"/>
              <w:jc w:val="both"/>
              <w:textAlignment w:val="baseline"/>
              <w:rPr>
                <w:rFonts w:ascii="Times New Roman" w:eastAsia="SimSun" w:hAnsi="Times New Roman" w:cs="Times New Roman"/>
                <w:kern w:val="3"/>
                <w:sz w:val="26"/>
                <w:szCs w:val="26"/>
                <w:lang w:eastAsia="zh-CN" w:bidi="hi-IN"/>
              </w:rPr>
            </w:pPr>
            <w:r w:rsidRPr="000C0072">
              <w:rPr>
                <w:rFonts w:ascii="Times New Roman" w:hAnsi="Times New Roman" w:cs="Times New Roman"/>
                <w:color w:val="000000"/>
                <w:kern w:val="3"/>
                <w:sz w:val="26"/>
                <w:szCs w:val="26"/>
                <w:shd w:val="clear" w:color="auto" w:fill="FFFFFF"/>
                <w:lang w:eastAsia="zh-CN" w:bidi="hi-IN"/>
              </w:rPr>
              <w:t xml:space="preserve">При этом предлагается </w:t>
            </w:r>
            <w:r w:rsidRPr="000C0072">
              <w:rPr>
                <w:rFonts w:ascii="Times New Roman" w:hAnsi="Times New Roman" w:cs="Times New Roman"/>
                <w:b/>
                <w:color w:val="000000"/>
                <w:kern w:val="3"/>
                <w:sz w:val="26"/>
                <w:szCs w:val="26"/>
                <w:shd w:val="clear" w:color="auto" w:fill="FFFFFF"/>
                <w:lang w:eastAsia="zh-CN" w:bidi="hi-IN"/>
              </w:rPr>
              <w:t xml:space="preserve">установить требование о наличии у кредитной организации опыта кредитования </w:t>
            </w:r>
            <w:r w:rsidRPr="000C0072">
              <w:rPr>
                <w:rFonts w:ascii="Times New Roman" w:hAnsi="Times New Roman" w:cs="Times New Roman"/>
                <w:color w:val="000000"/>
                <w:kern w:val="3"/>
                <w:sz w:val="26"/>
                <w:szCs w:val="26"/>
                <w:shd w:val="clear" w:color="auto" w:fill="FFFFFF"/>
                <w:lang w:eastAsia="zh-CN" w:bidi="hi-IN"/>
              </w:rPr>
              <w:t>соответствующей категории заемщиков.</w:t>
            </w:r>
            <w:r w:rsidRPr="000C0072">
              <w:rPr>
                <w:rFonts w:ascii="Times New Roman" w:eastAsia="SimSun" w:hAnsi="Times New Roman" w:cs="Times New Roman"/>
                <w:kern w:val="3"/>
                <w:sz w:val="26"/>
                <w:szCs w:val="26"/>
                <w:lang w:eastAsia="zh-CN" w:bidi="hi-IN"/>
              </w:rPr>
              <w:t xml:space="preserve"> Применение в этом случае каких-либо иных требований сокращает число кредитных организаций, имеющих возможность осуществлять отдельные виды кредитования на льготных условиях, и, соответственно, может привести</w:t>
            </w:r>
            <w:r w:rsidRPr="006F0B36">
              <w:rPr>
                <w:rFonts w:ascii="Times New Roman" w:eastAsia="SimSun" w:hAnsi="Times New Roman" w:cs="Times New Roman"/>
                <w:kern w:val="3"/>
                <w:sz w:val="26"/>
                <w:szCs w:val="26"/>
                <w:lang w:eastAsia="zh-CN" w:bidi="hi-IN"/>
              </w:rPr>
              <w:t xml:space="preserve"> </w:t>
            </w:r>
            <w:r w:rsidRPr="000C0072">
              <w:rPr>
                <w:rFonts w:ascii="Times New Roman" w:eastAsia="SimSun" w:hAnsi="Times New Roman" w:cs="Times New Roman"/>
                <w:kern w:val="3"/>
                <w:sz w:val="26"/>
                <w:szCs w:val="26"/>
                <w:lang w:eastAsia="zh-CN" w:bidi="hi-IN"/>
              </w:rPr>
              <w:t xml:space="preserve">к ограничению конкуренции и снижению доступности этих услуг для потребителей. </w:t>
            </w:r>
          </w:p>
          <w:p w14:paraId="5EE27133" w14:textId="5665C495" w:rsidR="006F0B36" w:rsidRPr="000C0072" w:rsidRDefault="006F0B36" w:rsidP="000C0072">
            <w:pPr>
              <w:autoSpaceDE w:val="0"/>
              <w:autoSpaceDN w:val="0"/>
              <w:adjustRightInd w:val="0"/>
              <w:ind w:firstLine="851"/>
              <w:jc w:val="both"/>
              <w:rPr>
                <w:rFonts w:ascii="Times New Roman" w:eastAsia="SimSun" w:hAnsi="Times New Roman" w:cs="Times New Roman"/>
                <w:kern w:val="3"/>
                <w:sz w:val="26"/>
                <w:szCs w:val="26"/>
                <w:lang w:eastAsia="zh-CN" w:bidi="hi-IN"/>
              </w:rPr>
            </w:pPr>
            <w:r w:rsidRPr="000C0072">
              <w:rPr>
                <w:rFonts w:ascii="Times New Roman" w:eastAsia="SimSun" w:hAnsi="Times New Roman" w:cs="Times New Roman"/>
                <w:kern w:val="3"/>
                <w:sz w:val="26"/>
                <w:szCs w:val="26"/>
                <w:lang w:eastAsia="zh-CN" w:bidi="hi-IN"/>
              </w:rPr>
              <w:t>По инициативе Банка России, поддержанной Минэкономразвития России, а в последующем и Правительством Российской Федерации (</w:t>
            </w:r>
            <w:r w:rsidRPr="000C0072">
              <w:rPr>
                <w:rFonts w:ascii="Times New Roman" w:eastAsia="SimSun" w:hAnsi="Times New Roman" w:cs="Times New Roman"/>
                <w:sz w:val="26"/>
                <w:szCs w:val="26"/>
                <w:lang w:eastAsia="zh-CN"/>
              </w:rPr>
              <w:t xml:space="preserve">постановление Правительства Российской Федерации от 30.12.2018 № 1764) </w:t>
            </w:r>
            <w:r w:rsidRPr="000C0072">
              <w:rPr>
                <w:rFonts w:ascii="Times New Roman" w:eastAsia="SimSun" w:hAnsi="Times New Roman" w:cs="Times New Roman"/>
                <w:kern w:val="3"/>
                <w:sz w:val="26"/>
                <w:szCs w:val="26"/>
                <w:lang w:eastAsia="zh-CN" w:bidi="hi-IN"/>
              </w:rPr>
              <w:t xml:space="preserve">с 2019 года существенно упрощены критерии отбора кредитных организаций </w:t>
            </w:r>
            <w:r w:rsidRPr="000C0072">
              <w:rPr>
                <w:rFonts w:ascii="Times New Roman" w:eastAsia="SimSun" w:hAnsi="Times New Roman" w:cs="Times New Roman"/>
                <w:b/>
                <w:kern w:val="3"/>
                <w:sz w:val="26"/>
                <w:szCs w:val="26"/>
                <w:lang w:eastAsia="zh-CN" w:bidi="hi-IN"/>
              </w:rPr>
              <w:t>для участия в программе субсидирования ставок по кредитам субъектам МСП,</w:t>
            </w:r>
            <w:r w:rsidRPr="000C0072">
              <w:rPr>
                <w:rFonts w:ascii="Times New Roman" w:eastAsia="SimSun" w:hAnsi="Times New Roman" w:cs="Times New Roman"/>
                <w:kern w:val="3"/>
                <w:sz w:val="26"/>
                <w:szCs w:val="26"/>
                <w:lang w:eastAsia="zh-CN" w:bidi="hi-IN"/>
              </w:rPr>
              <w:t xml:space="preserve"> а </w:t>
            </w:r>
            <w:r w:rsidRPr="000C0072">
              <w:rPr>
                <w:rFonts w:ascii="Times New Roman" w:eastAsia="SimSun" w:hAnsi="Times New Roman" w:cs="Times New Roman"/>
                <w:b/>
                <w:kern w:val="3"/>
                <w:sz w:val="26"/>
                <w:szCs w:val="26"/>
                <w:lang w:eastAsia="zh-CN" w:bidi="hi-IN"/>
              </w:rPr>
              <w:t xml:space="preserve">именно: отменено требование к наличию рейтинга; </w:t>
            </w:r>
            <w:r w:rsidRPr="000C0072">
              <w:rPr>
                <w:rFonts w:ascii="Times New Roman" w:eastAsia="SimSun" w:hAnsi="Times New Roman" w:cs="Times New Roman"/>
                <w:kern w:val="3"/>
                <w:sz w:val="26"/>
                <w:szCs w:val="26"/>
                <w:lang w:eastAsia="zh-CN" w:bidi="hi-IN"/>
              </w:rPr>
              <w:t xml:space="preserve">обеспечены </w:t>
            </w:r>
            <w:r w:rsidRPr="000C0072">
              <w:rPr>
                <w:rFonts w:ascii="Times New Roman" w:eastAsia="SimSun" w:hAnsi="Times New Roman" w:cs="Times New Roman"/>
                <w:kern w:val="3"/>
                <w:sz w:val="26"/>
                <w:szCs w:val="26"/>
                <w:lang w:eastAsia="zh-CN" w:bidi="hi-IN"/>
              </w:rPr>
              <w:lastRenderedPageBreak/>
              <w:t xml:space="preserve">стимулирующие условия </w:t>
            </w:r>
            <w:r w:rsidRPr="000C0072">
              <w:rPr>
                <w:rFonts w:ascii="Times New Roman" w:eastAsia="SimSun" w:hAnsi="Times New Roman" w:cs="Times New Roman"/>
                <w:b/>
                <w:kern w:val="3"/>
                <w:sz w:val="26"/>
                <w:szCs w:val="26"/>
                <w:lang w:eastAsia="zh-CN" w:bidi="hi-IN"/>
              </w:rPr>
              <w:t>для участия в программе банков с базовой лицензией</w:t>
            </w:r>
            <w:r w:rsidRPr="000C0072">
              <w:rPr>
                <w:rFonts w:ascii="Times New Roman" w:eastAsia="SimSun" w:hAnsi="Times New Roman" w:cs="Times New Roman"/>
                <w:kern w:val="3"/>
                <w:sz w:val="26"/>
                <w:szCs w:val="26"/>
                <w:lang w:eastAsia="zh-CN" w:bidi="hi-IN"/>
              </w:rPr>
              <w:t>. В результате предложенного Банком России подхода,</w:t>
            </w:r>
            <w:r w:rsidRPr="006F0B36">
              <w:rPr>
                <w:rFonts w:ascii="Times New Roman" w:eastAsia="SimSun" w:hAnsi="Times New Roman" w:cs="Times New Roman"/>
                <w:kern w:val="3"/>
                <w:sz w:val="26"/>
                <w:szCs w:val="26"/>
                <w:lang w:eastAsia="zh-CN" w:bidi="hi-IN"/>
              </w:rPr>
              <w:t xml:space="preserve"> </w:t>
            </w:r>
            <w:r w:rsidRPr="000C0072">
              <w:rPr>
                <w:rFonts w:ascii="Times New Roman" w:eastAsia="SimSun" w:hAnsi="Times New Roman" w:cs="Times New Roman"/>
                <w:kern w:val="3"/>
                <w:sz w:val="26"/>
                <w:szCs w:val="26"/>
                <w:lang w:eastAsia="zh-CN" w:bidi="hi-IN"/>
              </w:rPr>
              <w:t>по приблизительной оценке, в программе смогут принять участие более 100 банков против 15 (данные на конец 2018 года).</w:t>
            </w:r>
          </w:p>
          <w:p w14:paraId="485FF395" w14:textId="3FBA3CD7" w:rsidR="006F0B36" w:rsidRDefault="006F0B36" w:rsidP="00617995">
            <w:pPr>
              <w:autoSpaceDE w:val="0"/>
              <w:autoSpaceDN w:val="0"/>
              <w:adjustRightInd w:val="0"/>
              <w:ind w:firstLine="851"/>
              <w:jc w:val="both"/>
              <w:rPr>
                <w:rFonts w:ascii="Times New Roman" w:eastAsia="SimSun" w:hAnsi="Times New Roman" w:cs="Times New Roman"/>
                <w:kern w:val="3"/>
                <w:sz w:val="26"/>
                <w:szCs w:val="26"/>
                <w:lang w:eastAsia="zh-CN" w:bidi="hi-IN"/>
              </w:rPr>
            </w:pPr>
            <w:r w:rsidRPr="000C0072">
              <w:rPr>
                <w:rFonts w:ascii="Times New Roman" w:eastAsia="SimSun" w:hAnsi="Times New Roman" w:cs="Times New Roman"/>
                <w:kern w:val="3"/>
                <w:sz w:val="26"/>
                <w:szCs w:val="26"/>
                <w:lang w:eastAsia="zh-CN" w:bidi="hi-IN"/>
              </w:rPr>
              <w:t xml:space="preserve">Банк России направил в Минсельхоз России (письмо Банка России от 28.02.2018 № 03-40/1447) предложения </w:t>
            </w:r>
            <w:r w:rsidRPr="000C0072">
              <w:rPr>
                <w:rFonts w:ascii="Times New Roman" w:eastAsia="SimSun" w:hAnsi="Times New Roman" w:cs="Times New Roman"/>
                <w:b/>
                <w:kern w:val="3"/>
                <w:sz w:val="26"/>
                <w:szCs w:val="26"/>
                <w:lang w:eastAsia="zh-CN" w:bidi="hi-IN"/>
              </w:rPr>
              <w:t>о расширении круга кредитных</w:t>
            </w:r>
            <w:r w:rsidRPr="006F0B36">
              <w:rPr>
                <w:rFonts w:ascii="Times New Roman" w:eastAsia="SimSun" w:hAnsi="Times New Roman" w:cs="Times New Roman"/>
                <w:b/>
                <w:kern w:val="3"/>
                <w:sz w:val="26"/>
                <w:szCs w:val="26"/>
                <w:lang w:eastAsia="zh-CN" w:bidi="hi-IN"/>
              </w:rPr>
              <w:t xml:space="preserve"> </w:t>
            </w:r>
            <w:r w:rsidRPr="000C0072">
              <w:rPr>
                <w:rFonts w:ascii="Times New Roman" w:eastAsia="SimSun" w:hAnsi="Times New Roman" w:cs="Times New Roman"/>
                <w:b/>
                <w:kern w:val="3"/>
                <w:sz w:val="26"/>
                <w:szCs w:val="26"/>
                <w:lang w:eastAsia="zh-CN" w:bidi="hi-IN"/>
              </w:rPr>
              <w:t>организаций</w:t>
            </w:r>
            <w:r w:rsidRPr="000C0072">
              <w:rPr>
                <w:rFonts w:ascii="Times New Roman" w:eastAsia="SimSun" w:hAnsi="Times New Roman" w:cs="Times New Roman"/>
                <w:b/>
                <w:kern w:val="3"/>
                <w:sz w:val="26"/>
                <w:szCs w:val="26"/>
                <w:lang w:val="en-US" w:eastAsia="zh-CN" w:bidi="hi-IN"/>
              </w:rPr>
              <w:t> </w:t>
            </w:r>
            <w:r w:rsidRPr="000C0072">
              <w:rPr>
                <w:rFonts w:ascii="Times New Roman" w:eastAsia="SimSun" w:hAnsi="Times New Roman" w:cs="Times New Roman"/>
                <w:b/>
                <w:kern w:val="3"/>
                <w:sz w:val="26"/>
                <w:szCs w:val="26"/>
                <w:lang w:eastAsia="zh-CN" w:bidi="hi-IN"/>
              </w:rPr>
              <w:t>-</w:t>
            </w:r>
            <w:r w:rsidRPr="000C0072">
              <w:rPr>
                <w:rFonts w:ascii="Times New Roman" w:eastAsia="SimSun" w:hAnsi="Times New Roman" w:cs="Times New Roman"/>
                <w:b/>
                <w:kern w:val="3"/>
                <w:sz w:val="26"/>
                <w:szCs w:val="26"/>
                <w:lang w:val="en-US" w:eastAsia="zh-CN" w:bidi="hi-IN"/>
              </w:rPr>
              <w:t> </w:t>
            </w:r>
            <w:r w:rsidRPr="000C0072">
              <w:rPr>
                <w:rFonts w:ascii="Times New Roman" w:eastAsia="SimSun" w:hAnsi="Times New Roman" w:cs="Times New Roman"/>
                <w:b/>
                <w:kern w:val="3"/>
                <w:sz w:val="26"/>
                <w:szCs w:val="26"/>
                <w:lang w:eastAsia="zh-CN" w:bidi="hi-IN"/>
              </w:rPr>
              <w:t>уполномоченных по кредитованию предприятий АПК по льготной</w:t>
            </w:r>
            <w:r w:rsidRPr="000C0072">
              <w:rPr>
                <w:rFonts w:ascii="Times New Roman" w:eastAsia="SimSun" w:hAnsi="Times New Roman" w:cs="Times New Roman"/>
                <w:kern w:val="3"/>
                <w:sz w:val="26"/>
                <w:szCs w:val="26"/>
                <w:lang w:eastAsia="zh-CN" w:bidi="hi-IN"/>
              </w:rPr>
              <w:t xml:space="preserve"> ставке, что предполагает внесение изменений в постановление Правительства Российской Федерации </w:t>
            </w:r>
            <w:r w:rsidRPr="000C0072">
              <w:rPr>
                <w:rFonts w:ascii="Times New Roman" w:hAnsi="Times New Roman" w:cs="Times New Roman"/>
                <w:sz w:val="26"/>
                <w:szCs w:val="26"/>
              </w:rPr>
              <w:t>от 29.12.2016 № 1528</w:t>
            </w:r>
            <w:r w:rsidRPr="000C0072">
              <w:rPr>
                <w:rStyle w:val="a7"/>
                <w:rFonts w:ascii="Times New Roman" w:hAnsi="Times New Roman" w:cs="Times New Roman"/>
                <w:sz w:val="26"/>
                <w:szCs w:val="26"/>
              </w:rPr>
              <w:footnoteReference w:id="3"/>
            </w:r>
            <w:r w:rsidRPr="000C0072">
              <w:rPr>
                <w:rFonts w:ascii="Times New Roman" w:hAnsi="Times New Roman" w:cs="Times New Roman"/>
                <w:sz w:val="26"/>
                <w:szCs w:val="26"/>
              </w:rPr>
              <w:t xml:space="preserve"> </w:t>
            </w:r>
            <w:r w:rsidRPr="000C0072">
              <w:rPr>
                <w:rFonts w:ascii="Times New Roman" w:eastAsia="SimSun" w:hAnsi="Times New Roman" w:cs="Times New Roman"/>
                <w:kern w:val="3"/>
                <w:sz w:val="26"/>
                <w:szCs w:val="26"/>
                <w:lang w:eastAsia="zh-CN" w:bidi="hi-IN"/>
              </w:rPr>
              <w:t xml:space="preserve">поскольку в настоящее время субсидируются кредиты предприятиям АПК, предоставленные крупнейшими банками и системно значимыми банками. На текущий момент Минсельхозом России в качестве уполномоченных банков отобрано 42 кредитные организации. Расширение списка уполномоченных банков и включение в него </w:t>
            </w:r>
            <w:r w:rsidRPr="000C0072">
              <w:rPr>
                <w:rFonts w:ascii="Times New Roman" w:eastAsia="SimSun" w:hAnsi="Times New Roman" w:cs="Times New Roman"/>
                <w:b/>
                <w:kern w:val="3"/>
                <w:sz w:val="26"/>
                <w:szCs w:val="26"/>
                <w:lang w:eastAsia="zh-CN" w:bidi="hi-IN"/>
              </w:rPr>
              <w:t xml:space="preserve">средних </w:t>
            </w:r>
            <w:r w:rsidRPr="000C0072">
              <w:rPr>
                <w:rFonts w:ascii="Times New Roman" w:eastAsia="SimSun" w:hAnsi="Times New Roman" w:cs="Times New Roman"/>
                <w:kern w:val="3"/>
                <w:sz w:val="26"/>
                <w:szCs w:val="26"/>
                <w:lang w:eastAsia="zh-CN" w:bidi="hi-IN"/>
              </w:rPr>
              <w:t xml:space="preserve">банков и </w:t>
            </w:r>
            <w:r w:rsidRPr="000C0072">
              <w:rPr>
                <w:rFonts w:ascii="Times New Roman" w:eastAsia="SimSun" w:hAnsi="Times New Roman" w:cs="Times New Roman"/>
                <w:b/>
                <w:kern w:val="3"/>
                <w:sz w:val="26"/>
                <w:szCs w:val="26"/>
                <w:lang w:eastAsia="zh-CN" w:bidi="hi-IN"/>
              </w:rPr>
              <w:t>банков с базовой лицензией, прежде всего региональных</w:t>
            </w:r>
            <w:r w:rsidRPr="000C0072">
              <w:rPr>
                <w:rFonts w:ascii="Times New Roman" w:eastAsia="SimSun" w:hAnsi="Times New Roman" w:cs="Times New Roman"/>
                <w:kern w:val="3"/>
                <w:sz w:val="26"/>
                <w:szCs w:val="26"/>
                <w:lang w:eastAsia="zh-CN" w:bidi="hi-IN"/>
              </w:rPr>
              <w:t xml:space="preserve"> которые имеют опыт кредитования местных предприятий АПК, позволит расширить доступность кредитования сельхозпроизводителей, особенно небольших фермерских хозяйств. До настоящего времени указанные предложения Банка России не нашли своего отражения в нормативных правовых актах.</w:t>
            </w:r>
          </w:p>
          <w:p w14:paraId="2C34AC77" w14:textId="241070C6" w:rsidR="006F0B36" w:rsidRPr="000C0072" w:rsidRDefault="006F0B36" w:rsidP="000C0072">
            <w:pPr>
              <w:tabs>
                <w:tab w:val="left" w:pos="763"/>
                <w:tab w:val="left" w:pos="1013"/>
              </w:tabs>
              <w:suppressAutoHyphens/>
              <w:autoSpaceDN w:val="0"/>
              <w:ind w:firstLine="709"/>
              <w:jc w:val="both"/>
              <w:textAlignment w:val="baseline"/>
              <w:rPr>
                <w:rFonts w:ascii="Times New Roman" w:eastAsia="SimSun" w:hAnsi="Times New Roman" w:cs="Times New Roman"/>
                <w:kern w:val="3"/>
                <w:sz w:val="26"/>
                <w:szCs w:val="26"/>
                <w:lang w:eastAsia="zh-CN" w:bidi="hi-IN"/>
              </w:rPr>
            </w:pPr>
            <w:r w:rsidRPr="000C0072">
              <w:rPr>
                <w:rFonts w:ascii="Times New Roman" w:eastAsia="SimSun" w:hAnsi="Times New Roman" w:cs="Times New Roman"/>
                <w:kern w:val="3"/>
                <w:sz w:val="26"/>
                <w:szCs w:val="26"/>
                <w:lang w:eastAsia="zh-CN" w:bidi="hi-IN"/>
              </w:rPr>
              <w:t xml:space="preserve">Банк России и АО «Корпорация «МСП» продолжают совместную реализацию </w:t>
            </w:r>
            <w:r w:rsidRPr="000C0072">
              <w:rPr>
                <w:rFonts w:ascii="Times New Roman" w:eastAsia="SimSun" w:hAnsi="Times New Roman" w:cs="Times New Roman"/>
                <w:b/>
                <w:kern w:val="3"/>
                <w:sz w:val="26"/>
                <w:szCs w:val="26"/>
                <w:lang w:eastAsia="zh-CN" w:bidi="hi-IN"/>
              </w:rPr>
              <w:t xml:space="preserve">Программы стимулирования кредитования субъектов МСП, </w:t>
            </w:r>
            <w:r w:rsidRPr="000C0072">
              <w:rPr>
                <w:rFonts w:ascii="Times New Roman" w:eastAsia="SimSun" w:hAnsi="Times New Roman" w:cs="Times New Roman"/>
                <w:kern w:val="3"/>
                <w:sz w:val="26"/>
                <w:szCs w:val="26"/>
                <w:lang w:eastAsia="zh-CN" w:bidi="hi-IN"/>
              </w:rPr>
              <w:lastRenderedPageBreak/>
              <w:t>предусматривающую предоставление Банком России кредитов, обеспеченных поручительством АО «Корпорация «МСП», по льготной процентной ставке на срок до 3 лет кредитным организациям, являющимся участниками Программы и предоставившим кредиты субъектам МСП.</w:t>
            </w:r>
          </w:p>
          <w:p w14:paraId="7BC911E4" w14:textId="66BCCEBB" w:rsidR="006F0B36" w:rsidRPr="000C0072" w:rsidRDefault="006F0B36" w:rsidP="000C0072">
            <w:pPr>
              <w:tabs>
                <w:tab w:val="left" w:pos="763"/>
                <w:tab w:val="left" w:pos="1013"/>
              </w:tabs>
              <w:suppressAutoHyphens/>
              <w:autoSpaceDN w:val="0"/>
              <w:ind w:firstLine="851"/>
              <w:jc w:val="both"/>
              <w:textAlignment w:val="baseline"/>
              <w:rPr>
                <w:rFonts w:ascii="Times New Roman" w:eastAsia="SimSun" w:hAnsi="Times New Roman" w:cs="Times New Roman"/>
                <w:kern w:val="3"/>
                <w:sz w:val="26"/>
                <w:szCs w:val="26"/>
                <w:lang w:eastAsia="zh-CN" w:bidi="hi-IN"/>
              </w:rPr>
            </w:pPr>
            <w:r w:rsidRPr="000C0072">
              <w:rPr>
                <w:rFonts w:ascii="Times New Roman" w:eastAsia="SimSun" w:hAnsi="Times New Roman" w:cs="Times New Roman"/>
                <w:kern w:val="3"/>
                <w:sz w:val="26"/>
                <w:szCs w:val="26"/>
                <w:lang w:eastAsia="zh-CN" w:bidi="hi-IN"/>
              </w:rPr>
              <w:t>В 2018 году в Программу внесены изменения, предусматривающие,</w:t>
            </w:r>
            <w:r w:rsidRPr="00654E1C">
              <w:rPr>
                <w:rFonts w:ascii="Times New Roman" w:eastAsia="SimSun" w:hAnsi="Times New Roman" w:cs="Times New Roman"/>
                <w:kern w:val="3"/>
                <w:sz w:val="26"/>
                <w:szCs w:val="26"/>
                <w:lang w:eastAsia="zh-CN" w:bidi="hi-IN"/>
              </w:rPr>
              <w:t xml:space="preserve"> </w:t>
            </w:r>
            <w:r w:rsidRPr="000C0072">
              <w:rPr>
                <w:rFonts w:ascii="Times New Roman" w:eastAsia="SimSun" w:hAnsi="Times New Roman" w:cs="Times New Roman"/>
                <w:kern w:val="3"/>
                <w:sz w:val="26"/>
                <w:szCs w:val="26"/>
                <w:lang w:eastAsia="zh-CN" w:bidi="hi-IN"/>
              </w:rPr>
              <w:t xml:space="preserve">что с 01.01.2019 системно значимые кредитные организации не предоставляют кредиты в рамках Программы. При этом предусмотрено </w:t>
            </w:r>
            <w:r w:rsidRPr="000C0072">
              <w:rPr>
                <w:rFonts w:ascii="Times New Roman" w:eastAsia="SimSun" w:hAnsi="Times New Roman" w:cs="Times New Roman"/>
                <w:b/>
                <w:kern w:val="3"/>
                <w:sz w:val="26"/>
                <w:szCs w:val="26"/>
                <w:lang w:eastAsia="zh-CN" w:bidi="hi-IN"/>
              </w:rPr>
              <w:t>участие банков с базовой лицензией</w:t>
            </w:r>
            <w:r w:rsidRPr="000C0072">
              <w:rPr>
                <w:rFonts w:ascii="Times New Roman" w:eastAsia="SimSun" w:hAnsi="Times New Roman" w:cs="Times New Roman"/>
                <w:kern w:val="3"/>
                <w:sz w:val="26"/>
                <w:szCs w:val="26"/>
                <w:lang w:eastAsia="zh-CN" w:bidi="hi-IN"/>
              </w:rPr>
              <w:t>, что позволяет довести финансирование по льготным ставкам до большего числа региональных микро- и малых предприятий. В результате активного взаимодействия Банка России и АО «Корпорация «МСП» число банков – участников Программы существенно увеличилось с 11 в 2016 году до 44 в декабре 2018 года.</w:t>
            </w:r>
          </w:p>
          <w:p w14:paraId="4B96ACE5" w14:textId="238CD71B" w:rsidR="006F0B36" w:rsidRPr="000C0072" w:rsidRDefault="006F0B36" w:rsidP="000C0072">
            <w:pPr>
              <w:autoSpaceDE w:val="0"/>
              <w:autoSpaceDN w:val="0"/>
              <w:adjustRightInd w:val="0"/>
              <w:ind w:firstLine="851"/>
              <w:jc w:val="both"/>
              <w:rPr>
                <w:rFonts w:ascii="Times New Roman" w:hAnsi="Times New Roman" w:cs="Times New Roman"/>
                <w:bCs/>
                <w:sz w:val="26"/>
                <w:szCs w:val="26"/>
              </w:rPr>
            </w:pPr>
            <w:r w:rsidRPr="000C0072">
              <w:rPr>
                <w:rFonts w:ascii="Times New Roman" w:eastAsia="SimSun" w:hAnsi="Times New Roman" w:cs="Times New Roman"/>
                <w:b/>
                <w:kern w:val="3"/>
                <w:sz w:val="26"/>
                <w:szCs w:val="26"/>
                <w:lang w:eastAsia="zh-CN" w:bidi="hi-IN"/>
              </w:rPr>
              <w:t xml:space="preserve">2. В отношении обеспечения доступа широкого круга банков к участию в конкурсах и аукционах, проводимых в рамках государственных и муниципальных контрактов в рамках реализации положений </w:t>
            </w:r>
            <w:r w:rsidRPr="000C0072">
              <w:rPr>
                <w:rFonts w:ascii="Times New Roman" w:hAnsi="Times New Roman" w:cs="Times New Roman"/>
                <w:b/>
                <w:bCs/>
                <w:sz w:val="26"/>
                <w:szCs w:val="26"/>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r w:rsidRPr="000C0072">
              <w:rPr>
                <w:rFonts w:ascii="Times New Roman" w:hAnsi="Times New Roman" w:cs="Times New Roman"/>
                <w:bCs/>
                <w:sz w:val="26"/>
                <w:szCs w:val="26"/>
              </w:rPr>
              <w:t>Банк России проводит работу совместно с Минфином России.</w:t>
            </w:r>
          </w:p>
          <w:p w14:paraId="3597B917" w14:textId="6D24EBD1" w:rsidR="006F0B36" w:rsidRDefault="006F0B36" w:rsidP="000C0072">
            <w:pPr>
              <w:autoSpaceDE w:val="0"/>
              <w:autoSpaceDN w:val="0"/>
              <w:adjustRightInd w:val="0"/>
              <w:ind w:firstLine="851"/>
              <w:jc w:val="both"/>
              <w:rPr>
                <w:rFonts w:ascii="Times New Roman" w:hAnsi="Times New Roman" w:cs="Times New Roman"/>
                <w:bCs/>
                <w:sz w:val="26"/>
                <w:szCs w:val="26"/>
              </w:rPr>
            </w:pPr>
            <w:r w:rsidRPr="000C0072">
              <w:rPr>
                <w:rFonts w:ascii="Times New Roman" w:eastAsia="SimSun" w:hAnsi="Times New Roman" w:cs="Times New Roman"/>
                <w:kern w:val="3"/>
                <w:sz w:val="26"/>
                <w:szCs w:val="26"/>
                <w:lang w:eastAsia="zh-CN" w:bidi="hi-IN"/>
              </w:rPr>
              <w:t>В настоящее время требования к кредитным организациям аналогичны требованиям, используемым при размещении средств федерального бюджета на депозиты в кредитных организациях, что значительно сужает круг кредитных организаций к участию в конкурсах и аукционах.</w:t>
            </w:r>
          </w:p>
          <w:p w14:paraId="2BF47A22" w14:textId="3C7795EE" w:rsidR="006F0B36" w:rsidRDefault="006F0B36" w:rsidP="000C0072">
            <w:pPr>
              <w:autoSpaceDE w:val="0"/>
              <w:autoSpaceDN w:val="0"/>
              <w:adjustRightInd w:val="0"/>
              <w:ind w:firstLine="851"/>
              <w:jc w:val="both"/>
              <w:rPr>
                <w:rFonts w:ascii="Times New Roman" w:hAnsi="Times New Roman" w:cs="Times New Roman"/>
                <w:bCs/>
                <w:sz w:val="26"/>
                <w:szCs w:val="26"/>
              </w:rPr>
            </w:pPr>
            <w:r w:rsidRPr="000C0072">
              <w:rPr>
                <w:rFonts w:ascii="Times New Roman" w:eastAsia="SimSun" w:hAnsi="Times New Roman" w:cs="Times New Roman"/>
                <w:kern w:val="3"/>
                <w:sz w:val="26"/>
                <w:szCs w:val="26"/>
                <w:lang w:eastAsia="zh-CN" w:bidi="hi-IN"/>
              </w:rPr>
              <w:t>Банк России неоднократно направлял в Минфин России предложения о снижении требования к размеру собственных средств (капитала) банка до 1 млрд рублей и установлении требования о наличии кредитного рейтинга на уровне не ниже «А-(</w:t>
            </w:r>
            <w:r w:rsidRPr="000C0072">
              <w:rPr>
                <w:rFonts w:ascii="Times New Roman" w:eastAsia="SimSun" w:hAnsi="Times New Roman" w:cs="Times New Roman"/>
                <w:kern w:val="3"/>
                <w:sz w:val="26"/>
                <w:szCs w:val="26"/>
                <w:lang w:val="en-US" w:eastAsia="zh-CN" w:bidi="hi-IN"/>
              </w:rPr>
              <w:t>RU</w:t>
            </w:r>
            <w:r w:rsidRPr="000C0072">
              <w:rPr>
                <w:rFonts w:ascii="Times New Roman" w:eastAsia="SimSun" w:hAnsi="Times New Roman" w:cs="Times New Roman"/>
                <w:kern w:val="3"/>
                <w:sz w:val="26"/>
                <w:szCs w:val="26"/>
                <w:lang w:eastAsia="zh-CN" w:bidi="hi-IN"/>
              </w:rPr>
              <w:t xml:space="preserve">)». При этом предлагалось в случае присвоения кредитной организации рейтингов одновременно несколькими рейтинговыми </w:t>
            </w:r>
            <w:r w:rsidRPr="000C0072">
              <w:rPr>
                <w:rFonts w:ascii="Times New Roman" w:eastAsia="SimSun" w:hAnsi="Times New Roman" w:cs="Times New Roman"/>
                <w:kern w:val="3"/>
                <w:sz w:val="26"/>
                <w:szCs w:val="26"/>
                <w:lang w:eastAsia="zh-CN" w:bidi="hi-IN"/>
              </w:rPr>
              <w:lastRenderedPageBreak/>
              <w:t xml:space="preserve">агентствами целесообразно учитывать наименьший уровень рейтинга </w:t>
            </w:r>
            <w:r w:rsidR="00617995">
              <w:rPr>
                <w:rFonts w:ascii="Times New Roman" w:eastAsia="SimSun" w:hAnsi="Times New Roman" w:cs="Times New Roman"/>
                <w:kern w:val="3"/>
                <w:sz w:val="26"/>
                <w:szCs w:val="26"/>
                <w:lang w:eastAsia="zh-CN" w:bidi="hi-IN"/>
              </w:rPr>
              <w:br/>
            </w:r>
            <w:r w:rsidRPr="000C0072">
              <w:rPr>
                <w:rFonts w:ascii="Times New Roman" w:eastAsia="SimSun" w:hAnsi="Times New Roman" w:cs="Times New Roman"/>
                <w:kern w:val="3"/>
                <w:sz w:val="26"/>
                <w:szCs w:val="26"/>
                <w:lang w:eastAsia="zh-CN" w:bidi="hi-IN"/>
              </w:rPr>
              <w:t xml:space="preserve">из присвоенных. </w:t>
            </w:r>
          </w:p>
          <w:p w14:paraId="41D3B0CC" w14:textId="1C5AD67A" w:rsidR="006F0B36" w:rsidRDefault="006F0B36" w:rsidP="000C0072">
            <w:pPr>
              <w:autoSpaceDE w:val="0"/>
              <w:autoSpaceDN w:val="0"/>
              <w:adjustRightInd w:val="0"/>
              <w:ind w:firstLine="851"/>
              <w:jc w:val="both"/>
              <w:rPr>
                <w:rFonts w:ascii="Times New Roman" w:hAnsi="Times New Roman" w:cs="Times New Roman"/>
                <w:bCs/>
                <w:sz w:val="26"/>
                <w:szCs w:val="26"/>
              </w:rPr>
            </w:pPr>
            <w:r w:rsidRPr="000C0072">
              <w:rPr>
                <w:rFonts w:ascii="Times New Roman" w:eastAsia="SimSun" w:hAnsi="Times New Roman" w:cs="Times New Roman"/>
                <w:kern w:val="3"/>
                <w:sz w:val="26"/>
                <w:szCs w:val="26"/>
                <w:lang w:eastAsia="zh-CN" w:bidi="hi-IN"/>
              </w:rPr>
              <w:t xml:space="preserve">В рамках проводимой Минфином России работы над законопроектом </w:t>
            </w:r>
            <w:r w:rsidRPr="000C0072">
              <w:rPr>
                <w:rFonts w:ascii="Times New Roman" w:hAnsi="Times New Roman" w:cs="Times New Roman"/>
                <w:sz w:val="26"/>
                <w:szCs w:val="26"/>
              </w:rPr>
              <w:t>№ 301875-7 «О внесении изменений в Федеральный закон «О закупках товаров, работ, услуг отдельными видами юридических лиц» (в части установления требований к содержанию и составу заявки на участие в закупке, участниками которой могут быть только субъекты малого и среднего предпринимательства)» Минфином России рассматривается вопрос об отказе от привязки к требованиям, используемым при размещении средств федерального бюджета.</w:t>
            </w:r>
          </w:p>
          <w:p w14:paraId="732867C9" w14:textId="7132574D" w:rsidR="006F0B36" w:rsidRPr="000C0072" w:rsidRDefault="006F0B36" w:rsidP="000C0072">
            <w:pPr>
              <w:autoSpaceDE w:val="0"/>
              <w:autoSpaceDN w:val="0"/>
              <w:adjustRightInd w:val="0"/>
              <w:ind w:firstLine="851"/>
              <w:jc w:val="both"/>
              <w:rPr>
                <w:rFonts w:ascii="Times New Roman" w:hAnsi="Times New Roman" w:cs="Times New Roman"/>
                <w:bCs/>
                <w:sz w:val="26"/>
                <w:szCs w:val="26"/>
              </w:rPr>
            </w:pPr>
            <w:r w:rsidRPr="000C0072">
              <w:rPr>
                <w:rFonts w:ascii="Times New Roman" w:hAnsi="Times New Roman" w:cs="Times New Roman"/>
                <w:b/>
                <w:kern w:val="3"/>
                <w:sz w:val="26"/>
                <w:szCs w:val="26"/>
                <w:lang w:eastAsia="zh-CN" w:bidi="hi-IN"/>
              </w:rPr>
              <w:t>3. Банк России поддерживает введение лимитов при размещении средств для отдельных государственных программ, поскольку</w:t>
            </w:r>
            <w:r w:rsidRPr="000C0072">
              <w:rPr>
                <w:rFonts w:ascii="Times New Roman" w:hAnsi="Times New Roman" w:cs="Times New Roman"/>
                <w:kern w:val="3"/>
                <w:sz w:val="26"/>
                <w:szCs w:val="26"/>
                <w:lang w:eastAsia="zh-CN" w:bidi="hi-IN"/>
              </w:rPr>
              <w:t xml:space="preserve"> установление предельных величин размещения средств в одной кредитной организации и (или) банковской группе будет способствовать минимизации рисков.</w:t>
            </w:r>
          </w:p>
          <w:p w14:paraId="61141E22" w14:textId="63E2BFA3" w:rsidR="006F0B36" w:rsidRPr="002F0BB6" w:rsidRDefault="006F0B36" w:rsidP="001E7A90">
            <w:pPr>
              <w:autoSpaceDE w:val="0"/>
              <w:autoSpaceDN w:val="0"/>
              <w:adjustRightInd w:val="0"/>
              <w:spacing w:after="120"/>
              <w:ind w:firstLine="851"/>
              <w:jc w:val="both"/>
              <w:rPr>
                <w:rFonts w:ascii="Times New Roman" w:hAnsi="Times New Roman" w:cs="Times New Roman"/>
                <w:sz w:val="26"/>
                <w:szCs w:val="26"/>
              </w:rPr>
            </w:pPr>
            <w:r w:rsidRPr="000C0072">
              <w:rPr>
                <w:rFonts w:ascii="Times New Roman" w:hAnsi="Times New Roman" w:cs="Times New Roman"/>
                <w:kern w:val="3"/>
                <w:sz w:val="26"/>
                <w:szCs w:val="26"/>
                <w:lang w:eastAsia="zh-CN" w:bidi="hi-IN"/>
              </w:rPr>
              <w:t xml:space="preserve">При определении максимальной суммы </w:t>
            </w:r>
            <w:r w:rsidRPr="000C0072">
              <w:rPr>
                <w:rFonts w:ascii="Times New Roman" w:eastAsia="SimSun" w:hAnsi="Times New Roman" w:cs="Times New Roman"/>
                <w:sz w:val="26"/>
                <w:szCs w:val="26"/>
                <w:lang w:eastAsia="zh-CN"/>
              </w:rPr>
              <w:t>одной банковской гарантии</w:t>
            </w:r>
            <w:r w:rsidRPr="006F0B36">
              <w:rPr>
                <w:rFonts w:ascii="Times New Roman" w:eastAsia="SimSun" w:hAnsi="Times New Roman" w:cs="Times New Roman"/>
                <w:sz w:val="26"/>
                <w:szCs w:val="26"/>
                <w:lang w:eastAsia="zh-CN"/>
              </w:rPr>
              <w:t xml:space="preserve"> </w:t>
            </w:r>
            <w:r w:rsidRPr="000C0072">
              <w:rPr>
                <w:rFonts w:ascii="Times New Roman" w:eastAsia="SimSun" w:hAnsi="Times New Roman" w:cs="Times New Roman"/>
                <w:sz w:val="26"/>
                <w:szCs w:val="26"/>
                <w:lang w:eastAsia="zh-CN"/>
              </w:rPr>
              <w:t>и максимальной суммы всех одновременно действующих</w:t>
            </w:r>
            <w:r w:rsidRPr="000C0072">
              <w:rPr>
                <w:rFonts w:ascii="Times New Roman" w:hAnsi="Times New Roman" w:cs="Times New Roman"/>
                <w:kern w:val="3"/>
                <w:sz w:val="26"/>
                <w:szCs w:val="26"/>
                <w:lang w:eastAsia="zh-CN" w:bidi="hi-IN"/>
              </w:rPr>
              <w:t xml:space="preserve"> банковских гарантий, выдаваемых банками в целях уплаты налоговых и таможенных платежей, такие максимальные суммы устанавливаются в зависимости от уровня кредитного рейтинга и величины собственных средств (капитала).</w:t>
            </w:r>
          </w:p>
        </w:tc>
      </w:tr>
      <w:tr w:rsidR="006F0B36" w:rsidRPr="002F0BB6" w14:paraId="5A460BEF" w14:textId="77777777" w:rsidTr="006F0B36">
        <w:trPr>
          <w:trHeight w:val="504"/>
        </w:trPr>
        <w:tc>
          <w:tcPr>
            <w:tcW w:w="5503" w:type="dxa"/>
          </w:tcPr>
          <w:p w14:paraId="73807563" w14:textId="77777777" w:rsidR="006F0B36" w:rsidRPr="006F0B36" w:rsidRDefault="006F0B36" w:rsidP="006F0B36">
            <w:pPr>
              <w:pStyle w:val="a3"/>
              <w:numPr>
                <w:ilvl w:val="0"/>
                <w:numId w:val="38"/>
              </w:numPr>
              <w:spacing w:before="120"/>
              <w:ind w:left="0" w:firstLine="737"/>
              <w:jc w:val="both"/>
              <w:rPr>
                <w:rFonts w:ascii="Times New Roman" w:hAnsi="Times New Roman" w:cs="Times New Roman"/>
                <w:sz w:val="26"/>
                <w:szCs w:val="26"/>
              </w:rPr>
            </w:pPr>
            <w:r w:rsidRPr="006F0B36">
              <w:rPr>
                <w:rFonts w:ascii="Times New Roman" w:hAnsi="Times New Roman" w:cs="Times New Roman"/>
                <w:sz w:val="26"/>
                <w:szCs w:val="26"/>
              </w:rPr>
              <w:lastRenderedPageBreak/>
              <w:t xml:space="preserve">В 2018 году Банк России продолжил интенсивную работу по совершенствованию регулирования, зачастую не предоставляя кредитным организациям достаточных возможностей для сроков внедрения (например, в части введения механизма удаленной идентификации, противодействия хищению денежных средств, изменений расчета капитала и экономических нормативов), что приводит к дополнительным </w:t>
            </w:r>
            <w:r w:rsidRPr="006F0B36">
              <w:rPr>
                <w:rFonts w:ascii="Times New Roman" w:hAnsi="Times New Roman" w:cs="Times New Roman"/>
                <w:sz w:val="26"/>
                <w:szCs w:val="26"/>
              </w:rPr>
              <w:lastRenderedPageBreak/>
              <w:t>издержкам на стороне кредитных организаций, росту неопределенности. В связи с чем предлагается рассмотреть следующие предложения:</w:t>
            </w:r>
          </w:p>
          <w:p w14:paraId="22243D65" w14:textId="77777777" w:rsidR="006F0B36" w:rsidRDefault="006F0B36" w:rsidP="001C000D">
            <w:pPr>
              <w:ind w:firstLine="709"/>
              <w:jc w:val="both"/>
              <w:rPr>
                <w:rFonts w:ascii="Times New Roman" w:hAnsi="Times New Roman" w:cs="Times New Roman"/>
                <w:sz w:val="26"/>
                <w:szCs w:val="26"/>
              </w:rPr>
            </w:pPr>
            <w:r w:rsidRPr="009147F0">
              <w:rPr>
                <w:rFonts w:ascii="Times New Roman" w:hAnsi="Times New Roman" w:cs="Times New Roman"/>
                <w:sz w:val="26"/>
                <w:szCs w:val="26"/>
              </w:rPr>
              <w:t>Реализовать процедуру оценки результативности нормативных актов Банка России с точки зрения достижения целей, ради которых эти документы утверждены;</w:t>
            </w:r>
          </w:p>
          <w:p w14:paraId="63540ADB" w14:textId="5F640712" w:rsidR="006F0B36" w:rsidRDefault="006F0B36" w:rsidP="001C000D">
            <w:pPr>
              <w:ind w:firstLine="709"/>
              <w:jc w:val="both"/>
              <w:rPr>
                <w:rFonts w:ascii="Times New Roman" w:hAnsi="Times New Roman" w:cs="Times New Roman"/>
                <w:sz w:val="26"/>
                <w:szCs w:val="26"/>
              </w:rPr>
            </w:pPr>
            <w:r w:rsidRPr="002C3728">
              <w:rPr>
                <w:rFonts w:ascii="Times New Roman" w:hAnsi="Times New Roman" w:cs="Times New Roman"/>
                <w:sz w:val="26"/>
                <w:szCs w:val="26"/>
              </w:rPr>
              <w:t xml:space="preserve">В обязательном порядке разрабатывать и публиковать проекты подзаконных актов, предусмотренных Законопроектами, прошедшими, например, второе чтение </w:t>
            </w:r>
            <w:r>
              <w:rPr>
                <w:rFonts w:ascii="Times New Roman" w:hAnsi="Times New Roman" w:cs="Times New Roman"/>
                <w:sz w:val="26"/>
                <w:szCs w:val="26"/>
              </w:rPr>
              <w:br/>
            </w:r>
            <w:r w:rsidRPr="002C3728">
              <w:rPr>
                <w:rFonts w:ascii="Times New Roman" w:hAnsi="Times New Roman" w:cs="Times New Roman"/>
                <w:sz w:val="26"/>
                <w:szCs w:val="26"/>
              </w:rPr>
              <w:t xml:space="preserve">в Государственной Думе ФС РФ. Альтернативно: в случаях, когда подзаконные акты в развитие федеральных законов публикуются с опозданием, предлагается в обязательном порядке извещать о неприменении мер воздействия </w:t>
            </w:r>
            <w:r>
              <w:rPr>
                <w:rFonts w:ascii="Times New Roman" w:hAnsi="Times New Roman" w:cs="Times New Roman"/>
                <w:sz w:val="26"/>
                <w:szCs w:val="26"/>
              </w:rPr>
              <w:br/>
            </w:r>
            <w:r w:rsidRPr="002C3728">
              <w:rPr>
                <w:rFonts w:ascii="Times New Roman" w:hAnsi="Times New Roman" w:cs="Times New Roman"/>
                <w:sz w:val="26"/>
                <w:szCs w:val="26"/>
              </w:rPr>
              <w:t>к поднадзорным;</w:t>
            </w:r>
          </w:p>
          <w:p w14:paraId="34935F9E" w14:textId="29B0B107" w:rsidR="006F0B36" w:rsidRDefault="006F0B36" w:rsidP="001E7A90">
            <w:pPr>
              <w:ind w:firstLine="709"/>
              <w:jc w:val="both"/>
              <w:rPr>
                <w:rFonts w:ascii="Times New Roman" w:hAnsi="Times New Roman" w:cs="Times New Roman"/>
                <w:sz w:val="26"/>
                <w:szCs w:val="26"/>
              </w:rPr>
            </w:pPr>
            <w:r w:rsidRPr="002C3728">
              <w:rPr>
                <w:rFonts w:ascii="Times New Roman" w:hAnsi="Times New Roman" w:cs="Times New Roman"/>
                <w:sz w:val="26"/>
                <w:szCs w:val="26"/>
              </w:rPr>
              <w:t xml:space="preserve">При оценке регулирующего воздействия кредитные организации должны иметь возможность осуществить не только правовую оценку проектов нормативных актов, </w:t>
            </w:r>
            <w:r>
              <w:rPr>
                <w:rFonts w:ascii="Times New Roman" w:hAnsi="Times New Roman" w:cs="Times New Roman"/>
                <w:sz w:val="26"/>
                <w:szCs w:val="26"/>
              </w:rPr>
              <w:br/>
            </w:r>
            <w:r w:rsidRPr="002C3728">
              <w:rPr>
                <w:rFonts w:ascii="Times New Roman" w:hAnsi="Times New Roman" w:cs="Times New Roman"/>
                <w:sz w:val="26"/>
                <w:szCs w:val="26"/>
              </w:rPr>
              <w:t xml:space="preserve">но и экономическую, технологическую оценку, в </w:t>
            </w:r>
            <w:proofErr w:type="spellStart"/>
            <w:r w:rsidRPr="002C3728">
              <w:rPr>
                <w:rFonts w:ascii="Times New Roman" w:hAnsi="Times New Roman" w:cs="Times New Roman"/>
                <w:sz w:val="26"/>
                <w:szCs w:val="26"/>
              </w:rPr>
              <w:t>т.ч</w:t>
            </w:r>
            <w:proofErr w:type="spellEnd"/>
            <w:r w:rsidRPr="002C3728">
              <w:rPr>
                <w:rFonts w:ascii="Times New Roman" w:hAnsi="Times New Roman" w:cs="Times New Roman"/>
                <w:sz w:val="26"/>
                <w:szCs w:val="26"/>
              </w:rPr>
              <w:t>. в части расходов кредитных организаций для исполнения устанавливаемых требований, в связи с чем публиковать изменения нормативных документов Банка России не позднее, чем за три месяца до их введения в действие.</w:t>
            </w:r>
          </w:p>
        </w:tc>
        <w:tc>
          <w:tcPr>
            <w:tcW w:w="8786" w:type="dxa"/>
          </w:tcPr>
          <w:p w14:paraId="62BFDDB1" w14:textId="77777777"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lastRenderedPageBreak/>
              <w:t>1. В настоящее время срок вступления в силу определяется индивидуально в отношении каждого нормативного акта Банка России на основании оценки времени, необходимого участникам рынка для его применения, в том числе с учётом предполагаемых объёмов доработки автоматизированных банковских систем. С целью минимизации рисков банков в рамках совершенствования регулирования Банк России:</w:t>
            </w:r>
          </w:p>
          <w:p w14:paraId="75A8C6E2" w14:textId="0CDECEB2"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t>– информирует участников рынка о предполагаемых изменениях нормативной базы (размещение пресс-релизов и консультативных докладов);</w:t>
            </w:r>
          </w:p>
          <w:p w14:paraId="66E2C868" w14:textId="5AAC4D84"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t>– в отдельных случаях привлекает участников рынка к работе над проектами;</w:t>
            </w:r>
          </w:p>
          <w:p w14:paraId="252F24CF" w14:textId="77777777"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lastRenderedPageBreak/>
              <w:t>– размещает проекты нормативных актов для публичного обсуждения в рамках процедуры ОРВ;</w:t>
            </w:r>
          </w:p>
          <w:p w14:paraId="1CA3E9AD" w14:textId="77777777"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sym w:font="Symbol" w:char="F02D"/>
            </w:r>
            <w:r w:rsidRPr="00BE5C51">
              <w:rPr>
                <w:rFonts w:ascii="Times New Roman" w:hAnsi="Times New Roman" w:cs="Times New Roman"/>
                <w:sz w:val="26"/>
                <w:szCs w:val="26"/>
              </w:rPr>
              <w:t xml:space="preserve"> взаимодействует с рынком, в том числе в целях обсуждения готовности кредитных организаций обеспечить своевременное применение нормативных актов;</w:t>
            </w:r>
          </w:p>
          <w:p w14:paraId="57484878" w14:textId="77777777"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t>– устанавливает увеличенные сроки вступления в силу значительных по объему изменений, чтобы участники рынка могли к ним адаптироваться (по общему правилу срок вступления в силу акта - 10 дней);</w:t>
            </w:r>
          </w:p>
          <w:p w14:paraId="0B110D65" w14:textId="77777777"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t>– издает информационные письма с рекомендациями участникам рынка по применению новых положений нормативных актов.</w:t>
            </w:r>
          </w:p>
          <w:p w14:paraId="283BA174" w14:textId="77777777" w:rsidR="006F0B36" w:rsidRPr="00BE5C51" w:rsidRDefault="006F0B36" w:rsidP="001C000D">
            <w:pPr>
              <w:ind w:firstLine="709"/>
              <w:jc w:val="both"/>
              <w:rPr>
                <w:rFonts w:ascii="Times New Roman" w:hAnsi="Times New Roman" w:cs="Times New Roman"/>
                <w:sz w:val="26"/>
                <w:szCs w:val="26"/>
              </w:rPr>
            </w:pPr>
            <w:r w:rsidRPr="00BE5C51">
              <w:rPr>
                <w:rFonts w:ascii="Times New Roman" w:hAnsi="Times New Roman" w:cs="Times New Roman"/>
                <w:sz w:val="26"/>
                <w:szCs w:val="26"/>
              </w:rPr>
              <w:t xml:space="preserve">В связи с изложенным полагаем, что Банк России учитывает мнение банковского сообщества при оценке рисков, возникающих в связи с изменением регулирования в рамках существующей практики взаимодействия с участниками рынка. </w:t>
            </w:r>
          </w:p>
          <w:p w14:paraId="12AD96BE" w14:textId="1F26AC67" w:rsidR="006F0B36" w:rsidRPr="00BE5C51" w:rsidRDefault="006F0B36" w:rsidP="001C000D">
            <w:pPr>
              <w:ind w:firstLine="709"/>
              <w:jc w:val="both"/>
              <w:rPr>
                <w:rFonts w:ascii="Times New Roman" w:hAnsi="Times New Roman" w:cs="Times New Roman"/>
                <w:sz w:val="26"/>
                <w:szCs w:val="26"/>
                <w:lang w:bidi="ru-RU"/>
              </w:rPr>
            </w:pPr>
            <w:r w:rsidRPr="00BE5C51">
              <w:rPr>
                <w:rFonts w:ascii="Times New Roman" w:hAnsi="Times New Roman" w:cs="Times New Roman"/>
                <w:sz w:val="26"/>
                <w:szCs w:val="26"/>
              </w:rPr>
              <w:t xml:space="preserve">2. </w:t>
            </w:r>
            <w:r w:rsidRPr="00BE5C51">
              <w:rPr>
                <w:rFonts w:ascii="Times New Roman" w:hAnsi="Times New Roman" w:cs="Times New Roman"/>
                <w:sz w:val="26"/>
                <w:szCs w:val="26"/>
                <w:lang w:bidi="ru-RU"/>
              </w:rPr>
              <w:t>Из полученных материалов не представляется возможным сделать вывод о том, что именно понимается под «оценкой результативности нормативных актов».</w:t>
            </w:r>
            <w:r w:rsidRPr="00BE5C51">
              <w:rPr>
                <w:rFonts w:ascii="Times New Roman" w:hAnsi="Times New Roman" w:cs="Times New Roman"/>
                <w:sz w:val="26"/>
                <w:szCs w:val="26"/>
              </w:rPr>
              <w:t xml:space="preserve"> </w:t>
            </w:r>
            <w:r w:rsidRPr="00BE5C51">
              <w:rPr>
                <w:rFonts w:ascii="Times New Roman" w:hAnsi="Times New Roman" w:cs="Times New Roman"/>
                <w:sz w:val="26"/>
                <w:szCs w:val="26"/>
                <w:lang w:bidi="ru-RU"/>
              </w:rPr>
              <w:t xml:space="preserve">Вместе с тем, ранее Банком </w:t>
            </w:r>
            <w:r>
              <w:rPr>
                <w:rFonts w:ascii="Times New Roman" w:hAnsi="Times New Roman" w:cs="Times New Roman"/>
                <w:sz w:val="26"/>
                <w:szCs w:val="26"/>
                <w:lang w:bidi="ru-RU"/>
              </w:rPr>
              <w:t>России прорабатывалась концепция</w:t>
            </w:r>
            <w:r w:rsidRPr="00BE5C51">
              <w:rPr>
                <w:rFonts w:ascii="Times New Roman" w:hAnsi="Times New Roman" w:cs="Times New Roman"/>
                <w:sz w:val="26"/>
                <w:szCs w:val="26"/>
                <w:lang w:bidi="ru-RU"/>
              </w:rPr>
              <w:t xml:space="preserve"> «оценки фактического воздействия</w:t>
            </w:r>
            <w:r>
              <w:rPr>
                <w:rFonts w:ascii="Times New Roman" w:hAnsi="Times New Roman" w:cs="Times New Roman"/>
                <w:sz w:val="26"/>
                <w:szCs w:val="26"/>
                <w:lang w:bidi="ru-RU"/>
              </w:rPr>
              <w:t>» (ОФВ)</w:t>
            </w:r>
            <w:r w:rsidRPr="00BE5C51">
              <w:rPr>
                <w:rFonts w:ascii="Times New Roman" w:hAnsi="Times New Roman" w:cs="Times New Roman"/>
                <w:sz w:val="26"/>
                <w:szCs w:val="26"/>
                <w:lang w:bidi="ru-RU"/>
              </w:rPr>
              <w:t xml:space="preserve"> нормативных актов в области финансового</w:t>
            </w:r>
            <w:r>
              <w:rPr>
                <w:rFonts w:ascii="Times New Roman" w:hAnsi="Times New Roman" w:cs="Times New Roman"/>
                <w:sz w:val="26"/>
                <w:szCs w:val="26"/>
                <w:lang w:bidi="ru-RU"/>
              </w:rPr>
              <w:t xml:space="preserve"> рынка, предусматривающая</w:t>
            </w:r>
            <w:r w:rsidRPr="00BE5C51">
              <w:rPr>
                <w:rFonts w:ascii="Times New Roman" w:hAnsi="Times New Roman" w:cs="Times New Roman"/>
                <w:sz w:val="26"/>
                <w:szCs w:val="26"/>
                <w:lang w:bidi="ru-RU"/>
              </w:rPr>
              <w:t xml:space="preserve"> анализ достижения целей регулирования и его эффективности, а также выявление негативных последствий его принятия. </w:t>
            </w:r>
          </w:p>
          <w:p w14:paraId="6D9C5996" w14:textId="35CE6C36" w:rsidR="006F0B36" w:rsidRDefault="006F0B36" w:rsidP="00C32905">
            <w:pPr>
              <w:ind w:firstLine="709"/>
              <w:jc w:val="both"/>
              <w:rPr>
                <w:rFonts w:ascii="Times New Roman" w:hAnsi="Times New Roman" w:cs="Times New Roman"/>
                <w:sz w:val="26"/>
                <w:szCs w:val="26"/>
              </w:rPr>
            </w:pPr>
            <w:r>
              <w:rPr>
                <w:rFonts w:ascii="Times New Roman" w:hAnsi="Times New Roman" w:cs="Times New Roman"/>
                <w:sz w:val="26"/>
                <w:szCs w:val="26"/>
              </w:rPr>
              <w:t xml:space="preserve">Одновременно отметим, </w:t>
            </w:r>
            <w:r w:rsidRPr="00BE5C51">
              <w:rPr>
                <w:rFonts w:ascii="Times New Roman" w:hAnsi="Times New Roman" w:cs="Times New Roman"/>
                <w:sz w:val="26"/>
                <w:szCs w:val="26"/>
              </w:rPr>
              <w:t>что</w:t>
            </w:r>
            <w:r>
              <w:rPr>
                <w:rFonts w:ascii="Times New Roman" w:hAnsi="Times New Roman" w:cs="Times New Roman"/>
                <w:sz w:val="26"/>
                <w:szCs w:val="26"/>
              </w:rPr>
              <w:t>, по нашему мнению,</w:t>
            </w:r>
            <w:r w:rsidRPr="00BE5C51">
              <w:rPr>
                <w:rFonts w:ascii="Times New Roman" w:hAnsi="Times New Roman" w:cs="Times New Roman"/>
                <w:sz w:val="26"/>
                <w:szCs w:val="26"/>
              </w:rPr>
              <w:t xml:space="preserve"> оценка банковского регулирования должна осуществляться с позиции эффективности его применения в целях надзора для ограничения рисков поднадзорных банков. </w:t>
            </w:r>
          </w:p>
          <w:p w14:paraId="14C81122" w14:textId="2225B639" w:rsidR="006F0B36" w:rsidRPr="002F0BB6" w:rsidRDefault="006F0B36" w:rsidP="006F0B36">
            <w:pPr>
              <w:spacing w:after="120"/>
              <w:ind w:firstLine="709"/>
              <w:jc w:val="both"/>
              <w:rPr>
                <w:rFonts w:ascii="Times New Roman" w:hAnsi="Times New Roman" w:cs="Times New Roman"/>
                <w:sz w:val="26"/>
                <w:szCs w:val="26"/>
              </w:rPr>
            </w:pPr>
            <w:r w:rsidRPr="00BE5C51">
              <w:rPr>
                <w:rFonts w:ascii="Times New Roman" w:hAnsi="Times New Roman" w:cs="Times New Roman"/>
                <w:sz w:val="26"/>
                <w:szCs w:val="26"/>
              </w:rPr>
              <w:t>Кроме того, большинство нормативных актов в области банковского регулирования реализуют положения документов БКБН в рамках выполнения Банком России своих обязательств. Соответствие банковского регулирования в РФ подходам БКБН являются важной составляющей обеспечения конкурентоспособности российских банков на международном рынке.</w:t>
            </w:r>
          </w:p>
        </w:tc>
      </w:tr>
    </w:tbl>
    <w:p w14:paraId="2B862330" w14:textId="10752B5F" w:rsidR="0033563C" w:rsidRPr="001E7A90" w:rsidRDefault="0033563C" w:rsidP="002F0BB6">
      <w:pPr>
        <w:spacing w:after="240" w:line="240" w:lineRule="auto"/>
        <w:ind w:firstLine="709"/>
        <w:jc w:val="both"/>
        <w:rPr>
          <w:rFonts w:ascii="Times New Roman" w:hAnsi="Times New Roman" w:cs="Times New Roman"/>
          <w:sz w:val="2"/>
          <w:szCs w:val="2"/>
        </w:rPr>
      </w:pPr>
      <w:bookmarkStart w:id="1" w:name="_GoBack"/>
      <w:bookmarkEnd w:id="1"/>
    </w:p>
    <w:sectPr w:rsidR="0033563C" w:rsidRPr="001E7A90" w:rsidSect="002F0BB6">
      <w:footerReference w:type="default" r:id="rId8"/>
      <w:footerReference w:type="firs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1E35" w14:textId="77777777" w:rsidR="00262515" w:rsidRDefault="00262515" w:rsidP="001E3921">
      <w:pPr>
        <w:spacing w:after="0" w:line="240" w:lineRule="auto"/>
      </w:pPr>
      <w:r>
        <w:separator/>
      </w:r>
    </w:p>
  </w:endnote>
  <w:endnote w:type="continuationSeparator" w:id="0">
    <w:p w14:paraId="3F0B1EF7" w14:textId="77777777" w:rsidR="00262515" w:rsidRDefault="00262515" w:rsidP="001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93505479"/>
      <w:docPartObj>
        <w:docPartGallery w:val="Page Numbers (Bottom of Page)"/>
        <w:docPartUnique/>
      </w:docPartObj>
    </w:sdtPr>
    <w:sdtEndPr/>
    <w:sdtContent>
      <w:p w14:paraId="5B14C051" w14:textId="68E6AA31" w:rsidR="006D2AD0" w:rsidRPr="006D2AD0" w:rsidRDefault="006D2AD0" w:rsidP="0035529D">
        <w:pPr>
          <w:pStyle w:val="ad"/>
          <w:jc w:val="right"/>
          <w:rPr>
            <w:rFonts w:ascii="Times New Roman" w:hAnsi="Times New Roman" w:cs="Times New Roman"/>
          </w:rPr>
        </w:pPr>
        <w:r w:rsidRPr="006D2AD0">
          <w:rPr>
            <w:rFonts w:ascii="Times New Roman" w:hAnsi="Times New Roman" w:cs="Times New Roman"/>
          </w:rPr>
          <w:fldChar w:fldCharType="begin"/>
        </w:r>
        <w:r w:rsidRPr="006D2AD0">
          <w:rPr>
            <w:rFonts w:ascii="Times New Roman" w:hAnsi="Times New Roman" w:cs="Times New Roman"/>
          </w:rPr>
          <w:instrText>PAGE   \* MERGEFORMAT</w:instrText>
        </w:r>
        <w:r w:rsidRPr="006D2AD0">
          <w:rPr>
            <w:rFonts w:ascii="Times New Roman" w:hAnsi="Times New Roman" w:cs="Times New Roman"/>
          </w:rPr>
          <w:fldChar w:fldCharType="separate"/>
        </w:r>
        <w:r w:rsidR="001E7A90">
          <w:rPr>
            <w:rFonts w:ascii="Times New Roman" w:hAnsi="Times New Roman" w:cs="Times New Roman"/>
            <w:noProof/>
          </w:rPr>
          <w:t>10</w:t>
        </w:r>
        <w:r w:rsidRPr="006D2AD0">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37689448"/>
      <w:docPartObj>
        <w:docPartGallery w:val="Page Numbers (Bottom of Page)"/>
        <w:docPartUnique/>
      </w:docPartObj>
    </w:sdtPr>
    <w:sdtEndPr/>
    <w:sdtContent>
      <w:p w14:paraId="6BD1AC3A" w14:textId="70F1D2B9" w:rsidR="002223CF" w:rsidRPr="002223CF" w:rsidRDefault="002223CF">
        <w:pPr>
          <w:pStyle w:val="ad"/>
          <w:jc w:val="right"/>
          <w:rPr>
            <w:rFonts w:ascii="Times New Roman" w:hAnsi="Times New Roman" w:cs="Times New Roman"/>
          </w:rPr>
        </w:pPr>
        <w:r w:rsidRPr="002223CF">
          <w:rPr>
            <w:rFonts w:ascii="Times New Roman" w:hAnsi="Times New Roman" w:cs="Times New Roman"/>
          </w:rPr>
          <w:fldChar w:fldCharType="begin"/>
        </w:r>
        <w:r w:rsidRPr="002223CF">
          <w:rPr>
            <w:rFonts w:ascii="Times New Roman" w:hAnsi="Times New Roman" w:cs="Times New Roman"/>
          </w:rPr>
          <w:instrText>PAGE   \* MERGEFORMAT</w:instrText>
        </w:r>
        <w:r w:rsidRPr="002223CF">
          <w:rPr>
            <w:rFonts w:ascii="Times New Roman" w:hAnsi="Times New Roman" w:cs="Times New Roman"/>
          </w:rPr>
          <w:fldChar w:fldCharType="separate"/>
        </w:r>
        <w:r w:rsidR="001E7A90">
          <w:rPr>
            <w:rFonts w:ascii="Times New Roman" w:hAnsi="Times New Roman" w:cs="Times New Roman"/>
            <w:noProof/>
          </w:rPr>
          <w:t>1</w:t>
        </w:r>
        <w:r w:rsidRPr="002223C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03BC" w14:textId="77777777" w:rsidR="00262515" w:rsidRDefault="00262515" w:rsidP="001E3921">
      <w:pPr>
        <w:spacing w:after="0" w:line="240" w:lineRule="auto"/>
      </w:pPr>
      <w:r>
        <w:separator/>
      </w:r>
    </w:p>
  </w:footnote>
  <w:footnote w:type="continuationSeparator" w:id="0">
    <w:p w14:paraId="52689C6F" w14:textId="77777777" w:rsidR="00262515" w:rsidRDefault="00262515" w:rsidP="001E3921">
      <w:pPr>
        <w:spacing w:after="0" w:line="240" w:lineRule="auto"/>
      </w:pPr>
      <w:r>
        <w:continuationSeparator/>
      </w:r>
    </w:p>
  </w:footnote>
  <w:footnote w:id="1">
    <w:p w14:paraId="73E2F150" w14:textId="77777777" w:rsidR="006F0B36" w:rsidRDefault="006F0B36" w:rsidP="002F0BB6">
      <w:pPr>
        <w:pStyle w:val="a5"/>
        <w:jc w:val="both"/>
      </w:pPr>
      <w:r>
        <w:rPr>
          <w:rStyle w:val="a7"/>
        </w:rPr>
        <w:footnoteRef/>
      </w:r>
      <w:r>
        <w:t xml:space="preserve"> </w:t>
      </w:r>
      <w:r w:rsidRPr="00241930">
        <w:t>В настоящее время минимальный размер собственного капитала банка для включения в программу составляет 5 млрд. руб.</w:t>
      </w:r>
      <w:r>
        <w:t xml:space="preserve"> (для Дальнего Востока – 3 млрд руб.) </w:t>
      </w:r>
    </w:p>
  </w:footnote>
  <w:footnote w:id="2">
    <w:p w14:paraId="645074D5" w14:textId="77777777" w:rsidR="006F0B36" w:rsidRDefault="006F0B36" w:rsidP="002F0BB6">
      <w:pPr>
        <w:pStyle w:val="a5"/>
        <w:rPr>
          <w:rFonts w:asciiTheme="minorHAnsi" w:hAnsiTheme="minorHAnsi" w:cstheme="minorBidi"/>
        </w:rPr>
      </w:pPr>
      <w:r>
        <w:rPr>
          <w:rStyle w:val="a7"/>
        </w:rPr>
        <w:footnoteRef/>
      </w:r>
      <w:r>
        <w:t xml:space="preserve"> Постановление Правительства РФ от 24.07.2017 N 874 "О максимальной сумме одной банковской гарантии и максимальной сумме всех одновременно действующих банковских гарантий, выданных одним банком, для принятия банковских гарантий налоговыми органами в целях обеспечения уплаты налогов".</w:t>
      </w:r>
    </w:p>
  </w:footnote>
  <w:footnote w:id="3">
    <w:p w14:paraId="7668921C" w14:textId="77777777" w:rsidR="006F0B36" w:rsidRPr="007E7A44" w:rsidRDefault="006F0B36" w:rsidP="000C0072">
      <w:pPr>
        <w:autoSpaceDE w:val="0"/>
        <w:autoSpaceDN w:val="0"/>
        <w:adjustRightInd w:val="0"/>
        <w:ind w:firstLine="851"/>
        <w:jc w:val="both"/>
        <w:rPr>
          <w:rFonts w:ascii="Times New Roman" w:hAnsi="Times New Roman" w:cs="Times New Roman"/>
        </w:rPr>
      </w:pPr>
      <w:r>
        <w:rPr>
          <w:rStyle w:val="a7"/>
        </w:rPr>
        <w:footnoteRef/>
      </w:r>
      <w:r>
        <w:t xml:space="preserve"> </w:t>
      </w:r>
      <w:r w:rsidRPr="007E7A44">
        <w:rPr>
          <w:rFonts w:ascii="Times New Roman" w:hAnsi="Times New Roman" w:cs="Times New Roman"/>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14:paraId="24BA2932" w14:textId="77777777" w:rsidR="006F0B36" w:rsidRPr="007E7A44" w:rsidRDefault="006F0B36" w:rsidP="000C0072">
      <w:pPr>
        <w:pStyle w:val="a5"/>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FD5"/>
    <w:multiLevelType w:val="hybridMultilevel"/>
    <w:tmpl w:val="D38636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947C52"/>
    <w:multiLevelType w:val="hybridMultilevel"/>
    <w:tmpl w:val="5890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A4382"/>
    <w:multiLevelType w:val="hybridMultilevel"/>
    <w:tmpl w:val="62AAA1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C2618"/>
    <w:multiLevelType w:val="hybridMultilevel"/>
    <w:tmpl w:val="4F6C7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E6C91"/>
    <w:multiLevelType w:val="hybridMultilevel"/>
    <w:tmpl w:val="A81A7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C4582"/>
    <w:multiLevelType w:val="hybridMultilevel"/>
    <w:tmpl w:val="9D728D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465544"/>
    <w:multiLevelType w:val="multilevel"/>
    <w:tmpl w:val="B43AA518"/>
    <w:lvl w:ilvl="0">
      <w:start w:val="1"/>
      <w:numFmt w:val="decimal"/>
      <w:lvlText w:val="%1."/>
      <w:lvlJc w:val="left"/>
      <w:rPr>
        <w:rFonts w:ascii="Times New Roman" w:eastAsia="Times New Roman" w:hAnsi="Times New Roman" w:cs="Times New Roman"/>
        <w:b w:val="0"/>
        <w:bCs w:val="0"/>
        <w:i w:val="0"/>
        <w:iCs w:val="0"/>
        <w:smallCaps w:val="0"/>
        <w:strike w:val="0"/>
        <w:color w:val="18191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A54E3"/>
    <w:multiLevelType w:val="hybridMultilevel"/>
    <w:tmpl w:val="9EDA77EA"/>
    <w:lvl w:ilvl="0" w:tplc="96060CC6">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8" w15:restartNumberingAfterBreak="0">
    <w:nsid w:val="113D7EC3"/>
    <w:multiLevelType w:val="multilevel"/>
    <w:tmpl w:val="CC0C5CA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45D64BC"/>
    <w:multiLevelType w:val="hybridMultilevel"/>
    <w:tmpl w:val="DD12B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931AEF"/>
    <w:multiLevelType w:val="multilevel"/>
    <w:tmpl w:val="211A4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88305B"/>
    <w:multiLevelType w:val="multilevel"/>
    <w:tmpl w:val="318877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265A5A"/>
    <w:multiLevelType w:val="hybridMultilevel"/>
    <w:tmpl w:val="C90680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6DF7D6E"/>
    <w:multiLevelType w:val="hybridMultilevel"/>
    <w:tmpl w:val="F376B28A"/>
    <w:lvl w:ilvl="0" w:tplc="088C3CC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31479F"/>
    <w:multiLevelType w:val="hybridMultilevel"/>
    <w:tmpl w:val="E7C04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A546D"/>
    <w:multiLevelType w:val="hybridMultilevel"/>
    <w:tmpl w:val="921CB51A"/>
    <w:lvl w:ilvl="0" w:tplc="F092A22C">
      <w:start w:val="1"/>
      <w:numFmt w:val="decimal"/>
      <w:lvlText w:val="%1."/>
      <w:lvlJc w:val="left"/>
      <w:pPr>
        <w:ind w:left="502" w:hanging="360"/>
      </w:pPr>
    </w:lvl>
    <w:lvl w:ilvl="1" w:tplc="EB7A544E">
      <w:start w:val="1"/>
      <w:numFmt w:val="lowerLetter"/>
      <w:lvlText w:val="%2."/>
      <w:lvlJc w:val="left"/>
      <w:pPr>
        <w:ind w:left="1440" w:hanging="360"/>
      </w:pPr>
    </w:lvl>
    <w:lvl w:ilvl="2" w:tplc="A4327F54">
      <w:start w:val="1"/>
      <w:numFmt w:val="lowerRoman"/>
      <w:lvlText w:val="%3."/>
      <w:lvlJc w:val="right"/>
      <w:pPr>
        <w:ind w:left="2160" w:hanging="180"/>
      </w:pPr>
    </w:lvl>
    <w:lvl w:ilvl="3" w:tplc="434C1A2C">
      <w:start w:val="1"/>
      <w:numFmt w:val="decimal"/>
      <w:lvlText w:val="%4."/>
      <w:lvlJc w:val="left"/>
      <w:pPr>
        <w:ind w:left="2880" w:hanging="360"/>
      </w:pPr>
    </w:lvl>
    <w:lvl w:ilvl="4" w:tplc="56AA1DA2">
      <w:start w:val="1"/>
      <w:numFmt w:val="lowerLetter"/>
      <w:lvlText w:val="%5."/>
      <w:lvlJc w:val="left"/>
      <w:pPr>
        <w:ind w:left="3600" w:hanging="360"/>
      </w:pPr>
    </w:lvl>
    <w:lvl w:ilvl="5" w:tplc="4BE4D5DE">
      <w:start w:val="1"/>
      <w:numFmt w:val="lowerRoman"/>
      <w:lvlText w:val="%6."/>
      <w:lvlJc w:val="right"/>
      <w:pPr>
        <w:ind w:left="4320" w:hanging="180"/>
      </w:pPr>
    </w:lvl>
    <w:lvl w:ilvl="6" w:tplc="51D82C80">
      <w:start w:val="1"/>
      <w:numFmt w:val="decimal"/>
      <w:lvlText w:val="%7."/>
      <w:lvlJc w:val="left"/>
      <w:pPr>
        <w:ind w:left="5040" w:hanging="360"/>
      </w:pPr>
    </w:lvl>
    <w:lvl w:ilvl="7" w:tplc="872051EA">
      <w:start w:val="1"/>
      <w:numFmt w:val="lowerLetter"/>
      <w:lvlText w:val="%8."/>
      <w:lvlJc w:val="left"/>
      <w:pPr>
        <w:ind w:left="5760" w:hanging="360"/>
      </w:pPr>
    </w:lvl>
    <w:lvl w:ilvl="8" w:tplc="17BA8094">
      <w:start w:val="1"/>
      <w:numFmt w:val="lowerRoman"/>
      <w:lvlText w:val="%9."/>
      <w:lvlJc w:val="right"/>
      <w:pPr>
        <w:ind w:left="6480" w:hanging="180"/>
      </w:pPr>
    </w:lvl>
  </w:abstractNum>
  <w:abstractNum w:abstractNumId="16" w15:restartNumberingAfterBreak="0">
    <w:nsid w:val="2AA07068"/>
    <w:multiLevelType w:val="hybridMultilevel"/>
    <w:tmpl w:val="D2C692F0"/>
    <w:lvl w:ilvl="0" w:tplc="842C0AD0">
      <w:start w:val="1"/>
      <w:numFmt w:val="decimal"/>
      <w:lvlText w:val="%1."/>
      <w:lvlJc w:val="left"/>
      <w:pPr>
        <w:ind w:left="720" w:hanging="360"/>
      </w:pPr>
      <w:rPr>
        <w:rFonts w:asciiTheme="minorHAnsi" w:eastAsiaTheme="minorEastAsia" w:hAnsi="Arial" w:cstheme="minorBidi"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C10F4"/>
    <w:multiLevelType w:val="hybridMultilevel"/>
    <w:tmpl w:val="94B45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CC24369"/>
    <w:multiLevelType w:val="multilevel"/>
    <w:tmpl w:val="C57494B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6955B6"/>
    <w:multiLevelType w:val="hybridMultilevel"/>
    <w:tmpl w:val="E1CAA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0F2E76"/>
    <w:multiLevelType w:val="multilevel"/>
    <w:tmpl w:val="211A4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E04668"/>
    <w:multiLevelType w:val="hybridMultilevel"/>
    <w:tmpl w:val="8028083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22" w15:restartNumberingAfterBreak="0">
    <w:nsid w:val="399727F1"/>
    <w:multiLevelType w:val="multilevel"/>
    <w:tmpl w:val="B43AA518"/>
    <w:lvl w:ilvl="0">
      <w:start w:val="1"/>
      <w:numFmt w:val="decimal"/>
      <w:lvlText w:val="%1."/>
      <w:lvlJc w:val="left"/>
      <w:rPr>
        <w:rFonts w:ascii="Times New Roman" w:eastAsia="Times New Roman" w:hAnsi="Times New Roman" w:cs="Times New Roman"/>
        <w:b w:val="0"/>
        <w:bCs w:val="0"/>
        <w:i w:val="0"/>
        <w:iCs w:val="0"/>
        <w:smallCaps w:val="0"/>
        <w:strike w:val="0"/>
        <w:color w:val="18191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7A5881"/>
    <w:multiLevelType w:val="multilevel"/>
    <w:tmpl w:val="211A4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030CCA"/>
    <w:multiLevelType w:val="hybridMultilevel"/>
    <w:tmpl w:val="9F340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446008"/>
    <w:multiLevelType w:val="hybridMultilevel"/>
    <w:tmpl w:val="CB62F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7B22F95"/>
    <w:multiLevelType w:val="hybridMultilevel"/>
    <w:tmpl w:val="AA787066"/>
    <w:lvl w:ilvl="0" w:tplc="6C241736">
      <w:start w:val="1"/>
      <w:numFmt w:val="decimal"/>
      <w:lvlText w:val="%1."/>
      <w:lvlJc w:val="left"/>
      <w:pPr>
        <w:ind w:left="720" w:hanging="360"/>
      </w:pPr>
    </w:lvl>
    <w:lvl w:ilvl="1" w:tplc="B184B702" w:tentative="1">
      <w:start w:val="1"/>
      <w:numFmt w:val="lowerLetter"/>
      <w:lvlText w:val="%2."/>
      <w:lvlJc w:val="left"/>
      <w:pPr>
        <w:ind w:left="1440" w:hanging="360"/>
      </w:pPr>
    </w:lvl>
    <w:lvl w:ilvl="2" w:tplc="77B26FB4" w:tentative="1">
      <w:start w:val="1"/>
      <w:numFmt w:val="lowerRoman"/>
      <w:lvlText w:val="%3."/>
      <w:lvlJc w:val="right"/>
      <w:pPr>
        <w:ind w:left="2160" w:hanging="180"/>
      </w:pPr>
    </w:lvl>
    <w:lvl w:ilvl="3" w:tplc="B008AD5A" w:tentative="1">
      <w:start w:val="1"/>
      <w:numFmt w:val="decimal"/>
      <w:lvlText w:val="%4."/>
      <w:lvlJc w:val="left"/>
      <w:pPr>
        <w:ind w:left="2880" w:hanging="360"/>
      </w:pPr>
    </w:lvl>
    <w:lvl w:ilvl="4" w:tplc="ECBEBE7A" w:tentative="1">
      <w:start w:val="1"/>
      <w:numFmt w:val="lowerLetter"/>
      <w:lvlText w:val="%5."/>
      <w:lvlJc w:val="left"/>
      <w:pPr>
        <w:ind w:left="3600" w:hanging="360"/>
      </w:pPr>
    </w:lvl>
    <w:lvl w:ilvl="5" w:tplc="D0200608" w:tentative="1">
      <w:start w:val="1"/>
      <w:numFmt w:val="lowerRoman"/>
      <w:lvlText w:val="%6."/>
      <w:lvlJc w:val="right"/>
      <w:pPr>
        <w:ind w:left="4320" w:hanging="180"/>
      </w:pPr>
    </w:lvl>
    <w:lvl w:ilvl="6" w:tplc="D85AA780" w:tentative="1">
      <w:start w:val="1"/>
      <w:numFmt w:val="decimal"/>
      <w:lvlText w:val="%7."/>
      <w:lvlJc w:val="left"/>
      <w:pPr>
        <w:ind w:left="5040" w:hanging="360"/>
      </w:pPr>
    </w:lvl>
    <w:lvl w:ilvl="7" w:tplc="62AA7998" w:tentative="1">
      <w:start w:val="1"/>
      <w:numFmt w:val="lowerLetter"/>
      <w:lvlText w:val="%8."/>
      <w:lvlJc w:val="left"/>
      <w:pPr>
        <w:ind w:left="5760" w:hanging="360"/>
      </w:pPr>
    </w:lvl>
    <w:lvl w:ilvl="8" w:tplc="19342B9C" w:tentative="1">
      <w:start w:val="1"/>
      <w:numFmt w:val="lowerRoman"/>
      <w:lvlText w:val="%9."/>
      <w:lvlJc w:val="right"/>
      <w:pPr>
        <w:ind w:left="6480" w:hanging="180"/>
      </w:pPr>
    </w:lvl>
  </w:abstractNum>
  <w:abstractNum w:abstractNumId="27" w15:restartNumberingAfterBreak="0">
    <w:nsid w:val="489B1D2D"/>
    <w:multiLevelType w:val="hybridMultilevel"/>
    <w:tmpl w:val="A1A60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758E3"/>
    <w:multiLevelType w:val="hybridMultilevel"/>
    <w:tmpl w:val="028885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E670BB9"/>
    <w:multiLevelType w:val="hybridMultilevel"/>
    <w:tmpl w:val="D5D4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F04019"/>
    <w:multiLevelType w:val="hybridMultilevel"/>
    <w:tmpl w:val="CBEA4A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94BDE"/>
    <w:multiLevelType w:val="hybridMultilevel"/>
    <w:tmpl w:val="A7F028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965361F"/>
    <w:multiLevelType w:val="hybridMultilevel"/>
    <w:tmpl w:val="C4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2E35D9"/>
    <w:multiLevelType w:val="hybridMultilevel"/>
    <w:tmpl w:val="A170BE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EE7F00"/>
    <w:multiLevelType w:val="hybridMultilevel"/>
    <w:tmpl w:val="AFCEF152"/>
    <w:lvl w:ilvl="0" w:tplc="96060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4B7136"/>
    <w:multiLevelType w:val="hybridMultilevel"/>
    <w:tmpl w:val="CDE8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9269BD"/>
    <w:multiLevelType w:val="hybridMultilevel"/>
    <w:tmpl w:val="6466F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7A70773"/>
    <w:multiLevelType w:val="multilevel"/>
    <w:tmpl w:val="211A4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4"/>
  </w:num>
  <w:num w:numId="3">
    <w:abstractNumId w:val="30"/>
  </w:num>
  <w:num w:numId="4">
    <w:abstractNumId w:val="32"/>
  </w:num>
  <w:num w:numId="5">
    <w:abstractNumId w:val="35"/>
  </w:num>
  <w:num w:numId="6">
    <w:abstractNumId w:val="21"/>
  </w:num>
  <w:num w:numId="7">
    <w:abstractNumId w:val="11"/>
  </w:num>
  <w:num w:numId="8">
    <w:abstractNumId w:val="10"/>
  </w:num>
  <w:num w:numId="9">
    <w:abstractNumId w:val="20"/>
  </w:num>
  <w:num w:numId="10">
    <w:abstractNumId w:val="23"/>
  </w:num>
  <w:num w:numId="11">
    <w:abstractNumId w:val="3"/>
  </w:num>
  <w:num w:numId="12">
    <w:abstractNumId w:val="34"/>
  </w:num>
  <w:num w:numId="13">
    <w:abstractNumId w:val="7"/>
  </w:num>
  <w:num w:numId="14">
    <w:abstractNumId w:val="1"/>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
  </w:num>
  <w:num w:numId="19">
    <w:abstractNumId w:val="14"/>
  </w:num>
  <w:num w:numId="20">
    <w:abstractNumId w:val="26"/>
  </w:num>
  <w:num w:numId="21">
    <w:abstractNumId w:val="33"/>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9"/>
  </w:num>
  <w:num w:numId="29">
    <w:abstractNumId w:val="31"/>
  </w:num>
  <w:num w:numId="30">
    <w:abstractNumId w:val="5"/>
  </w:num>
  <w:num w:numId="31">
    <w:abstractNumId w:val="13"/>
  </w:num>
  <w:num w:numId="32">
    <w:abstractNumId w:val="19"/>
  </w:num>
  <w:num w:numId="33">
    <w:abstractNumId w:val="8"/>
  </w:num>
  <w:num w:numId="34">
    <w:abstractNumId w:val="0"/>
  </w:num>
  <w:num w:numId="35">
    <w:abstractNumId w:val="28"/>
  </w:num>
  <w:num w:numId="36">
    <w:abstractNumId w:val="16"/>
  </w:num>
  <w:num w:numId="37">
    <w:abstractNumId w:val="36"/>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9"/>
    <w:rsid w:val="00001BC8"/>
    <w:rsid w:val="000029AF"/>
    <w:rsid w:val="0001152A"/>
    <w:rsid w:val="000210DE"/>
    <w:rsid w:val="000219AC"/>
    <w:rsid w:val="000242E0"/>
    <w:rsid w:val="0003201B"/>
    <w:rsid w:val="00037F82"/>
    <w:rsid w:val="0004092C"/>
    <w:rsid w:val="000546B7"/>
    <w:rsid w:val="00070ADA"/>
    <w:rsid w:val="0007575B"/>
    <w:rsid w:val="0007588B"/>
    <w:rsid w:val="00085251"/>
    <w:rsid w:val="000929CF"/>
    <w:rsid w:val="000955A0"/>
    <w:rsid w:val="00097C45"/>
    <w:rsid w:val="000A4590"/>
    <w:rsid w:val="000B012E"/>
    <w:rsid w:val="000B641D"/>
    <w:rsid w:val="000C0072"/>
    <w:rsid w:val="000D69C3"/>
    <w:rsid w:val="000E34F9"/>
    <w:rsid w:val="000E5303"/>
    <w:rsid w:val="000F3F10"/>
    <w:rsid w:val="00101318"/>
    <w:rsid w:val="001049B0"/>
    <w:rsid w:val="001145F7"/>
    <w:rsid w:val="00115065"/>
    <w:rsid w:val="00137736"/>
    <w:rsid w:val="00140B71"/>
    <w:rsid w:val="00155184"/>
    <w:rsid w:val="001602D8"/>
    <w:rsid w:val="00182697"/>
    <w:rsid w:val="001826FD"/>
    <w:rsid w:val="00183845"/>
    <w:rsid w:val="001A3B16"/>
    <w:rsid w:val="001A59AE"/>
    <w:rsid w:val="001B69F9"/>
    <w:rsid w:val="001C000D"/>
    <w:rsid w:val="001C7D09"/>
    <w:rsid w:val="001E1B2D"/>
    <w:rsid w:val="001E3921"/>
    <w:rsid w:val="001E7A90"/>
    <w:rsid w:val="00203FC6"/>
    <w:rsid w:val="00204514"/>
    <w:rsid w:val="00204775"/>
    <w:rsid w:val="00205D46"/>
    <w:rsid w:val="002223CF"/>
    <w:rsid w:val="00241759"/>
    <w:rsid w:val="00241930"/>
    <w:rsid w:val="00245E44"/>
    <w:rsid w:val="00251F48"/>
    <w:rsid w:val="00252163"/>
    <w:rsid w:val="00254A31"/>
    <w:rsid w:val="002569DB"/>
    <w:rsid w:val="00262515"/>
    <w:rsid w:val="00262609"/>
    <w:rsid w:val="00263128"/>
    <w:rsid w:val="00270932"/>
    <w:rsid w:val="002824BB"/>
    <w:rsid w:val="00292A34"/>
    <w:rsid w:val="002B3C70"/>
    <w:rsid w:val="002C1915"/>
    <w:rsid w:val="002C2CF6"/>
    <w:rsid w:val="002C3728"/>
    <w:rsid w:val="002C4624"/>
    <w:rsid w:val="002C615A"/>
    <w:rsid w:val="002D681E"/>
    <w:rsid w:val="002E1EFA"/>
    <w:rsid w:val="002F0BB6"/>
    <w:rsid w:val="002F3869"/>
    <w:rsid w:val="00300C29"/>
    <w:rsid w:val="00306671"/>
    <w:rsid w:val="00311F29"/>
    <w:rsid w:val="0033563C"/>
    <w:rsid w:val="00347331"/>
    <w:rsid w:val="0035529D"/>
    <w:rsid w:val="00364EA7"/>
    <w:rsid w:val="003737A8"/>
    <w:rsid w:val="003847D6"/>
    <w:rsid w:val="003855D6"/>
    <w:rsid w:val="0038767F"/>
    <w:rsid w:val="00387901"/>
    <w:rsid w:val="00387F69"/>
    <w:rsid w:val="003954E7"/>
    <w:rsid w:val="0039738A"/>
    <w:rsid w:val="003A0188"/>
    <w:rsid w:val="003A1FE8"/>
    <w:rsid w:val="00403097"/>
    <w:rsid w:val="00403B71"/>
    <w:rsid w:val="004047F4"/>
    <w:rsid w:val="004145BE"/>
    <w:rsid w:val="0042063F"/>
    <w:rsid w:val="0042366F"/>
    <w:rsid w:val="004338FE"/>
    <w:rsid w:val="00451F70"/>
    <w:rsid w:val="004706CD"/>
    <w:rsid w:val="00472BC4"/>
    <w:rsid w:val="0048174B"/>
    <w:rsid w:val="004B5DAE"/>
    <w:rsid w:val="004C342F"/>
    <w:rsid w:val="004C4C16"/>
    <w:rsid w:val="004F3338"/>
    <w:rsid w:val="005357B0"/>
    <w:rsid w:val="00541ABE"/>
    <w:rsid w:val="00545096"/>
    <w:rsid w:val="00564BCA"/>
    <w:rsid w:val="005726F1"/>
    <w:rsid w:val="00572FA3"/>
    <w:rsid w:val="005871A1"/>
    <w:rsid w:val="005A0E7C"/>
    <w:rsid w:val="005A1B14"/>
    <w:rsid w:val="005C0D08"/>
    <w:rsid w:val="005C22B0"/>
    <w:rsid w:val="005D25A6"/>
    <w:rsid w:val="005E7DC7"/>
    <w:rsid w:val="006031E4"/>
    <w:rsid w:val="006060D9"/>
    <w:rsid w:val="006069C2"/>
    <w:rsid w:val="00614FA5"/>
    <w:rsid w:val="00617995"/>
    <w:rsid w:val="00621295"/>
    <w:rsid w:val="00623049"/>
    <w:rsid w:val="00623610"/>
    <w:rsid w:val="00623FEB"/>
    <w:rsid w:val="00633123"/>
    <w:rsid w:val="00641401"/>
    <w:rsid w:val="00647264"/>
    <w:rsid w:val="00654BC0"/>
    <w:rsid w:val="00654E1C"/>
    <w:rsid w:val="006571B3"/>
    <w:rsid w:val="00664440"/>
    <w:rsid w:val="00671055"/>
    <w:rsid w:val="00682596"/>
    <w:rsid w:val="006876CE"/>
    <w:rsid w:val="00697475"/>
    <w:rsid w:val="00697535"/>
    <w:rsid w:val="006B283D"/>
    <w:rsid w:val="006C1BD8"/>
    <w:rsid w:val="006D2AD0"/>
    <w:rsid w:val="006E629A"/>
    <w:rsid w:val="006F0B36"/>
    <w:rsid w:val="00701FE5"/>
    <w:rsid w:val="007049BD"/>
    <w:rsid w:val="00711DA1"/>
    <w:rsid w:val="00717F17"/>
    <w:rsid w:val="00730E55"/>
    <w:rsid w:val="00733B97"/>
    <w:rsid w:val="00761CA6"/>
    <w:rsid w:val="00765DBD"/>
    <w:rsid w:val="00772298"/>
    <w:rsid w:val="0077747A"/>
    <w:rsid w:val="0078081F"/>
    <w:rsid w:val="007B1CC3"/>
    <w:rsid w:val="007D510E"/>
    <w:rsid w:val="007F6DB6"/>
    <w:rsid w:val="0082101D"/>
    <w:rsid w:val="00831B0C"/>
    <w:rsid w:val="00837D84"/>
    <w:rsid w:val="00843754"/>
    <w:rsid w:val="0084434B"/>
    <w:rsid w:val="0084741E"/>
    <w:rsid w:val="00857F10"/>
    <w:rsid w:val="008707D2"/>
    <w:rsid w:val="00880E3F"/>
    <w:rsid w:val="00886850"/>
    <w:rsid w:val="00893386"/>
    <w:rsid w:val="008942AD"/>
    <w:rsid w:val="008A3E87"/>
    <w:rsid w:val="008A440A"/>
    <w:rsid w:val="008A44F5"/>
    <w:rsid w:val="008B0E39"/>
    <w:rsid w:val="008E05D2"/>
    <w:rsid w:val="008F2B75"/>
    <w:rsid w:val="008F48F8"/>
    <w:rsid w:val="009147F0"/>
    <w:rsid w:val="00925306"/>
    <w:rsid w:val="009274D4"/>
    <w:rsid w:val="00930B75"/>
    <w:rsid w:val="009333DC"/>
    <w:rsid w:val="00941521"/>
    <w:rsid w:val="00953081"/>
    <w:rsid w:val="0095500C"/>
    <w:rsid w:val="00956539"/>
    <w:rsid w:val="0096051B"/>
    <w:rsid w:val="00965CAD"/>
    <w:rsid w:val="009C03E6"/>
    <w:rsid w:val="009C50D9"/>
    <w:rsid w:val="009E37AF"/>
    <w:rsid w:val="009E66A5"/>
    <w:rsid w:val="009F6CD3"/>
    <w:rsid w:val="00A024F6"/>
    <w:rsid w:val="00A14902"/>
    <w:rsid w:val="00A1663D"/>
    <w:rsid w:val="00A31116"/>
    <w:rsid w:val="00A454EE"/>
    <w:rsid w:val="00A575B0"/>
    <w:rsid w:val="00A57D29"/>
    <w:rsid w:val="00A75406"/>
    <w:rsid w:val="00A76D9D"/>
    <w:rsid w:val="00A876EE"/>
    <w:rsid w:val="00A94C18"/>
    <w:rsid w:val="00AB76E9"/>
    <w:rsid w:val="00AC5058"/>
    <w:rsid w:val="00AE17BE"/>
    <w:rsid w:val="00AE2526"/>
    <w:rsid w:val="00AF2EB1"/>
    <w:rsid w:val="00AF41D7"/>
    <w:rsid w:val="00B01CE3"/>
    <w:rsid w:val="00B04FDA"/>
    <w:rsid w:val="00B15BF5"/>
    <w:rsid w:val="00B17E2B"/>
    <w:rsid w:val="00B405DA"/>
    <w:rsid w:val="00B71A32"/>
    <w:rsid w:val="00B81833"/>
    <w:rsid w:val="00B86856"/>
    <w:rsid w:val="00B871EF"/>
    <w:rsid w:val="00B93205"/>
    <w:rsid w:val="00BA5BAB"/>
    <w:rsid w:val="00BB5CAE"/>
    <w:rsid w:val="00BC1693"/>
    <w:rsid w:val="00BC5E7C"/>
    <w:rsid w:val="00BC7609"/>
    <w:rsid w:val="00BD56AA"/>
    <w:rsid w:val="00BE524B"/>
    <w:rsid w:val="00BE6985"/>
    <w:rsid w:val="00BF2820"/>
    <w:rsid w:val="00BF5C27"/>
    <w:rsid w:val="00BF7E1C"/>
    <w:rsid w:val="00C01793"/>
    <w:rsid w:val="00C0217B"/>
    <w:rsid w:val="00C30895"/>
    <w:rsid w:val="00C32905"/>
    <w:rsid w:val="00C55D41"/>
    <w:rsid w:val="00C61C90"/>
    <w:rsid w:val="00C62E34"/>
    <w:rsid w:val="00C638ED"/>
    <w:rsid w:val="00C719D0"/>
    <w:rsid w:val="00C80176"/>
    <w:rsid w:val="00CB1BC2"/>
    <w:rsid w:val="00CB3D40"/>
    <w:rsid w:val="00CD144A"/>
    <w:rsid w:val="00CD1A31"/>
    <w:rsid w:val="00CE16DA"/>
    <w:rsid w:val="00CE28C6"/>
    <w:rsid w:val="00D00031"/>
    <w:rsid w:val="00D069E7"/>
    <w:rsid w:val="00D13A51"/>
    <w:rsid w:val="00D30DE5"/>
    <w:rsid w:val="00D575B3"/>
    <w:rsid w:val="00D61A75"/>
    <w:rsid w:val="00D7771F"/>
    <w:rsid w:val="00D96FE5"/>
    <w:rsid w:val="00D97592"/>
    <w:rsid w:val="00DD147B"/>
    <w:rsid w:val="00E040C7"/>
    <w:rsid w:val="00E17C93"/>
    <w:rsid w:val="00E37053"/>
    <w:rsid w:val="00E37913"/>
    <w:rsid w:val="00E44DD0"/>
    <w:rsid w:val="00E56748"/>
    <w:rsid w:val="00E57EA3"/>
    <w:rsid w:val="00E61665"/>
    <w:rsid w:val="00E66137"/>
    <w:rsid w:val="00E67F3E"/>
    <w:rsid w:val="00E70681"/>
    <w:rsid w:val="00E748E4"/>
    <w:rsid w:val="00E8173F"/>
    <w:rsid w:val="00E96289"/>
    <w:rsid w:val="00EE65CA"/>
    <w:rsid w:val="00EF21B5"/>
    <w:rsid w:val="00F053BA"/>
    <w:rsid w:val="00F10DE1"/>
    <w:rsid w:val="00F528A8"/>
    <w:rsid w:val="00F77FE7"/>
    <w:rsid w:val="00F961FC"/>
    <w:rsid w:val="00F9688D"/>
    <w:rsid w:val="00FA12A5"/>
    <w:rsid w:val="00FA1868"/>
    <w:rsid w:val="00FD6F86"/>
    <w:rsid w:val="00FE618A"/>
    <w:rsid w:val="00FE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36DF"/>
  <w15:chartTrackingRefBased/>
  <w15:docId w15:val="{0AC72776-223C-49CC-9B4A-3147360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6850"/>
    <w:pPr>
      <w:ind w:left="720"/>
      <w:contextualSpacing/>
    </w:pPr>
  </w:style>
  <w:style w:type="paragraph" w:styleId="a5">
    <w:name w:val="footnote text"/>
    <w:aliases w:val="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З, Знак2,Зна,Знак2,fn, Знак8"/>
    <w:basedOn w:val="a"/>
    <w:link w:val="a6"/>
    <w:uiPriority w:val="99"/>
    <w:unhideWhenUsed/>
    <w:qFormat/>
    <w:rsid w:val="001E392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З Знак"/>
    <w:basedOn w:val="a0"/>
    <w:link w:val="a5"/>
    <w:qFormat/>
    <w:rsid w:val="001E3921"/>
    <w:rPr>
      <w:rFonts w:ascii="Times New Roman" w:eastAsia="Times New Roman" w:hAnsi="Times New Roman" w:cs="Times New Roman"/>
      <w:sz w:val="20"/>
      <w:szCs w:val="20"/>
      <w:lang w:eastAsia="ru-RU"/>
    </w:rPr>
  </w:style>
  <w:style w:type="character" w:styleId="a7">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Текст сноски Знак1 Знак Знак Зн,ftre,f"/>
    <w:link w:val="CharChar1CharCharCharChar1CharCharCharCharCharCharCharChar"/>
    <w:unhideWhenUsed/>
    <w:qFormat/>
    <w:rsid w:val="001E3921"/>
    <w:rPr>
      <w:vertAlign w:val="superscript"/>
    </w:rPr>
  </w:style>
  <w:style w:type="table" w:styleId="a8">
    <w:name w:val="Table Grid"/>
    <w:basedOn w:val="a1"/>
    <w:uiPriority w:val="59"/>
    <w:rsid w:val="005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066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6671"/>
    <w:rPr>
      <w:rFonts w:ascii="Segoe UI" w:hAnsi="Segoe UI" w:cs="Segoe UI"/>
      <w:sz w:val="18"/>
      <w:szCs w:val="18"/>
    </w:rPr>
  </w:style>
  <w:style w:type="paragraph" w:styleId="ab">
    <w:name w:val="header"/>
    <w:basedOn w:val="a"/>
    <w:link w:val="ac"/>
    <w:uiPriority w:val="99"/>
    <w:unhideWhenUsed/>
    <w:rsid w:val="006D2A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2AD0"/>
  </w:style>
  <w:style w:type="paragraph" w:styleId="ad">
    <w:name w:val="footer"/>
    <w:basedOn w:val="a"/>
    <w:link w:val="ae"/>
    <w:uiPriority w:val="99"/>
    <w:unhideWhenUsed/>
    <w:rsid w:val="006D2A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2AD0"/>
  </w:style>
  <w:style w:type="paragraph" w:styleId="af">
    <w:name w:val="Normal (Web)"/>
    <w:basedOn w:val="a"/>
    <w:uiPriority w:val="99"/>
    <w:unhideWhenUsed/>
    <w:rsid w:val="0013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Основной текст (8)_"/>
    <w:basedOn w:val="a0"/>
    <w:link w:val="80"/>
    <w:locked/>
    <w:rsid w:val="00137736"/>
    <w:rPr>
      <w:shd w:val="clear" w:color="auto" w:fill="FFFFFF"/>
    </w:rPr>
  </w:style>
  <w:style w:type="paragraph" w:customStyle="1" w:styleId="80">
    <w:name w:val="Основной текст (8)"/>
    <w:basedOn w:val="a"/>
    <w:link w:val="8"/>
    <w:rsid w:val="00137736"/>
    <w:pPr>
      <w:shd w:val="clear" w:color="auto" w:fill="FFFFFF"/>
      <w:spacing w:after="0" w:line="278" w:lineRule="exact"/>
      <w:jc w:val="both"/>
    </w:pPr>
  </w:style>
  <w:style w:type="character" w:customStyle="1" w:styleId="a4">
    <w:name w:val="Абзац списка Знак"/>
    <w:basedOn w:val="a0"/>
    <w:link w:val="a3"/>
    <w:uiPriority w:val="34"/>
    <w:locked/>
    <w:rsid w:val="00A876EE"/>
  </w:style>
  <w:style w:type="character" w:customStyle="1" w:styleId="af0">
    <w:name w:val="Основной текст_"/>
    <w:basedOn w:val="a0"/>
    <w:link w:val="1"/>
    <w:rsid w:val="00930B75"/>
    <w:rPr>
      <w:rFonts w:ascii="Times New Roman" w:eastAsia="Times New Roman" w:hAnsi="Times New Roman" w:cs="Times New Roman"/>
      <w:color w:val="18191A"/>
      <w:shd w:val="clear" w:color="auto" w:fill="FFFFFF"/>
    </w:rPr>
  </w:style>
  <w:style w:type="paragraph" w:customStyle="1" w:styleId="1">
    <w:name w:val="Основной текст1"/>
    <w:basedOn w:val="a"/>
    <w:link w:val="af0"/>
    <w:rsid w:val="00930B75"/>
    <w:pPr>
      <w:widowControl w:val="0"/>
      <w:shd w:val="clear" w:color="auto" w:fill="FFFFFF"/>
      <w:spacing w:after="0" w:line="240" w:lineRule="auto"/>
      <w:ind w:firstLine="400"/>
      <w:jc w:val="both"/>
    </w:pPr>
    <w:rPr>
      <w:rFonts w:ascii="Times New Roman" w:eastAsia="Times New Roman" w:hAnsi="Times New Roman" w:cs="Times New Roman"/>
      <w:color w:val="18191A"/>
    </w:rPr>
  </w:style>
  <w:style w:type="character" w:styleId="af1">
    <w:name w:val="annotation reference"/>
    <w:basedOn w:val="a0"/>
    <w:uiPriority w:val="99"/>
    <w:semiHidden/>
    <w:unhideWhenUsed/>
    <w:rsid w:val="00CE28C6"/>
    <w:rPr>
      <w:sz w:val="16"/>
      <w:szCs w:val="16"/>
    </w:rPr>
  </w:style>
  <w:style w:type="paragraph" w:styleId="af2">
    <w:name w:val="annotation text"/>
    <w:basedOn w:val="a"/>
    <w:link w:val="af3"/>
    <w:uiPriority w:val="99"/>
    <w:semiHidden/>
    <w:unhideWhenUsed/>
    <w:rsid w:val="00CE28C6"/>
    <w:pPr>
      <w:spacing w:line="240" w:lineRule="auto"/>
    </w:pPr>
    <w:rPr>
      <w:sz w:val="20"/>
      <w:szCs w:val="20"/>
    </w:rPr>
  </w:style>
  <w:style w:type="character" w:customStyle="1" w:styleId="af3">
    <w:name w:val="Текст примечания Знак"/>
    <w:basedOn w:val="a0"/>
    <w:link w:val="af2"/>
    <w:uiPriority w:val="99"/>
    <w:semiHidden/>
    <w:rsid w:val="00CE28C6"/>
    <w:rPr>
      <w:sz w:val="20"/>
      <w:szCs w:val="20"/>
    </w:rPr>
  </w:style>
  <w:style w:type="paragraph" w:styleId="af4">
    <w:name w:val="annotation subject"/>
    <w:basedOn w:val="af2"/>
    <w:next w:val="af2"/>
    <w:link w:val="af5"/>
    <w:uiPriority w:val="99"/>
    <w:semiHidden/>
    <w:unhideWhenUsed/>
    <w:rsid w:val="00CE28C6"/>
    <w:rPr>
      <w:b/>
      <w:bCs/>
    </w:rPr>
  </w:style>
  <w:style w:type="character" w:customStyle="1" w:styleId="af5">
    <w:name w:val="Тема примечания Знак"/>
    <w:basedOn w:val="af3"/>
    <w:link w:val="af4"/>
    <w:uiPriority w:val="99"/>
    <w:semiHidden/>
    <w:rsid w:val="00CE28C6"/>
    <w:rPr>
      <w:b/>
      <w:bCs/>
      <w:sz w:val="20"/>
      <w:szCs w:val="20"/>
    </w:rPr>
  </w:style>
  <w:style w:type="paragraph" w:styleId="af6">
    <w:name w:val="caption"/>
    <w:basedOn w:val="a"/>
    <w:next w:val="a"/>
    <w:uiPriority w:val="35"/>
    <w:unhideWhenUsed/>
    <w:qFormat/>
    <w:rsid w:val="002F0BB6"/>
    <w:pPr>
      <w:spacing w:after="200" w:line="240" w:lineRule="auto"/>
    </w:pPr>
    <w:rPr>
      <w:i/>
      <w:iCs/>
      <w:color w:val="44546A" w:themeColor="text2"/>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7"/>
    <w:rsid w:val="000C0072"/>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5939">
      <w:bodyDiv w:val="1"/>
      <w:marLeft w:val="0"/>
      <w:marRight w:val="0"/>
      <w:marTop w:val="0"/>
      <w:marBottom w:val="0"/>
      <w:divBdr>
        <w:top w:val="none" w:sz="0" w:space="0" w:color="auto"/>
        <w:left w:val="none" w:sz="0" w:space="0" w:color="auto"/>
        <w:bottom w:val="none" w:sz="0" w:space="0" w:color="auto"/>
        <w:right w:val="none" w:sz="0" w:space="0" w:color="auto"/>
      </w:divBdr>
    </w:div>
    <w:div w:id="544754273">
      <w:bodyDiv w:val="1"/>
      <w:marLeft w:val="0"/>
      <w:marRight w:val="0"/>
      <w:marTop w:val="0"/>
      <w:marBottom w:val="0"/>
      <w:divBdr>
        <w:top w:val="none" w:sz="0" w:space="0" w:color="auto"/>
        <w:left w:val="none" w:sz="0" w:space="0" w:color="auto"/>
        <w:bottom w:val="none" w:sz="0" w:space="0" w:color="auto"/>
        <w:right w:val="none" w:sz="0" w:space="0" w:color="auto"/>
      </w:divBdr>
    </w:div>
    <w:div w:id="615988720">
      <w:bodyDiv w:val="1"/>
      <w:marLeft w:val="0"/>
      <w:marRight w:val="0"/>
      <w:marTop w:val="0"/>
      <w:marBottom w:val="0"/>
      <w:divBdr>
        <w:top w:val="none" w:sz="0" w:space="0" w:color="auto"/>
        <w:left w:val="none" w:sz="0" w:space="0" w:color="auto"/>
        <w:bottom w:val="none" w:sz="0" w:space="0" w:color="auto"/>
        <w:right w:val="none" w:sz="0" w:space="0" w:color="auto"/>
      </w:divBdr>
    </w:div>
    <w:div w:id="1320380852">
      <w:bodyDiv w:val="1"/>
      <w:marLeft w:val="0"/>
      <w:marRight w:val="0"/>
      <w:marTop w:val="0"/>
      <w:marBottom w:val="0"/>
      <w:divBdr>
        <w:top w:val="none" w:sz="0" w:space="0" w:color="auto"/>
        <w:left w:val="none" w:sz="0" w:space="0" w:color="auto"/>
        <w:bottom w:val="none" w:sz="0" w:space="0" w:color="auto"/>
        <w:right w:val="none" w:sz="0" w:space="0" w:color="auto"/>
      </w:divBdr>
    </w:div>
    <w:div w:id="1515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B8C4-7792-48DD-A5BB-94F76D86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3253</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 EV</dc:creator>
  <cp:keywords/>
  <dc:description/>
  <cp:lastModifiedBy>Виноградов Владимир Вальтерович</cp:lastModifiedBy>
  <cp:revision>26</cp:revision>
  <cp:lastPrinted>2019-01-25T06:49:00Z</cp:lastPrinted>
  <dcterms:created xsi:type="dcterms:W3CDTF">2019-01-25T07:11:00Z</dcterms:created>
  <dcterms:modified xsi:type="dcterms:W3CDTF">2019-02-22T15:43:00Z</dcterms:modified>
</cp:coreProperties>
</file>