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40" w:rsidRDefault="00555781" w:rsidP="00550F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 на в</w:t>
      </w:r>
      <w:r w:rsidR="00C65A48" w:rsidRPr="00F855AA">
        <w:rPr>
          <w:rFonts w:ascii="Times New Roman" w:hAnsi="Times New Roman" w:cs="Times New Roman"/>
          <w:b/>
          <w:sz w:val="26"/>
          <w:szCs w:val="26"/>
        </w:rPr>
        <w:t>опросы</w:t>
      </w:r>
      <w:r w:rsidR="00550F4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1F676B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="00C65A48" w:rsidRPr="00F855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кредитных организаций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50F40">
        <w:rPr>
          <w:rFonts w:ascii="Times New Roman" w:hAnsi="Times New Roman" w:cs="Times New Roman"/>
          <w:b/>
          <w:sz w:val="26"/>
          <w:szCs w:val="26"/>
        </w:rPr>
        <w:t xml:space="preserve">по расчету показателя долговой нагрузки и </w:t>
      </w:r>
      <w:r w:rsidR="00EE77E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50F40">
        <w:rPr>
          <w:rFonts w:ascii="Times New Roman" w:hAnsi="Times New Roman" w:cs="Times New Roman"/>
          <w:b/>
          <w:sz w:val="26"/>
          <w:szCs w:val="26"/>
        </w:rPr>
        <w:t>кредитным историям</w:t>
      </w:r>
    </w:p>
    <w:p w:rsidR="001F676B" w:rsidRPr="00F855AA" w:rsidRDefault="001F676B" w:rsidP="001F6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C84" w:rsidRDefault="00A13C84" w:rsidP="00FA1A6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A13C8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Указание Банка России от 31.08.2018 N 4892-У "О видах активов, характеристиках видов активов, к которым устанавливаются надбавки к коэффициентам риска, и методике применения к указанным видам активов надбавок в целях расчета кредитными организациями нормат</w:t>
      </w:r>
      <w:r w:rsidR="00384B1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ивов достаточности капитала"</w:t>
      </w:r>
    </w:p>
    <w:tbl>
      <w:tblPr>
        <w:tblStyle w:val="ae"/>
        <w:tblW w:w="14985" w:type="dxa"/>
        <w:tblLook w:val="04A0" w:firstRow="1" w:lastRow="0" w:firstColumn="1" w:lastColumn="0" w:noHBand="0" w:noVBand="1"/>
      </w:tblPr>
      <w:tblGrid>
        <w:gridCol w:w="6232"/>
        <w:gridCol w:w="8753"/>
      </w:tblGrid>
      <w:tr w:rsidR="00384B1E" w:rsidRPr="00FA1A67" w:rsidTr="00FA1A67">
        <w:trPr>
          <w:trHeight w:val="631"/>
        </w:trPr>
        <w:tc>
          <w:tcPr>
            <w:tcW w:w="6232" w:type="dxa"/>
            <w:vAlign w:val="center"/>
          </w:tcPr>
          <w:p w:rsidR="00384B1E" w:rsidRPr="00FA1A67" w:rsidRDefault="00384B1E" w:rsidP="00FA1A67">
            <w:pPr>
              <w:spacing w:before="120" w:after="120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FA1A67">
              <w:rPr>
                <w:b/>
                <w:sz w:val="26"/>
                <w:szCs w:val="26"/>
              </w:rPr>
              <w:t>Вопросы и предложения</w:t>
            </w:r>
          </w:p>
        </w:tc>
        <w:tc>
          <w:tcPr>
            <w:tcW w:w="8753" w:type="dxa"/>
            <w:vAlign w:val="center"/>
          </w:tcPr>
          <w:p w:rsidR="00384B1E" w:rsidRPr="00FA1A67" w:rsidRDefault="00384B1E" w:rsidP="00FA1A67">
            <w:pPr>
              <w:spacing w:before="120" w:after="120" w:line="240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FA1A67">
              <w:rPr>
                <w:b/>
                <w:sz w:val="26"/>
                <w:szCs w:val="26"/>
              </w:rPr>
              <w:t>Ответы и комментарии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0" w:line="240" w:lineRule="auto"/>
              <w:ind w:left="0" w:firstLine="738"/>
              <w:contextualSpacing w:val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555781">
              <w:rPr>
                <w:bCs/>
                <w:sz w:val="26"/>
                <w:szCs w:val="26"/>
              </w:rPr>
              <w:t>Будет ли принципиально корректироваться ранее утвержденная методика расчета показателя долговой нагрузки</w:t>
            </w:r>
            <w:r w:rsidRPr="00555781">
              <w:rPr>
                <w:rStyle w:val="a8"/>
                <w:bCs/>
                <w:sz w:val="26"/>
                <w:szCs w:val="26"/>
              </w:rPr>
              <w:footnoteReference w:id="1"/>
            </w:r>
            <w:r w:rsidRPr="00555781">
              <w:rPr>
                <w:bCs/>
                <w:sz w:val="26"/>
                <w:szCs w:val="26"/>
              </w:rPr>
              <w:t xml:space="preserve"> до ее вступления в силу?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>В текущем году Банк России планирует работу по внесению изменений в Указание №4892-У</w:t>
            </w:r>
            <w:r w:rsidRPr="0020236C">
              <w:rPr>
                <w:rStyle w:val="a8"/>
                <w:sz w:val="26"/>
                <w:szCs w:val="26"/>
              </w:rPr>
              <w:footnoteReference w:id="2"/>
            </w:r>
            <w:r w:rsidRPr="0020236C">
              <w:rPr>
                <w:sz w:val="26"/>
                <w:szCs w:val="26"/>
              </w:rPr>
              <w:t xml:space="preserve"> редакционного характера для корректировки отдельных положений. При этом изменений концептуального характера, в том числе в части методики расчета ПДН не предполагается.</w:t>
            </w:r>
          </w:p>
        </w:tc>
      </w:tr>
      <w:tr w:rsidR="00384B1E" w:rsidTr="001C0F5F">
        <w:trPr>
          <w:trHeight w:val="502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555781">
              <w:rPr>
                <w:bCs/>
                <w:sz w:val="26"/>
                <w:szCs w:val="26"/>
              </w:rPr>
              <w:t>Какие принципиальные подходы Банк России будет использовать при установлении коэффициентов риска в зависимости от ПДН?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 xml:space="preserve">В основе методики определения значений коэффициентов риска лежит зависимость уровня потерь по портфелю ссуд от значения ПДН. Так как </w:t>
            </w:r>
            <w:proofErr w:type="spellStart"/>
            <w:r w:rsidRPr="0020236C">
              <w:rPr>
                <w:sz w:val="26"/>
                <w:szCs w:val="26"/>
              </w:rPr>
              <w:t>макропруденциальные</w:t>
            </w:r>
            <w:proofErr w:type="spellEnd"/>
            <w:r w:rsidRPr="0020236C">
              <w:rPr>
                <w:sz w:val="26"/>
                <w:szCs w:val="26"/>
              </w:rPr>
              <w:t xml:space="preserve"> инструменты учитывают цикличность экономических процессов и могут подстраиваться со временем, то мы будем делать поправку на отдельные макроэкономические переменные, которые могут оказывать влияние на уровень потерь. В течение 2019 года Банк России совместно с крупнейшими участниками рынка осуществит сбор необходимых данных и проведет оценку зависимости риска по кредитному портфелю от уровня долговой нагрузки физических лиц.</w:t>
            </w:r>
          </w:p>
        </w:tc>
      </w:tr>
      <w:tr w:rsidR="000E0AEE" w:rsidTr="001C0F5F">
        <w:trPr>
          <w:trHeight w:val="1396"/>
        </w:trPr>
        <w:tc>
          <w:tcPr>
            <w:tcW w:w="6232" w:type="dxa"/>
          </w:tcPr>
          <w:p w:rsidR="000E0AEE" w:rsidRPr="00555781" w:rsidRDefault="000E0AE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0" w:line="240" w:lineRule="auto"/>
              <w:ind w:left="0" w:firstLine="738"/>
              <w:contextualSpacing w:val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555781">
              <w:rPr>
                <w:bCs/>
                <w:sz w:val="26"/>
                <w:szCs w:val="26"/>
              </w:rPr>
              <w:lastRenderedPageBreak/>
              <w:t>Будет ли Банк России устанавливать коэффициенты риска, ограничивающие кредитование физических лиц с высокими значениями ПДН? Какими могут быть предельные значения ПДН в этом случае?</w:t>
            </w:r>
          </w:p>
        </w:tc>
        <w:tc>
          <w:tcPr>
            <w:tcW w:w="8753" w:type="dxa"/>
          </w:tcPr>
          <w:p w:rsidR="001C0F5F" w:rsidRPr="0020236C" w:rsidRDefault="001C0F5F" w:rsidP="00FA1A67">
            <w:pPr>
              <w:spacing w:before="120"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При установлении значений коэффициентов риска Банк России преследует цель поддержания кредитными организациями капитала, достаточного для покрытия потерь по кредитному портфелю и предотвращение накопления системных рисков в секторе. Ограничительный эффект от повышенных коэффициентов риска по кредитам с высоким уровнем ПДН отражает уровень кредитного риска в данном сегменте.</w:t>
            </w:r>
          </w:p>
          <w:p w:rsidR="000E0AEE" w:rsidRPr="0020236C" w:rsidRDefault="001C0F5F" w:rsidP="00FA1A67">
            <w:pPr>
              <w:spacing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>По текущим оценкам, основанным на опросе банков по задолженности заемщика в данном банке, средний уровень долговой нагрузки заемщиков составляет 42% в необеспеченном потребительском кредитовании и 47% в ипотечном. При этом долговую нагрузку свыше 70% имеют лишь 12 и 10% заемщиков соответственно. Хотя мы допускаем, что эта цифра может возрасти при расчете банками величины ПДН в соответствии с методикой, определенной Банком России.</w:t>
            </w:r>
          </w:p>
        </w:tc>
      </w:tr>
      <w:tr w:rsidR="000E0AEE" w:rsidTr="001C0F5F">
        <w:trPr>
          <w:trHeight w:val="1396"/>
        </w:trPr>
        <w:tc>
          <w:tcPr>
            <w:tcW w:w="6232" w:type="dxa"/>
          </w:tcPr>
          <w:p w:rsidR="000E0AEE" w:rsidRPr="00555781" w:rsidRDefault="000E0AE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0" w:line="240" w:lineRule="auto"/>
              <w:ind w:left="0" w:firstLine="738"/>
              <w:contextualSpacing w:val="0"/>
              <w:jc w:val="both"/>
              <w:rPr>
                <w:bCs/>
                <w:sz w:val="26"/>
                <w:szCs w:val="26"/>
              </w:rPr>
            </w:pPr>
            <w:r w:rsidRPr="00555781">
              <w:rPr>
                <w:bCs/>
                <w:sz w:val="26"/>
                <w:szCs w:val="26"/>
              </w:rPr>
              <w:t>Как будущие регуляторные ограничения, устанавливаемые при высоких значениях ПДН, могут повлиять на развитие розничного, жилищного кредитования, автокредитования, на лиц с неформальным доходом и занятостью? Как Банк России оценивает риски развития теневого рынка кредитования?</w:t>
            </w:r>
          </w:p>
        </w:tc>
        <w:tc>
          <w:tcPr>
            <w:tcW w:w="8753" w:type="dxa"/>
          </w:tcPr>
          <w:p w:rsidR="001C0F5F" w:rsidRPr="0020236C" w:rsidRDefault="001C0F5F" w:rsidP="00FA1A67">
            <w:pPr>
              <w:spacing w:before="120"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Негативного эффекта для развития рынка и существенных рисков по ограничению финансовой доступности кредитных ресурсов для населения не ожидается. Надбавки направлены на сдерживание роста кредитов с наиболее рисковыми характеристиками, в том числе с высоким уровнем ПДН. Это позволит снизить чрезмерную закредитованность лиц с неподтверждённым доходом, при этом доступ у этой категории заёмщиков к кредитам сохранится – банки вправе рассчитывать ПДН таких заёмщиков на основе среднедушевого регионального денежного дохода.</w:t>
            </w:r>
          </w:p>
          <w:p w:rsidR="001C0F5F" w:rsidRPr="0020236C" w:rsidRDefault="001C0F5F" w:rsidP="00FA1A67">
            <w:pPr>
              <w:spacing w:after="12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Если под теневым рынком понимать небанковское финансовое посредничество (участники финансового рынка, которые оказывают кредитные услуги в той или иной форме за пределами банковского сектора, например, МФО), то Банк России предпринял меры для минимизации последствий регулятивного арбитража в этой области. Так, с 1 октября 2019 года для МФО будет введен повышенный коэффициент риска при расчете норматива достаточности капитала по микрозаймам, выдан</w:t>
            </w:r>
            <w:r w:rsidR="00FA1A67">
              <w:rPr>
                <w:sz w:val="26"/>
                <w:szCs w:val="26"/>
              </w:rPr>
              <w:t>ным заемщикам с ПДН больше 50%.</w:t>
            </w:r>
          </w:p>
          <w:p w:rsidR="000E0AEE" w:rsidRPr="0020236C" w:rsidRDefault="001C0F5F" w:rsidP="00FA1A67">
            <w:pPr>
              <w:spacing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lastRenderedPageBreak/>
              <w:t>Если речь идёт о нелегальных кредиторах, то 28 января 2019 года вступили в силу изменения в Закон «О потребительском кредите (займе)» (п.5 статьи 13 № 353-ФЗ), которые существенно ограничивают права недобросовестных участников рынка. В частности, они лишаются права требования по выданному кредиту, если на момент заключения договора первоначальный кредитор не являлся юридическим лицом, осуществляющим профессиональную деятельность по предоставлению потребительских займов.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0" w:line="240" w:lineRule="auto"/>
              <w:ind w:left="0" w:firstLine="738"/>
              <w:contextualSpacing w:val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555781">
              <w:rPr>
                <w:bCs/>
                <w:sz w:val="26"/>
                <w:szCs w:val="26"/>
              </w:rPr>
              <w:lastRenderedPageBreak/>
              <w:t>Как планируется развивать методику расчета ПДН в будущем? Планирует ли Банк России в методологии ПДН разрешить применять модельный расчет дохода на собственных (внешних, внутренних) данных банка?</w:t>
            </w:r>
          </w:p>
        </w:tc>
        <w:tc>
          <w:tcPr>
            <w:tcW w:w="8753" w:type="dxa"/>
          </w:tcPr>
          <w:p w:rsidR="001C0F5F" w:rsidRPr="0020236C" w:rsidRDefault="001C0F5F" w:rsidP="00FA1A67">
            <w:pPr>
              <w:spacing w:before="120"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 xml:space="preserve">В текущем году Банк России планирует внести изменения редакционного характера в методику расчета ПДН для корректировки отдельных положений. Изменений концептуального характера не предполагается. </w:t>
            </w:r>
          </w:p>
          <w:p w:rsidR="00384B1E" w:rsidRPr="0020236C" w:rsidRDefault="001C0F5F" w:rsidP="00FA1A67">
            <w:pPr>
              <w:spacing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>Указанием № 4892-У уже предусмотрен модельный подход для кредитов (займов) до 50 тысяч рублей или кредитов (займов) на цели приобретения автотранспортного средства, действующий до 1 октября 2020 года. В настоящее время введение дополнительных изменений в указанной части не планируется.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0" w:line="240" w:lineRule="auto"/>
              <w:ind w:left="0" w:firstLine="738"/>
              <w:contextualSpacing w:val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555781">
              <w:rPr>
                <w:bCs/>
                <w:sz w:val="26"/>
                <w:szCs w:val="26"/>
              </w:rPr>
              <w:t>Будет ли Банк России стимулировать развитие сервисов подтверждения дохода физических лиц?</w:t>
            </w:r>
          </w:p>
        </w:tc>
        <w:tc>
          <w:tcPr>
            <w:tcW w:w="8753" w:type="dxa"/>
          </w:tcPr>
          <w:p w:rsidR="001C0F5F" w:rsidRPr="0020236C" w:rsidRDefault="001C0F5F" w:rsidP="00FA1A67">
            <w:pPr>
              <w:spacing w:before="120"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 xml:space="preserve">В 2017 году Минкомсвязью России реализована технологическая возможность использования механизма получения посредством Единого портала государственных и муниципальных услуг результатов оказания государственных и муниципальных услуг, документов (сведений) в электронной форме (далее – механизм). Возможность использования механизма доступна кредитным и </w:t>
            </w:r>
            <w:proofErr w:type="spellStart"/>
            <w:r w:rsidRPr="0020236C">
              <w:rPr>
                <w:sz w:val="26"/>
                <w:szCs w:val="26"/>
              </w:rPr>
              <w:t>некредитным</w:t>
            </w:r>
            <w:proofErr w:type="spellEnd"/>
            <w:r w:rsidRPr="0020236C">
              <w:rPr>
                <w:sz w:val="26"/>
                <w:szCs w:val="26"/>
              </w:rPr>
              <w:t xml:space="preserve"> финансовым организациям, подключенным к единой системе межведомственно</w:t>
            </w:r>
            <w:r w:rsidR="00555781">
              <w:rPr>
                <w:sz w:val="26"/>
                <w:szCs w:val="26"/>
              </w:rPr>
              <w:t>го электронного взаимодействия.</w:t>
            </w:r>
          </w:p>
          <w:p w:rsidR="001C0F5F" w:rsidRPr="0020236C" w:rsidRDefault="001C0F5F" w:rsidP="0020236C">
            <w:pPr>
              <w:spacing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Учитывая, что в работе механизма задействовано несколько информационных систем государственных органов и организаций, предоставление информации с его помощью выполняется не в онлайн режиме.</w:t>
            </w:r>
          </w:p>
          <w:p w:rsidR="001C0F5F" w:rsidRPr="0020236C" w:rsidRDefault="001C0F5F" w:rsidP="0020236C">
            <w:pPr>
              <w:spacing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lastRenderedPageBreak/>
              <w:t>Банк России совместно с Минкомсвязью России, Минэкономразвития России, МВД России, ФССП России, ФНС России, Росфинмониторингом, ПФР и представителями банковского сообщества ведут работу по проработке предложений по устранению существующих проблем и совершенствованию механизма.</w:t>
            </w:r>
          </w:p>
          <w:p w:rsidR="00384B1E" w:rsidRPr="0020236C" w:rsidRDefault="001C0F5F" w:rsidP="00555781">
            <w:pPr>
              <w:spacing w:after="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>Указанные работы выполняются Банком России в соответствии с Основными направлениями развития финансового рынка Российской Федерации на</w:t>
            </w:r>
            <w:r w:rsidR="00555781">
              <w:rPr>
                <w:sz w:val="26"/>
                <w:szCs w:val="26"/>
              </w:rPr>
              <w:t xml:space="preserve"> </w:t>
            </w:r>
            <w:r w:rsidRPr="0020236C">
              <w:rPr>
                <w:sz w:val="26"/>
                <w:szCs w:val="26"/>
              </w:rPr>
              <w:t>2019-2021 годы и плана мероприятий («дорожная карта») по их реализации.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555781">
              <w:rPr>
                <w:sz w:val="26"/>
                <w:szCs w:val="26"/>
              </w:rPr>
              <w:lastRenderedPageBreak/>
              <w:t xml:space="preserve">Какие источники банк имеет право использовать для расчета среднеарифметического значения ПСК на основе доступных рыночных значений ПСК (пункт 2.7. абзац 4 Приложения 1 Указания 4892-У)? Может ли банк </w:t>
            </w:r>
            <w:r w:rsidR="000E0AEE" w:rsidRPr="00555781">
              <w:rPr>
                <w:sz w:val="26"/>
                <w:szCs w:val="26"/>
              </w:rPr>
              <w:t>использовать внутренние данные?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 xml:space="preserve">В случае отсутствия опубликованного Банком России среднерыночного значения ПСК по категориям потребительских кредитов (займов), соответствующим условиям договора кредита (займа), банк вправе использовать информацию из внутренних источников (например, сведения </w:t>
            </w:r>
            <w:proofErr w:type="spellStart"/>
            <w:r w:rsidRPr="0020236C">
              <w:rPr>
                <w:sz w:val="26"/>
                <w:szCs w:val="26"/>
              </w:rPr>
              <w:t>внутрибанковской</w:t>
            </w:r>
            <w:proofErr w:type="spellEnd"/>
            <w:r w:rsidRPr="0020236C">
              <w:rPr>
                <w:sz w:val="26"/>
                <w:szCs w:val="26"/>
              </w:rPr>
              <w:t xml:space="preserve"> группы).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При расчете среднемесячного платежа по кредитным картам (пункт 2.9. Приложения 1 Указания 4892-У), может ли банк самостоятельно выбирать метод расчета в рамках каждого кредита отдельно (например, брать большее или меньшее значение)?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>Указанием № 4892-У предполагается выбор единого подхода для осуществления расчетов по всем кредитам, выданным с использованием банковских карт.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 xml:space="preserve">При расчете обязательств заемщика, в случае наличия у него активного кредита в кредитной организации, которая входит в банковскую группу банка, имеет ли право банк использовать внутреннюю </w:t>
            </w:r>
            <w:r w:rsidRPr="00555781">
              <w:rPr>
                <w:sz w:val="26"/>
                <w:szCs w:val="26"/>
              </w:rPr>
              <w:lastRenderedPageBreak/>
              <w:t>информацию о платежах заемщика?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lastRenderedPageBreak/>
              <w:t>Да. При условии, что полученная информация документально подтверждена</w:t>
            </w:r>
            <w:r w:rsidRPr="0020236C">
              <w:rPr>
                <w:rStyle w:val="a8"/>
                <w:sz w:val="26"/>
                <w:szCs w:val="26"/>
              </w:rPr>
              <w:footnoteReference w:id="3"/>
            </w:r>
            <w:r w:rsidRPr="0020236C">
              <w:rPr>
                <w:sz w:val="26"/>
                <w:szCs w:val="26"/>
              </w:rPr>
              <w:t xml:space="preserve">, соответствует критериям, установленным в методике расчета </w:t>
            </w:r>
            <w:r w:rsidRPr="0020236C">
              <w:rPr>
                <w:sz w:val="26"/>
                <w:szCs w:val="26"/>
              </w:rPr>
              <w:lastRenderedPageBreak/>
              <w:t>ПДН, и оценивается как достоверная и актуальная</w:t>
            </w:r>
            <w:r w:rsidRPr="0020236C">
              <w:rPr>
                <w:rStyle w:val="a8"/>
                <w:sz w:val="26"/>
                <w:szCs w:val="26"/>
              </w:rPr>
              <w:footnoteReference w:id="4"/>
            </w:r>
            <w:r w:rsidRPr="0020236C">
              <w:rPr>
                <w:sz w:val="26"/>
                <w:szCs w:val="26"/>
              </w:rPr>
              <w:t>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lastRenderedPageBreak/>
              <w:t>Просим дать разъяснения в части интерпретации пункта 2.11 приложения 1 Указания 4892-У, регламентирующего порядок расчёта ПДН</w:t>
            </w:r>
            <w:r w:rsidRPr="00555781">
              <w:rPr>
                <w:rStyle w:val="a8"/>
                <w:sz w:val="26"/>
                <w:szCs w:val="26"/>
              </w:rPr>
              <w:footnoteReference w:id="5"/>
            </w:r>
            <w:r w:rsidRPr="00555781">
              <w:rPr>
                <w:sz w:val="26"/>
                <w:szCs w:val="26"/>
              </w:rPr>
              <w:t>: является ли правильным вывод, состоящий в том, что для целей расчёта суммы платежей по кредитам и займам по договорам, заключённым заёмщиком с другими кредиторами (заимодавцами) банк вправе использовать размер фактического следующего платежа, уже отражённый в бюро кредитных историй (в том числе с учётом осуществлённых частичных досрочных погашений), т.е. нет необходимости пересчитывать платёж именно через ПСК (формула из пункта 2.6 приложения 1 Указания 4892-У), для каждого обязательства?</w:t>
            </w:r>
          </w:p>
        </w:tc>
        <w:tc>
          <w:tcPr>
            <w:tcW w:w="8753" w:type="dxa"/>
          </w:tcPr>
          <w:p w:rsidR="006070ED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 xml:space="preserve">Нет. Кредитная организация обязана рассчитать среднемесячные платежи по предоставленным кредитам за период с даты предоставления кредита (или даты расчета ПДН) до предусмотренной договором </w:t>
            </w:r>
            <w:r w:rsidRPr="0020236C">
              <w:rPr>
                <w:sz w:val="26"/>
                <w:szCs w:val="26"/>
                <w:u w:val="single"/>
              </w:rPr>
              <w:t>даты полного исполнения обязательств по кредиту</w:t>
            </w:r>
            <w:r w:rsidRPr="0020236C">
              <w:rPr>
                <w:sz w:val="26"/>
                <w:szCs w:val="26"/>
              </w:rPr>
              <w:t>. При этом отчеты БКИ содержат сведения только о платежах, произведенных на текущую дату, что не позволяет корректно произвести расчет среднемесячного платежа только на основе дан</w:t>
            </w:r>
          </w:p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20236C">
              <w:rPr>
                <w:sz w:val="26"/>
                <w:szCs w:val="26"/>
              </w:rPr>
              <w:t>ных</w:t>
            </w:r>
            <w:proofErr w:type="spellEnd"/>
            <w:r w:rsidRPr="0020236C">
              <w:rPr>
                <w:sz w:val="26"/>
                <w:szCs w:val="26"/>
              </w:rPr>
              <w:t xml:space="preserve"> БКИ.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Правильно ли понимать, что, если при повторном расчете ПДН в соответствии с п 3.2 Приложения 1 Указания 4892-У актуальность данных о доходах заемщика превысила два месяца</w:t>
            </w:r>
            <w:r w:rsidRPr="00555781">
              <w:rPr>
                <w:rStyle w:val="a8"/>
                <w:sz w:val="26"/>
                <w:szCs w:val="26"/>
              </w:rPr>
              <w:footnoteReference w:id="6"/>
            </w:r>
            <w:r w:rsidRPr="00555781">
              <w:rPr>
                <w:sz w:val="26"/>
                <w:szCs w:val="26"/>
              </w:rPr>
              <w:t>, банк имеет право использовать сведения о доходах заемщика, принятые при первичном расчете ПДН?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t>Указанное условие действует только для ипотечных кредитов в случае если с даты расчета ПДН при принятии решения о предоставлении ипотечного кредита до даты предоставления ипотечного кредита прошло более одного календарного месяца.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lastRenderedPageBreak/>
              <w:t xml:space="preserve">При предоставлении розничного кредитного продукта с установленным лимитом кредитования на карточном счете до 50 тыс. руб. и использовании для расчета среднемесячного дохода данных, указанных в заявлении о предоставлении кредита заемщика, в случае последующего увеличения суммы лимита кредитования по инициативе банка свыше 50 тыс. руб., за счет </w:t>
            </w:r>
            <w:proofErr w:type="spellStart"/>
            <w:r w:rsidRPr="00555781">
              <w:rPr>
                <w:sz w:val="26"/>
                <w:szCs w:val="26"/>
              </w:rPr>
              <w:t>внутрибанковской</w:t>
            </w:r>
            <w:proofErr w:type="spellEnd"/>
            <w:r w:rsidRPr="00555781">
              <w:rPr>
                <w:sz w:val="26"/>
                <w:szCs w:val="26"/>
              </w:rPr>
              <w:t xml:space="preserve"> рейтинговой системы, которая производит увеличение лимита кредитования при активном использовании кредитной карты и отсутствия выходов на просрочку (правила и методы увеличения лимита кредитования при помощи данного алгоритма описаны в внутрибанковских Методиках), вправе ли банк использовать данные о доходах из заявления заемщика о предоставлении кредитного продукта, предоставленного заемщиком ранее?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Нет, в указанном случае упрощенный порядок получения сведений о доходах применяется только при предоставлении кредитов (займов) до 50 тысяч рублей.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 xml:space="preserve">В отсутствие выписки, указанной в пункте 7 Приложения 9 Указания 4892-У, для состава гражданских судов, трудоустроенных в организациях, не являющихся налоговыми резидентами Российской Федерации, вправе ли банк принимать в качестве подтверждения дохода заемщика в качестве иного документа согласно п.9 Приложения 9, например, трудовой договор (или справку от организации, осуществляющей найм и трудоустройство моряков на суда, подтверждающую факт последующего трудоустройства моряка) и определять </w:t>
            </w:r>
            <w:r w:rsidRPr="00555781">
              <w:rPr>
                <w:sz w:val="26"/>
                <w:szCs w:val="26"/>
              </w:rPr>
              <w:lastRenderedPageBreak/>
              <w:t>среднемесячный доход заемщика по внутрибанковским методикам?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lastRenderedPageBreak/>
              <w:t>Кредитная организация вправе использовать иные официальные документы, содержащие сведения о доходах заемщика, выданные организациями или предприятиями, в том числе трудовой договор или справку от организации, осуществляющей найм и трудоустройство моряков на суда, подтверждающую факт его трудоустройства. Расчет среднемесячного дохода заемщика по внутрибанковским методикам возможен только в случае предоставления кредитов (займов) до 50 тысяч рублей или кредитов (займов) на цели приобретения автотранспортного средства.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Может ли банк включать в код 4001.i кредит, предоставленный физическому лицу на приобретение автотранспортного средства, по которому договором предусмотрен залог приобретаемого автотранспортного средства, до момента оформления обеспечения/внесения записи в реестр уведомлений о залоге движимого имущества?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Да. Учитывая, что в соответствии с условиями договора предусмотрено обеспечение залогом приобретаемого автотранспортного средства, Указанием № 4892-У не ставится вопрос отнесения актива к коду 4001.</w:t>
            </w:r>
            <w:proofErr w:type="spellStart"/>
            <w:r w:rsidRPr="0020236C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20236C">
              <w:rPr>
                <w:sz w:val="26"/>
                <w:szCs w:val="26"/>
              </w:rPr>
              <w:t xml:space="preserve"> в зависимость от даты внесения записи в реестр уведомлений о залоге движимого имущества.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 xml:space="preserve">В настоящее время действие кода 4001.i распространяется на кредиты, предоставленные физическим лицам в рублях на приобретение автотранспортного средства. Фактическое применение обеспечительных мер в виде залога автотранспортного средства является тождественным для кредитов, выданных как на приобретение транспортных средств, так и на потребительские цели. </w:t>
            </w:r>
            <w:bookmarkStart w:id="1" w:name="_Hlk535853266"/>
            <w:r w:rsidRPr="00555781">
              <w:rPr>
                <w:sz w:val="26"/>
                <w:szCs w:val="26"/>
              </w:rPr>
              <w:t>Планируется ли распространить действие кода 4001.i на потребительские кредиты в рублях, предоставленные на цели, отличные от приобретения автотранспортного средства, по которым исполнение обязательств заемщика обеспечено залогом автотранспортного средства</w:t>
            </w:r>
            <w:bookmarkEnd w:id="1"/>
            <w:r w:rsidRPr="00555781">
              <w:rPr>
                <w:sz w:val="26"/>
                <w:szCs w:val="26"/>
              </w:rPr>
              <w:t>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В настоящее время мы рекомендуем кредитным организациям относить такие активы к коду 4001.i, принимая во внимание, что кредит обеспеченный и надбавка к коэффициентам риска по нему не применяется. В дальнейшем для указанных активов будет рассматриваться перспектива введения отдельного кода.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 xml:space="preserve">Какой алгоритм включения в коды, приведенные в Указании 4892-У, кредитного требования и требований по получению начисленных (накопленных) процентов по рублевой ссуде на потребительские цели, не связанные с приобретением </w:t>
            </w:r>
            <w:r w:rsidRPr="00555781">
              <w:rPr>
                <w:sz w:val="26"/>
                <w:szCs w:val="26"/>
              </w:rPr>
              <w:lastRenderedPageBreak/>
              <w:t>жилого помещения, которая обеспечена</w:t>
            </w:r>
            <w:r w:rsidRPr="00555781">
              <w:rPr>
                <w:rStyle w:val="a8"/>
                <w:sz w:val="26"/>
                <w:szCs w:val="26"/>
              </w:rPr>
              <w:footnoteReference w:id="7"/>
            </w:r>
            <w:r w:rsidRPr="00555781">
              <w:rPr>
                <w:sz w:val="26"/>
                <w:szCs w:val="26"/>
              </w:rPr>
              <w:t xml:space="preserve"> залогом недвижимости не в полном объеме? Выделяются ли обеспеченная и необеспеченная части?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120" w:line="240" w:lineRule="auto"/>
              <w:ind w:firstLine="743"/>
              <w:jc w:val="both"/>
              <w:rPr>
                <w:sz w:val="26"/>
                <w:szCs w:val="26"/>
                <w:shd w:val="clear" w:color="auto" w:fill="FFFFFF"/>
              </w:rPr>
            </w:pPr>
            <w:r w:rsidRPr="0020236C">
              <w:rPr>
                <w:sz w:val="26"/>
                <w:szCs w:val="26"/>
              </w:rPr>
              <w:lastRenderedPageBreak/>
              <w:t>Указанием № 4892-У не предусмотрено разделения актива на обеспеченные и необеспеченные части. Указанный актив, в случае если он не относится к исключениям, предусмотренным пунктом 11 Указания № 4892-У, рекомендуется относить в зависимости от его параметров к кодам 3001.</w:t>
            </w:r>
            <w:proofErr w:type="spellStart"/>
            <w:r w:rsidRPr="0020236C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20236C">
              <w:rPr>
                <w:sz w:val="26"/>
                <w:szCs w:val="26"/>
              </w:rPr>
              <w:t xml:space="preserve"> – 3014.</w:t>
            </w:r>
            <w:proofErr w:type="spellStart"/>
            <w:r w:rsidRPr="0020236C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20236C">
              <w:rPr>
                <w:sz w:val="26"/>
                <w:szCs w:val="26"/>
              </w:rPr>
              <w:t xml:space="preserve"> (ипотечные кредиты в рублях), 6004.i (ипотечные кредиты в </w:t>
            </w:r>
            <w:r w:rsidRPr="0020236C">
              <w:rPr>
                <w:sz w:val="26"/>
                <w:szCs w:val="26"/>
              </w:rPr>
              <w:lastRenderedPageBreak/>
              <w:t>иностранной валюте), 6005.</w:t>
            </w:r>
            <w:proofErr w:type="spellStart"/>
            <w:r w:rsidRPr="0020236C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20236C">
              <w:rPr>
                <w:sz w:val="26"/>
                <w:szCs w:val="26"/>
              </w:rPr>
              <w:t xml:space="preserve"> (кредиты физическим лицам в иностранной валюте, за исключением ипотечных кредитов и кредитов на потребительские цели).</w:t>
            </w:r>
          </w:p>
        </w:tc>
      </w:tr>
      <w:tr w:rsidR="00384B1E" w:rsidTr="001C0F5F">
        <w:trPr>
          <w:trHeight w:val="486"/>
        </w:trPr>
        <w:tc>
          <w:tcPr>
            <w:tcW w:w="6232" w:type="dxa"/>
          </w:tcPr>
          <w:p w:rsidR="00384B1E" w:rsidRPr="00555781" w:rsidRDefault="00384B1E" w:rsidP="00FA1A67">
            <w:pPr>
              <w:pStyle w:val="a4"/>
              <w:numPr>
                <w:ilvl w:val="0"/>
                <w:numId w:val="1"/>
              </w:numPr>
              <w:tabs>
                <w:tab w:val="left" w:pos="1163"/>
              </w:tabs>
              <w:spacing w:before="120" w:after="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lastRenderedPageBreak/>
              <w:t>Предлагается:</w:t>
            </w:r>
          </w:p>
          <w:p w:rsidR="00384B1E" w:rsidRPr="00555781" w:rsidRDefault="00384B1E" w:rsidP="00FA1A67">
            <w:pPr>
              <w:pStyle w:val="a4"/>
              <w:tabs>
                <w:tab w:val="left" w:pos="1163"/>
              </w:tabs>
              <w:spacing w:after="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 xml:space="preserve"> - разрешить расчет дохода с помощью моделей, разработанных на базе исторических данных;</w:t>
            </w:r>
          </w:p>
          <w:p w:rsidR="00384B1E" w:rsidRPr="00555781" w:rsidRDefault="00384B1E" w:rsidP="00FA1A67">
            <w:pPr>
              <w:pStyle w:val="a4"/>
              <w:tabs>
                <w:tab w:val="left" w:pos="1163"/>
              </w:tabs>
              <w:spacing w:after="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- предусмотреть возможность применения модельного подхода для расчёта дохода ФЛ и определения граничных значений показателя ПДН;</w:t>
            </w:r>
          </w:p>
          <w:p w:rsidR="00384B1E" w:rsidRPr="00555781" w:rsidRDefault="00384B1E" w:rsidP="00FA1A67">
            <w:pPr>
              <w:pStyle w:val="a4"/>
              <w:tabs>
                <w:tab w:val="left" w:pos="1163"/>
              </w:tabs>
              <w:spacing w:after="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- установить дифференцированные значения показателя ПДН для разных кредитов в зависимости от характеристик кредитора;</w:t>
            </w:r>
          </w:p>
          <w:p w:rsidR="00384B1E" w:rsidRPr="00555781" w:rsidRDefault="00384B1E" w:rsidP="00FA1A67">
            <w:pPr>
              <w:pStyle w:val="a4"/>
              <w:tabs>
                <w:tab w:val="left" w:pos="1163"/>
              </w:tabs>
              <w:spacing w:after="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- не применять надбавки к коэффициентам риска в зависимости от значения ПДН до 01.01.2020, далее вводить соответствующие коэффициенты поэтапно;</w:t>
            </w:r>
          </w:p>
          <w:p w:rsidR="00384B1E" w:rsidRPr="00555781" w:rsidRDefault="00384B1E" w:rsidP="00FA1A67">
            <w:pPr>
              <w:pStyle w:val="a4"/>
              <w:tabs>
                <w:tab w:val="left" w:pos="1163"/>
              </w:tabs>
              <w:spacing w:after="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- срок действия расчета ПДН для жилищных кредитов увеличить до 210 дней.</w:t>
            </w:r>
          </w:p>
        </w:tc>
        <w:tc>
          <w:tcPr>
            <w:tcW w:w="8753" w:type="dxa"/>
          </w:tcPr>
          <w:p w:rsidR="00384B1E" w:rsidRPr="0020236C" w:rsidRDefault="001C0F5F" w:rsidP="00FA1A67">
            <w:pPr>
              <w:spacing w:before="120"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В настоящий момент не планируется введение указанных изменений.</w:t>
            </w:r>
          </w:p>
          <w:p w:rsidR="0020236C" w:rsidRPr="0020236C" w:rsidRDefault="0020236C" w:rsidP="0020236C">
            <w:pPr>
              <w:spacing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Указанием № 4892-У уже предусмотрен модельный подход для кредитов (займов) до 50 тысяч рублей или кредитов (займов) на цели приобретения автотранспортного средства, действующий до 1 октября 2020 года. В настоящее время введение дополнительных изменений в указанной части не планируется.</w:t>
            </w:r>
          </w:p>
          <w:p w:rsidR="0020236C" w:rsidRPr="0020236C" w:rsidRDefault="0020236C" w:rsidP="0020236C">
            <w:pPr>
              <w:spacing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 xml:space="preserve">Банк России использует два подхода для оценки кредитных рисков банков: стандартизированный подход и подход на основе внутренних рейтингов. В рамках первого подхода </w:t>
            </w:r>
            <w:proofErr w:type="spellStart"/>
            <w:r w:rsidRPr="0020236C">
              <w:rPr>
                <w:sz w:val="26"/>
                <w:szCs w:val="26"/>
              </w:rPr>
              <w:t>Базельским</w:t>
            </w:r>
            <w:proofErr w:type="spellEnd"/>
            <w:r w:rsidRPr="0020236C">
              <w:rPr>
                <w:sz w:val="26"/>
                <w:szCs w:val="26"/>
              </w:rPr>
              <w:t xml:space="preserve"> Комитетом по Банковскому Надзору не предполагается дифференцированной оценки кредитного риска в зависимости от характеристик </w:t>
            </w:r>
            <w:r w:rsidRPr="0020236C">
              <w:rPr>
                <w:sz w:val="26"/>
                <w:szCs w:val="26"/>
                <w:u w:val="single"/>
              </w:rPr>
              <w:t>кредитора</w:t>
            </w:r>
            <w:r w:rsidRPr="0020236C">
              <w:rPr>
                <w:sz w:val="26"/>
                <w:szCs w:val="26"/>
              </w:rPr>
              <w:t>.</w:t>
            </w:r>
          </w:p>
          <w:p w:rsidR="0020236C" w:rsidRPr="0020236C" w:rsidRDefault="0020236C" w:rsidP="0020236C">
            <w:pPr>
              <w:spacing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 xml:space="preserve">При расчете кредитного риска на основе внутренних рейтингов наличие у </w:t>
            </w:r>
            <w:r w:rsidRPr="0020236C">
              <w:rPr>
                <w:sz w:val="26"/>
                <w:szCs w:val="26"/>
                <w:u w:val="single"/>
              </w:rPr>
              <w:t>кредитора</w:t>
            </w:r>
            <w:r w:rsidRPr="0020236C">
              <w:rPr>
                <w:sz w:val="26"/>
                <w:szCs w:val="26"/>
              </w:rPr>
              <w:t xml:space="preserve"> отличительных характеристик, уменьшающих вероятность дефолта заемщика, позволяет снизить коэффициент риска для таких кредитов по сравнению со </w:t>
            </w:r>
            <w:proofErr w:type="spellStart"/>
            <w:r w:rsidRPr="0020236C">
              <w:rPr>
                <w:sz w:val="26"/>
                <w:szCs w:val="26"/>
              </w:rPr>
              <w:t>страндартизированным</w:t>
            </w:r>
            <w:proofErr w:type="spellEnd"/>
            <w:r w:rsidRPr="0020236C">
              <w:rPr>
                <w:sz w:val="26"/>
                <w:szCs w:val="26"/>
              </w:rPr>
              <w:t xml:space="preserve"> подходом. При этом </w:t>
            </w:r>
            <w:proofErr w:type="spellStart"/>
            <w:r w:rsidRPr="0020236C">
              <w:rPr>
                <w:sz w:val="26"/>
                <w:szCs w:val="26"/>
              </w:rPr>
              <w:t>макропруденциальные</w:t>
            </w:r>
            <w:proofErr w:type="spellEnd"/>
            <w:r w:rsidRPr="0020236C">
              <w:rPr>
                <w:sz w:val="26"/>
                <w:szCs w:val="26"/>
              </w:rPr>
              <w:t xml:space="preserve"> инструменты ограничивают риски финансовой стабильности в целом и не связаны с характеристиками отдельных </w:t>
            </w:r>
            <w:r w:rsidRPr="0020236C">
              <w:rPr>
                <w:sz w:val="26"/>
                <w:szCs w:val="26"/>
                <w:u w:val="single"/>
              </w:rPr>
              <w:t>кредиторов</w:t>
            </w:r>
            <w:r w:rsidRPr="0020236C">
              <w:rPr>
                <w:sz w:val="26"/>
                <w:szCs w:val="26"/>
              </w:rPr>
              <w:t>.</w:t>
            </w:r>
          </w:p>
          <w:p w:rsidR="0020236C" w:rsidRPr="0020236C" w:rsidRDefault="0020236C" w:rsidP="0020236C">
            <w:pPr>
              <w:spacing w:after="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>Установление указанных значений планируется на конец 2019 года.</w:t>
            </w:r>
          </w:p>
          <w:p w:rsidR="0020236C" w:rsidRPr="0020236C" w:rsidRDefault="0020236C" w:rsidP="00FA1A67">
            <w:pPr>
              <w:spacing w:after="120" w:line="240" w:lineRule="auto"/>
              <w:ind w:firstLine="743"/>
              <w:jc w:val="both"/>
              <w:rPr>
                <w:sz w:val="26"/>
                <w:szCs w:val="26"/>
              </w:rPr>
            </w:pPr>
            <w:r w:rsidRPr="0020236C">
              <w:rPr>
                <w:sz w:val="26"/>
                <w:szCs w:val="26"/>
              </w:rPr>
              <w:t xml:space="preserve">Полагаем, нецелесообразным устанавливать дифференцированные сроки действия расчета ПДН для разных видов активов. В целях снижения риска увеличения ПДН для действия расчета ПДН выбран оптимальный срок, составляющий 1 месяц. Дополнительно обращаем внимание, что для ипотечных кредитов предусмотрен упрощенный порядок расчета ПДН, в </w:t>
            </w:r>
            <w:r w:rsidRPr="0020236C">
              <w:rPr>
                <w:sz w:val="26"/>
                <w:szCs w:val="26"/>
              </w:rPr>
              <w:lastRenderedPageBreak/>
              <w:t>случаях, определенных пунктом 3.2 приложения к Указанию № 4892-У.</w:t>
            </w:r>
          </w:p>
        </w:tc>
      </w:tr>
    </w:tbl>
    <w:p w:rsidR="000E3A95" w:rsidRDefault="000E3A95" w:rsidP="00BB1F3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524D9" w:rsidRDefault="00585D98" w:rsidP="00E1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855AA">
        <w:rPr>
          <w:rFonts w:ascii="Times New Roman" w:hAnsi="Times New Roman" w:cs="Times New Roman"/>
          <w:b/>
          <w:bCs/>
          <w:i/>
          <w:sz w:val="26"/>
          <w:szCs w:val="26"/>
        </w:rPr>
        <w:t>Федеральн</w:t>
      </w:r>
      <w:r w:rsidR="006142ED">
        <w:rPr>
          <w:rFonts w:ascii="Times New Roman" w:hAnsi="Times New Roman" w:cs="Times New Roman"/>
          <w:b/>
          <w:bCs/>
          <w:i/>
          <w:sz w:val="26"/>
          <w:szCs w:val="26"/>
        </w:rPr>
        <w:t>ый</w:t>
      </w:r>
      <w:r w:rsidRPr="00F855A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закон </w:t>
      </w:r>
      <w:r w:rsidR="00E1244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от 30.12.2004 № </w:t>
      </w:r>
      <w:r w:rsidRPr="00F855AA">
        <w:rPr>
          <w:rFonts w:ascii="Times New Roman" w:hAnsi="Times New Roman" w:cs="Times New Roman"/>
          <w:b/>
          <w:bCs/>
          <w:i/>
          <w:sz w:val="26"/>
          <w:szCs w:val="26"/>
        </w:rPr>
        <w:t>218-ФЗ</w:t>
      </w:r>
      <w:r w:rsidR="00A30094" w:rsidRPr="00F855A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524D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«О кредитных историях» </w:t>
      </w:r>
    </w:p>
    <w:p w:rsidR="00585D98" w:rsidRDefault="00A30094" w:rsidP="00FA1A6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855A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и </w:t>
      </w:r>
      <w:r w:rsidR="009150FA">
        <w:rPr>
          <w:rFonts w:ascii="Times New Roman" w:hAnsi="Times New Roman" w:cs="Times New Roman"/>
          <w:b/>
          <w:bCs/>
          <w:i/>
          <w:sz w:val="26"/>
          <w:szCs w:val="26"/>
        </w:rPr>
        <w:t>инициативы по его</w:t>
      </w:r>
      <w:r w:rsidRPr="00F855A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изменению</w:t>
      </w:r>
    </w:p>
    <w:tbl>
      <w:tblPr>
        <w:tblStyle w:val="ae"/>
        <w:tblW w:w="14985" w:type="dxa"/>
        <w:tblLook w:val="04A0" w:firstRow="1" w:lastRow="0" w:firstColumn="1" w:lastColumn="0" w:noHBand="0" w:noVBand="1"/>
      </w:tblPr>
      <w:tblGrid>
        <w:gridCol w:w="7492"/>
        <w:gridCol w:w="7493"/>
      </w:tblGrid>
      <w:tr w:rsidR="000E0AEE" w:rsidRPr="00FA4462" w:rsidTr="00FA1A67">
        <w:trPr>
          <w:trHeight w:val="172"/>
        </w:trPr>
        <w:tc>
          <w:tcPr>
            <w:tcW w:w="7492" w:type="dxa"/>
            <w:vAlign w:val="center"/>
          </w:tcPr>
          <w:p w:rsidR="00FA4462" w:rsidRPr="00FA4462" w:rsidRDefault="000E0AEE" w:rsidP="00FA1A67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FA4462">
              <w:rPr>
                <w:b/>
                <w:sz w:val="26"/>
                <w:szCs w:val="26"/>
              </w:rPr>
              <w:t>Вопросы и предложения</w:t>
            </w:r>
          </w:p>
        </w:tc>
        <w:tc>
          <w:tcPr>
            <w:tcW w:w="7493" w:type="dxa"/>
            <w:vAlign w:val="center"/>
          </w:tcPr>
          <w:p w:rsidR="000E0AEE" w:rsidRPr="00FA4462" w:rsidRDefault="000E0AEE" w:rsidP="00FA1A67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FA4462">
              <w:rPr>
                <w:b/>
                <w:sz w:val="26"/>
                <w:szCs w:val="26"/>
              </w:rPr>
              <w:t>Ответы и комментарии</w:t>
            </w:r>
          </w:p>
        </w:tc>
      </w:tr>
      <w:tr w:rsidR="000E0AEE" w:rsidTr="00D50888">
        <w:trPr>
          <w:trHeight w:val="486"/>
        </w:trPr>
        <w:tc>
          <w:tcPr>
            <w:tcW w:w="7492" w:type="dxa"/>
          </w:tcPr>
          <w:p w:rsidR="000E0AEE" w:rsidRPr="00555781" w:rsidRDefault="000E0AEE" w:rsidP="00FA4462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Федеральным законом 327-ФЗ от 03.08.2018 внесены следующие изменения:</w:t>
            </w:r>
          </w:p>
          <w:p w:rsidR="000E0AEE" w:rsidRPr="00555781" w:rsidRDefault="000E0AEE" w:rsidP="00FA4462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5781">
              <w:rPr>
                <w:rFonts w:ascii="Times New Roman" w:eastAsia="Times New Roman" w:hAnsi="Times New Roman"/>
                <w:sz w:val="26"/>
                <w:szCs w:val="26"/>
              </w:rPr>
              <w:t>18.1. В определение понятия «договор займа (кредита)» для целей Закона 218-ФЗ включены договоры банковского счета, предусматривающие осуществление платежей со счета, несмотря на отсутствие денежных средств (кредитовани</w:t>
            </w:r>
            <w:r w:rsidR="00FA4462">
              <w:rPr>
                <w:rFonts w:ascii="Times New Roman" w:eastAsia="Times New Roman" w:hAnsi="Times New Roman"/>
                <w:sz w:val="26"/>
                <w:szCs w:val="26"/>
              </w:rPr>
              <w:t>е счета) (ст. 3 Закона 218-ФЗ).</w:t>
            </w:r>
          </w:p>
          <w:p w:rsidR="000E0AEE" w:rsidRPr="00555781" w:rsidRDefault="000E0AEE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555781">
              <w:rPr>
                <w:bCs/>
                <w:iCs/>
                <w:sz w:val="26"/>
                <w:szCs w:val="26"/>
              </w:rPr>
              <w:t>Просим уточнить, возникает ли в этой связи у банков обязанность по передаче информации, входящей в состав кредитной истории в бюро кредитных историй</w:t>
            </w:r>
            <w:r w:rsidRPr="00555781">
              <w:rPr>
                <w:rStyle w:val="a8"/>
                <w:bCs/>
                <w:iCs/>
                <w:sz w:val="26"/>
                <w:szCs w:val="26"/>
              </w:rPr>
              <w:footnoteReference w:id="8"/>
            </w:r>
            <w:r w:rsidRPr="00555781">
              <w:rPr>
                <w:bCs/>
                <w:iCs/>
                <w:sz w:val="26"/>
                <w:szCs w:val="26"/>
              </w:rPr>
              <w:t xml:space="preserve"> в части задолженности, возникшей в результате кредитования счета сверх расходного лимита (технический овердрафт)?</w:t>
            </w:r>
          </w:p>
        </w:tc>
        <w:tc>
          <w:tcPr>
            <w:tcW w:w="7493" w:type="dxa"/>
          </w:tcPr>
          <w:p w:rsidR="00532600" w:rsidRPr="00532600" w:rsidRDefault="00532600" w:rsidP="00FA1A67">
            <w:pPr>
              <w:spacing w:before="120"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t>Согласно статье 850 Гражданского кодекса Российской Федерации (далее – ГК РФ) в случаях, когда в соответствии с договором банковского счета банк осуществляет платежи со счета несмотря на отсутствие денежных средств (кредитование счета), банк считается предоставившим клиенту кредит на соответствующую сумму с момента осуществления такого платежа.</w:t>
            </w:r>
          </w:p>
          <w:p w:rsidR="00532600" w:rsidRPr="00532600" w:rsidRDefault="00532600" w:rsidP="0053260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t>Права и обязанности сторон, связанные с кредитованием счета, определяются правилами о займе и кредите (глава 42 ГК РФ), если договором банковского счета не предусмотрено иное.</w:t>
            </w:r>
          </w:p>
          <w:p w:rsidR="000E0AEE" w:rsidRPr="00532600" w:rsidRDefault="00532600" w:rsidP="00FA1A67">
            <w:pPr>
              <w:spacing w:after="120" w:line="240" w:lineRule="auto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532600">
              <w:rPr>
                <w:sz w:val="26"/>
                <w:szCs w:val="26"/>
              </w:rPr>
              <w:t xml:space="preserve">С учетом изложенного полагаем, что в бюро кредитных историй должны представляться сведения в отношении обязательств клиента, в том числе по «техническому овердрафту» в случае, если в договоре банковского счета прямо предусмотрено условие о предоставлении клиенту кредита (овердрафта) для исполнения указанных обязательств. В случае, если в договоре банковского счета отсутствует условие о предоставлении клиенту кредита (овердрафта), и задолженность, возникшая в результате кредитования счета сверх расходного лимита («технический овердрафт») погашена клиентом в течение срока, указанного в </w:t>
            </w:r>
            <w:r w:rsidRPr="00532600">
              <w:rPr>
                <w:sz w:val="26"/>
                <w:szCs w:val="26"/>
              </w:rPr>
              <w:lastRenderedPageBreak/>
              <w:t>договоре банковского счета, либо сроками, установленными статьей 314 Гражданского кодекса Российской Федерации (без открытия ссудного счета и начисления процентов за пользование овердрафтом), то сведения о такой задолженности в бюро кредитных историй не представляются.</w:t>
            </w:r>
          </w:p>
        </w:tc>
      </w:tr>
      <w:tr w:rsidR="000E0AEE" w:rsidTr="00D50888">
        <w:trPr>
          <w:trHeight w:val="486"/>
        </w:trPr>
        <w:tc>
          <w:tcPr>
            <w:tcW w:w="7492" w:type="dxa"/>
          </w:tcPr>
          <w:p w:rsidR="000E0AEE" w:rsidRPr="00555781" w:rsidRDefault="000E0AEE" w:rsidP="00FA4462">
            <w:pPr>
              <w:pStyle w:val="a4"/>
              <w:spacing w:before="120" w:after="120" w:line="240" w:lineRule="auto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lastRenderedPageBreak/>
              <w:t xml:space="preserve">18.2. Уточняется, что </w:t>
            </w:r>
            <w:r w:rsidRPr="00555781">
              <w:rPr>
                <w:bCs/>
                <w:sz w:val="26"/>
                <w:szCs w:val="26"/>
              </w:rPr>
              <w:t>основная часть кредитной истории в отношении субъекта кредитной истории</w:t>
            </w:r>
            <w:r w:rsidRPr="00555781">
              <w:rPr>
                <w:rStyle w:val="a8"/>
                <w:bCs/>
                <w:sz w:val="26"/>
                <w:szCs w:val="26"/>
              </w:rPr>
              <w:footnoteReference w:id="9"/>
            </w:r>
            <w:r w:rsidRPr="00555781">
              <w:rPr>
                <w:bCs/>
                <w:sz w:val="26"/>
                <w:szCs w:val="26"/>
              </w:rPr>
              <w:t xml:space="preserve"> - поручителя начинает формироваться в полном объеме</w:t>
            </w:r>
            <w:r w:rsidRPr="00555781">
              <w:rPr>
                <w:sz w:val="26"/>
                <w:szCs w:val="26"/>
              </w:rPr>
              <w:t xml:space="preserve"> с даты возникновения обязанности выполнения поручителем </w:t>
            </w:r>
            <w:r w:rsidRPr="00555781">
              <w:rPr>
                <w:bCs/>
                <w:sz w:val="26"/>
                <w:szCs w:val="26"/>
              </w:rPr>
              <w:t>обязательств заемщика по договору займа (кредита) (</w:t>
            </w:r>
            <w:r w:rsidRPr="00555781">
              <w:rPr>
                <w:sz w:val="26"/>
                <w:szCs w:val="26"/>
              </w:rPr>
              <w:t xml:space="preserve">ранее - </w:t>
            </w:r>
            <w:r w:rsidRPr="00555781">
              <w:rPr>
                <w:bCs/>
                <w:sz w:val="26"/>
                <w:szCs w:val="26"/>
              </w:rPr>
              <w:t xml:space="preserve">с даты начала выполнения поручителем обязательств заемщика) (ч. 15 ст. 4 </w:t>
            </w:r>
            <w:r w:rsidRPr="00555781">
              <w:rPr>
                <w:sz w:val="26"/>
                <w:szCs w:val="26"/>
              </w:rPr>
              <w:t>Закона 218-ФЗ</w:t>
            </w:r>
            <w:r w:rsidRPr="00555781">
              <w:rPr>
                <w:bCs/>
                <w:sz w:val="26"/>
                <w:szCs w:val="26"/>
              </w:rPr>
              <w:t xml:space="preserve">). </w:t>
            </w:r>
          </w:p>
          <w:p w:rsidR="000E0AEE" w:rsidRPr="00555781" w:rsidRDefault="000E0AEE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t xml:space="preserve">Просим уточить, </w:t>
            </w:r>
            <w:r w:rsidRPr="00555781">
              <w:rPr>
                <w:sz w:val="26"/>
                <w:szCs w:val="26"/>
              </w:rPr>
              <w:t xml:space="preserve">что следует считать датой начала передачи КИ для Поручителей – дату заключения договора поручительства или дату возникновения просроченного обязательства по кредитному договору? </w:t>
            </w:r>
          </w:p>
          <w:p w:rsidR="000E0AEE" w:rsidRPr="00555781" w:rsidRDefault="000E0AEE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Также просим пояснить, должна ли в указанном случае основная часть КИ отражать порядок исполнения обязательств и по поручителю, и по заемщику?</w:t>
            </w:r>
          </w:p>
        </w:tc>
        <w:tc>
          <w:tcPr>
            <w:tcW w:w="7493" w:type="dxa"/>
          </w:tcPr>
          <w:p w:rsidR="00532600" w:rsidRPr="00532600" w:rsidRDefault="00532600" w:rsidP="00FA1A67">
            <w:pPr>
              <w:spacing w:before="120"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t>Условия поручительства, включая определение момента (даты) возникновения у поручителя обязанности исполнить обязательства заемщика по договору займа (кредита) являются предметом договора поручительства.</w:t>
            </w:r>
          </w:p>
          <w:p w:rsidR="00532600" w:rsidRPr="00532600" w:rsidRDefault="00532600" w:rsidP="0053260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t>В связи с этим датой формирования основной части кредитной истории в отношении субъекта кредитной истории - поручителя следует считать дату возникновения у поручителя обязанности исполнить обязательства заемщика по договору займа (кредита), определенную договором поручительства.</w:t>
            </w:r>
          </w:p>
          <w:p w:rsidR="000E0AEE" w:rsidRPr="00532600" w:rsidRDefault="00532600" w:rsidP="00FA1A67">
            <w:pPr>
              <w:spacing w:after="120" w:line="240" w:lineRule="auto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532600">
              <w:rPr>
                <w:sz w:val="26"/>
                <w:szCs w:val="26"/>
              </w:rPr>
              <w:t>Полагаем, что в рассматриваемом случае информация об исполнении обязательств заемщика должна включаться как в основную часть кредитной истории заемщика, так и в основную часть кредитной истории поручителя. При этом в основной части кредитной истории заемщика должна быть отражена информация о погашении обязательства за счет обеспечения.</w:t>
            </w:r>
          </w:p>
        </w:tc>
      </w:tr>
      <w:tr w:rsidR="000E0AEE" w:rsidTr="00D50888">
        <w:trPr>
          <w:trHeight w:val="486"/>
        </w:trPr>
        <w:tc>
          <w:tcPr>
            <w:tcW w:w="7492" w:type="dxa"/>
          </w:tcPr>
          <w:p w:rsidR="000E0AEE" w:rsidRPr="00555781" w:rsidRDefault="000E0AEE" w:rsidP="00FA4462">
            <w:pPr>
              <w:pStyle w:val="a4"/>
              <w:spacing w:before="120" w:after="120" w:line="24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 xml:space="preserve">18.3. Введено право СКИ на направление через кредитную организацию, заключившую договор об оказании информационных услуг с БКИ, запроса о получении кредитного отчета по его кредитной истории (ч. 2.1 ст. 8 Закона 218-ФЗ). </w:t>
            </w:r>
          </w:p>
          <w:p w:rsidR="000E0AEE" w:rsidRPr="00555781" w:rsidRDefault="000E0AEE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bCs/>
                <w:iCs/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t xml:space="preserve">Просим разъяснить, означает ли указанное право СКИ на получение своей КИ </w:t>
            </w:r>
            <w:r w:rsidRPr="00555781">
              <w:rPr>
                <w:bCs/>
                <w:iCs/>
                <w:sz w:val="26"/>
                <w:szCs w:val="26"/>
                <w:u w:val="single"/>
              </w:rPr>
              <w:t>обязанность</w:t>
            </w:r>
            <w:r w:rsidRPr="00555781">
              <w:rPr>
                <w:bCs/>
                <w:iCs/>
                <w:sz w:val="26"/>
                <w:szCs w:val="26"/>
              </w:rPr>
              <w:t xml:space="preserve"> кредитной организации </w:t>
            </w:r>
            <w:r w:rsidRPr="00555781">
              <w:rPr>
                <w:bCs/>
                <w:iCs/>
                <w:sz w:val="26"/>
                <w:szCs w:val="26"/>
              </w:rPr>
              <w:lastRenderedPageBreak/>
              <w:t xml:space="preserve">оказывать данную услугу? </w:t>
            </w:r>
          </w:p>
          <w:p w:rsidR="000E0AEE" w:rsidRPr="00555781" w:rsidRDefault="000E0AEE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t>Каким образом предполагается организовать оперативное получение информации от БКИ в целях принятия решения о необходимости взимания платы за получение кредитного отчета?</w:t>
            </w:r>
          </w:p>
        </w:tc>
        <w:tc>
          <w:tcPr>
            <w:tcW w:w="7493" w:type="dxa"/>
          </w:tcPr>
          <w:p w:rsidR="00532600" w:rsidRPr="00532600" w:rsidRDefault="00532600" w:rsidP="00FA1A67">
            <w:pPr>
              <w:spacing w:before="120"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lastRenderedPageBreak/>
              <w:t>В соответствии с частью 2.1 статьи 8 Федерального закона «О кредитных историях» (в редакции, вступающей в силу с 31.01.2019) субъект кредитной истории имеет право на направление через кредитную организацию, заключившую договор об оказании информационных услуг с бюро кредитных историй, запроса о получении кредитного отчета по его кредитной истории.</w:t>
            </w:r>
          </w:p>
          <w:p w:rsidR="00532600" w:rsidRPr="00532600" w:rsidRDefault="00532600" w:rsidP="0053260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lastRenderedPageBreak/>
              <w:t>В связи с этим в целях выполнения данной нормы Федерального закона «О кредитных историях» кредитные организации обязаны оказывать указанные услуги субъектам кредитных историй.</w:t>
            </w:r>
          </w:p>
          <w:p w:rsidR="000E0AEE" w:rsidRPr="00532600" w:rsidRDefault="00532600" w:rsidP="00FA1A67">
            <w:pPr>
              <w:spacing w:after="120" w:line="240" w:lineRule="auto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532600">
              <w:rPr>
                <w:sz w:val="26"/>
                <w:szCs w:val="26"/>
              </w:rPr>
              <w:t>Вопрос об оперативном информировании кредитных организаций о количестве полученных субъектом кредитной истории бесплатных кредитных отчетов в бюро кредитных отчетов является предметом указанного договора об оказании информационных услуг, заключенного кредитной организацией с бюро кредитных историй.</w:t>
            </w:r>
          </w:p>
        </w:tc>
      </w:tr>
      <w:tr w:rsidR="000E0AEE" w:rsidTr="00FA1A67">
        <w:trPr>
          <w:trHeight w:val="486"/>
        </w:trPr>
        <w:tc>
          <w:tcPr>
            <w:tcW w:w="7492" w:type="dxa"/>
            <w:tcBorders>
              <w:bottom w:val="single" w:sz="4" w:space="0" w:color="auto"/>
            </w:tcBorders>
          </w:tcPr>
          <w:p w:rsidR="00FA4462" w:rsidRDefault="000E0AEE" w:rsidP="00FA446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lastRenderedPageBreak/>
              <w:t>18.4. Из Закона 218-ФЗ исключено требование о хранении подлинного экземпляра согласия СКИ — сохраняется только указание на то, что согласие СКИ хранится в любой форме, в том числе электронной, позволяющей проверить е</w:t>
            </w:r>
            <w:r w:rsidR="00555781" w:rsidRPr="00555781">
              <w:rPr>
                <w:sz w:val="26"/>
                <w:szCs w:val="26"/>
              </w:rPr>
              <w:t>го целостность и достоверность.</w:t>
            </w:r>
          </w:p>
          <w:p w:rsidR="000E0AEE" w:rsidRPr="00555781" w:rsidRDefault="000E0AEE" w:rsidP="00FA4462">
            <w:pPr>
              <w:pStyle w:val="a4"/>
              <w:spacing w:after="120" w:line="240" w:lineRule="auto"/>
              <w:ind w:left="0" w:firstLine="738"/>
              <w:contextualSpacing w:val="0"/>
              <w:jc w:val="both"/>
              <w:rPr>
                <w:bCs/>
                <w:sz w:val="26"/>
                <w:szCs w:val="26"/>
              </w:rPr>
            </w:pPr>
            <w:r w:rsidRPr="00555781">
              <w:rPr>
                <w:bCs/>
                <w:sz w:val="26"/>
                <w:szCs w:val="26"/>
              </w:rPr>
              <w:t xml:space="preserve">Означают ли эти изменения, по мнению Банка России, возможность хранения в электронном (отсканированном) виде согласия, полученного на бумажном носителе? </w:t>
            </w:r>
          </w:p>
          <w:p w:rsidR="000E0AEE" w:rsidRPr="00555781" w:rsidRDefault="000E0AEE" w:rsidP="00FA4462">
            <w:pPr>
              <w:pStyle w:val="a4"/>
              <w:spacing w:after="120" w:line="240" w:lineRule="auto"/>
              <w:ind w:left="0" w:firstLine="738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Если да, то требуется ли соблюдение каких-либо специальных требований при формировании и хранении соответствующих электронных документов (сканов бумажных согласий) — например, подписание их определённой разновидностью электронной подписи?</w:t>
            </w:r>
          </w:p>
        </w:tc>
        <w:tc>
          <w:tcPr>
            <w:tcW w:w="7493" w:type="dxa"/>
          </w:tcPr>
          <w:p w:rsidR="000E0AEE" w:rsidRPr="00532600" w:rsidRDefault="00532600" w:rsidP="00FA1A67">
            <w:pPr>
              <w:spacing w:before="120" w:after="0" w:line="240" w:lineRule="auto"/>
              <w:ind w:firstLine="760"/>
              <w:jc w:val="both"/>
              <w:rPr>
                <w:sz w:val="26"/>
                <w:szCs w:val="26"/>
                <w:shd w:val="clear" w:color="auto" w:fill="FFFFFF"/>
              </w:rPr>
            </w:pPr>
            <w:r w:rsidRPr="00532600">
              <w:rPr>
                <w:sz w:val="26"/>
                <w:szCs w:val="26"/>
              </w:rPr>
              <w:t>Хранение полученных на бумажном носителе согласий субъектов кредитных историй в электронном (отсканированном) виде не предусмотрено Федеральным законом «О кредитных историях» и не обеспечивает возможность проверки их целостности и достоверности.</w:t>
            </w:r>
          </w:p>
        </w:tc>
      </w:tr>
      <w:tr w:rsidR="00532600" w:rsidTr="00FA1A67">
        <w:trPr>
          <w:trHeight w:val="486"/>
        </w:trPr>
        <w:tc>
          <w:tcPr>
            <w:tcW w:w="7492" w:type="dxa"/>
            <w:tcBorders>
              <w:bottom w:val="nil"/>
            </w:tcBorders>
          </w:tcPr>
          <w:p w:rsidR="00532600" w:rsidRPr="00555781" w:rsidRDefault="00532600" w:rsidP="00FA4462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 xml:space="preserve">Законопроектом № 542749-7 «О внесении изменений в статью 4 Федерального закона «О кредитных историях» (принят в первом чтении 07.11.2018) предлагается ввести уникальный идентификатор договора (далее – УИД), который будет </w:t>
            </w:r>
            <w:r w:rsidR="00555781" w:rsidRPr="00555781">
              <w:rPr>
                <w:sz w:val="26"/>
                <w:szCs w:val="26"/>
              </w:rPr>
              <w:t>отражаться в кредитной истории.</w:t>
            </w:r>
          </w:p>
          <w:p w:rsidR="00532600" w:rsidRPr="00555781" w:rsidRDefault="00532600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iCs/>
                <w:sz w:val="26"/>
                <w:szCs w:val="26"/>
              </w:rPr>
            </w:pPr>
            <w:r w:rsidRPr="00555781">
              <w:rPr>
                <w:iCs/>
                <w:sz w:val="26"/>
                <w:szCs w:val="26"/>
              </w:rPr>
              <w:lastRenderedPageBreak/>
              <w:t>Законопроектом предусматривается:</w:t>
            </w:r>
          </w:p>
          <w:p w:rsidR="00532600" w:rsidRPr="00555781" w:rsidRDefault="00532600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iCs/>
                <w:sz w:val="26"/>
                <w:szCs w:val="26"/>
              </w:rPr>
            </w:pPr>
            <w:r w:rsidRPr="00555781">
              <w:rPr>
                <w:iCs/>
                <w:sz w:val="26"/>
                <w:szCs w:val="26"/>
              </w:rPr>
              <w:t xml:space="preserve">- что БКИ будут не вправе принимать от источников формирования кредитной истории информацию по договорам кредита (займа) без такого идентификатора;  </w:t>
            </w:r>
          </w:p>
          <w:p w:rsidR="00532600" w:rsidRPr="00555781" w:rsidRDefault="00532600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iCs/>
                <w:sz w:val="26"/>
                <w:szCs w:val="26"/>
              </w:rPr>
            </w:pPr>
            <w:r w:rsidRPr="00555781">
              <w:rPr>
                <w:iCs/>
                <w:sz w:val="26"/>
                <w:szCs w:val="26"/>
              </w:rPr>
              <w:t>-установление обязанности источников формирования кредитной истории не позднее одного года со дня вступления в силу предлагаемых законопроектом норм присвоить уникальные идентификаторы всем действующим договорам (сделкам) с заёмщиками, поручителями и принципалами и представить их в бюро кредитных историй;</w:t>
            </w:r>
          </w:p>
          <w:p w:rsidR="00532600" w:rsidRPr="00555781" w:rsidRDefault="00532600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iCs/>
                <w:sz w:val="26"/>
                <w:szCs w:val="26"/>
              </w:rPr>
            </w:pPr>
            <w:r w:rsidRPr="00555781">
              <w:rPr>
                <w:iCs/>
                <w:sz w:val="26"/>
                <w:szCs w:val="26"/>
              </w:rPr>
              <w:t xml:space="preserve">- полномочиями устанавливать порядок присвоения источниками формирования кредитных историй уникального идентификатора каждому договору кредита предлагается наделить Банк России. </w:t>
            </w:r>
          </w:p>
          <w:p w:rsidR="00532600" w:rsidRPr="00555781" w:rsidRDefault="00532600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bCs/>
                <w:iCs/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t xml:space="preserve">В связи с чем кредитные организации просят сообщить: </w:t>
            </w:r>
          </w:p>
          <w:p w:rsidR="00532600" w:rsidRPr="00555781" w:rsidRDefault="0064482C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t>19</w:t>
            </w:r>
            <w:r w:rsidR="00532600" w:rsidRPr="00555781">
              <w:rPr>
                <w:bCs/>
                <w:iCs/>
                <w:sz w:val="26"/>
                <w:szCs w:val="26"/>
              </w:rPr>
              <w:t>.1. Когда Банк России планирует довести до сведения кредитных организаций информацию о порядке присвоения УИД?</w:t>
            </w:r>
          </w:p>
        </w:tc>
        <w:tc>
          <w:tcPr>
            <w:tcW w:w="7493" w:type="dxa"/>
            <w:vMerge w:val="restart"/>
          </w:tcPr>
          <w:p w:rsidR="00532600" w:rsidRPr="00532600" w:rsidRDefault="00532600" w:rsidP="00FA1A67">
            <w:pPr>
              <w:spacing w:before="120"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lastRenderedPageBreak/>
              <w:t xml:space="preserve">Законопроектом предусмотрена шестимесячная отсрочка вступления в силу, а также значительный срок для реализации указанной нормы, позволяющий источникам формирования кредитной истории доработать свои форматы и автоматизированные системы (в течение года со дня вступления </w:t>
            </w:r>
            <w:r w:rsidRPr="00532600">
              <w:rPr>
                <w:sz w:val="26"/>
                <w:szCs w:val="26"/>
              </w:rPr>
              <w:lastRenderedPageBreak/>
              <w:t xml:space="preserve">в силу законопроекта). Проект нормативного акта Банка России о порядке присвоения уникального идентификатора планируется довести до сведения участников финансового рынка в установленном порядке в рамках процедуры оценки регулирующего воздействия после принятия закона. </w:t>
            </w:r>
          </w:p>
          <w:p w:rsidR="00532600" w:rsidRPr="00532600" w:rsidRDefault="00532600" w:rsidP="00532600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532600">
              <w:rPr>
                <w:sz w:val="26"/>
                <w:szCs w:val="26"/>
              </w:rPr>
              <w:t>Вопросы о порядке определения формата и структуры уникального идентификатора будут включены в текст проекта нормативного акта. Проектом также будет предусматриваться исключение возможности однозначной идентификации по УИД кредитора конкурентами с сохранением возможности идентификации кредитной организацией своих кредитных договоров.</w:t>
            </w:r>
          </w:p>
        </w:tc>
      </w:tr>
      <w:tr w:rsidR="00532600" w:rsidTr="00FA1A67">
        <w:trPr>
          <w:trHeight w:val="486"/>
        </w:trPr>
        <w:tc>
          <w:tcPr>
            <w:tcW w:w="7492" w:type="dxa"/>
            <w:tcBorders>
              <w:top w:val="nil"/>
              <w:bottom w:val="nil"/>
            </w:tcBorders>
          </w:tcPr>
          <w:p w:rsidR="00532600" w:rsidRPr="00555781" w:rsidRDefault="0064482C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bCs/>
                <w:iCs/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lastRenderedPageBreak/>
              <w:t>19</w:t>
            </w:r>
            <w:r w:rsidR="00532600" w:rsidRPr="00555781">
              <w:rPr>
                <w:bCs/>
                <w:iCs/>
                <w:sz w:val="26"/>
                <w:szCs w:val="26"/>
              </w:rPr>
              <w:t>.2. Будут ли в рамках этого порядка определены формат и структура УИД?</w:t>
            </w:r>
          </w:p>
        </w:tc>
        <w:tc>
          <w:tcPr>
            <w:tcW w:w="7493" w:type="dxa"/>
            <w:vMerge/>
          </w:tcPr>
          <w:p w:rsidR="00532600" w:rsidRDefault="00532600" w:rsidP="00D50888">
            <w:pPr>
              <w:spacing w:after="120" w:line="240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532600" w:rsidTr="00FA1A67">
        <w:trPr>
          <w:trHeight w:val="486"/>
        </w:trPr>
        <w:tc>
          <w:tcPr>
            <w:tcW w:w="7492" w:type="dxa"/>
            <w:tcBorders>
              <w:top w:val="nil"/>
            </w:tcBorders>
          </w:tcPr>
          <w:p w:rsidR="00532600" w:rsidRPr="00555781" w:rsidRDefault="0064482C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bCs/>
                <w:iCs/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t>19</w:t>
            </w:r>
            <w:r w:rsidR="00532600" w:rsidRPr="00555781">
              <w:rPr>
                <w:bCs/>
                <w:iCs/>
                <w:sz w:val="26"/>
                <w:szCs w:val="26"/>
              </w:rPr>
              <w:t>.3. Предполагается ли исключение возможности однозначной идентификации по УИД кредитора конкурентами с сохранением возможности идентификации кредитной организацией своих кредитных договоров?</w:t>
            </w:r>
          </w:p>
        </w:tc>
        <w:tc>
          <w:tcPr>
            <w:tcW w:w="7493" w:type="dxa"/>
            <w:vMerge/>
          </w:tcPr>
          <w:p w:rsidR="00532600" w:rsidRDefault="00532600" w:rsidP="00D50888">
            <w:pPr>
              <w:spacing w:after="120" w:line="240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0E0AEE" w:rsidTr="00D50888">
        <w:trPr>
          <w:trHeight w:val="486"/>
        </w:trPr>
        <w:tc>
          <w:tcPr>
            <w:tcW w:w="7492" w:type="dxa"/>
          </w:tcPr>
          <w:p w:rsidR="000E0AEE" w:rsidRPr="00555781" w:rsidRDefault="0064482C" w:rsidP="00FA1A67">
            <w:pPr>
              <w:pStyle w:val="a4"/>
              <w:spacing w:before="120" w:after="120" w:line="240" w:lineRule="auto"/>
              <w:ind w:left="0"/>
              <w:contextualSpacing w:val="0"/>
              <w:jc w:val="both"/>
              <w:rPr>
                <w:bCs/>
                <w:iCs/>
                <w:sz w:val="26"/>
                <w:szCs w:val="26"/>
              </w:rPr>
            </w:pPr>
            <w:r w:rsidRPr="00555781">
              <w:rPr>
                <w:bCs/>
                <w:iCs/>
                <w:sz w:val="26"/>
                <w:szCs w:val="26"/>
              </w:rPr>
              <w:t>19</w:t>
            </w:r>
            <w:r w:rsidR="000E0AEE" w:rsidRPr="00555781">
              <w:rPr>
                <w:bCs/>
                <w:iCs/>
                <w:sz w:val="26"/>
                <w:szCs w:val="26"/>
              </w:rPr>
              <w:t>.4. Повлечет ли процесс присвоения УИД дополнительные затраты на стороне кредитных организаций, например, затраты на приобретение дополнительных средств шифрования?</w:t>
            </w:r>
          </w:p>
        </w:tc>
        <w:tc>
          <w:tcPr>
            <w:tcW w:w="7493" w:type="dxa"/>
          </w:tcPr>
          <w:p w:rsidR="000E0AEE" w:rsidRPr="00532600" w:rsidRDefault="00532600" w:rsidP="00FA1A67">
            <w:pPr>
              <w:spacing w:before="120" w:after="120" w:line="240" w:lineRule="auto"/>
              <w:ind w:firstLine="709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532600">
              <w:rPr>
                <w:sz w:val="26"/>
                <w:szCs w:val="26"/>
              </w:rPr>
              <w:t>Присвоение УИД не потребует дополнительных затрат для источников формирования кредитных историй на приобретение средств шифрования.</w:t>
            </w:r>
          </w:p>
        </w:tc>
      </w:tr>
      <w:tr w:rsidR="000E0AEE" w:rsidTr="00D50888">
        <w:trPr>
          <w:trHeight w:val="486"/>
        </w:trPr>
        <w:tc>
          <w:tcPr>
            <w:tcW w:w="7492" w:type="dxa"/>
          </w:tcPr>
          <w:p w:rsidR="000E0AEE" w:rsidRPr="00555781" w:rsidRDefault="000E0AEE" w:rsidP="00FA1A6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lastRenderedPageBreak/>
              <w:t>Планируется ли и в какие сроки:</w:t>
            </w:r>
          </w:p>
          <w:p w:rsidR="000E0AEE" w:rsidRPr="00555781" w:rsidRDefault="000E0AEE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2</w:t>
            </w:r>
            <w:r w:rsidR="0064482C" w:rsidRPr="00555781">
              <w:rPr>
                <w:sz w:val="26"/>
                <w:szCs w:val="26"/>
              </w:rPr>
              <w:t>0</w:t>
            </w:r>
            <w:r w:rsidRPr="00555781">
              <w:rPr>
                <w:sz w:val="26"/>
                <w:szCs w:val="26"/>
              </w:rPr>
              <w:t>.1. расширение перечня целей для получения согласия субъекта на запрос в БКИ;</w:t>
            </w:r>
          </w:p>
          <w:p w:rsidR="000E0AEE" w:rsidRPr="00555781" w:rsidRDefault="000E0AEE" w:rsidP="000E0AEE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2</w:t>
            </w:r>
            <w:r w:rsidR="0064482C" w:rsidRPr="00555781">
              <w:rPr>
                <w:sz w:val="26"/>
                <w:szCs w:val="26"/>
              </w:rPr>
              <w:t>0</w:t>
            </w:r>
            <w:r w:rsidRPr="00555781">
              <w:rPr>
                <w:sz w:val="26"/>
                <w:szCs w:val="26"/>
              </w:rPr>
              <w:t>.2. введение для юридических лиц информационной части кредитной истории;</w:t>
            </w:r>
          </w:p>
          <w:p w:rsidR="000E0AEE" w:rsidRPr="00555781" w:rsidRDefault="000E0AEE" w:rsidP="0064482C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bCs/>
                <w:iCs/>
                <w:sz w:val="26"/>
                <w:szCs w:val="26"/>
              </w:rPr>
            </w:pPr>
            <w:r w:rsidRPr="00555781">
              <w:rPr>
                <w:sz w:val="26"/>
                <w:szCs w:val="26"/>
              </w:rPr>
              <w:t>2</w:t>
            </w:r>
            <w:r w:rsidR="0064482C" w:rsidRPr="00555781">
              <w:rPr>
                <w:sz w:val="26"/>
                <w:szCs w:val="26"/>
              </w:rPr>
              <w:t>0</w:t>
            </w:r>
            <w:r w:rsidRPr="00555781">
              <w:rPr>
                <w:sz w:val="26"/>
                <w:szCs w:val="26"/>
              </w:rPr>
              <w:t>.3. изменение законодательства о БКИ в части увеличения срока действия согласия на запрос данных?</w:t>
            </w:r>
          </w:p>
        </w:tc>
        <w:tc>
          <w:tcPr>
            <w:tcW w:w="7493" w:type="dxa"/>
          </w:tcPr>
          <w:p w:rsidR="00532600" w:rsidRPr="00532600" w:rsidRDefault="00532600" w:rsidP="00FA1A67">
            <w:pPr>
              <w:spacing w:before="120"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t>Федеральный закон «О кредитных историях» не ограничивает цели для получения согласия субъекта кредитной истории на ознакомление с его кредитной историей, однако данная цель должна указываться в согласии.</w:t>
            </w:r>
          </w:p>
          <w:p w:rsidR="00532600" w:rsidRPr="00532600" w:rsidRDefault="00532600" w:rsidP="0053260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32600">
              <w:rPr>
                <w:sz w:val="26"/>
                <w:szCs w:val="26"/>
              </w:rPr>
              <w:t xml:space="preserve">Введение для юридических лиц информационной части кредитной истории, а также продление до 1 года срока действия согласия на получение кредитного отчета для субъектов малого </w:t>
            </w:r>
            <w:r>
              <w:rPr>
                <w:sz w:val="26"/>
                <w:szCs w:val="26"/>
              </w:rPr>
              <w:t xml:space="preserve">и среднего предпринимательства </w:t>
            </w:r>
            <w:r w:rsidRPr="00532600">
              <w:rPr>
                <w:sz w:val="26"/>
                <w:szCs w:val="26"/>
              </w:rPr>
              <w:t>предусмотрено законопроектом, который в настоящее время согласовывается Банком России с Минфином России.</w:t>
            </w:r>
          </w:p>
          <w:p w:rsidR="000E0AEE" w:rsidRDefault="00532600" w:rsidP="00FA1A67">
            <w:pPr>
              <w:spacing w:after="120" w:line="240" w:lineRule="auto"/>
              <w:ind w:firstLine="709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532600">
              <w:rPr>
                <w:sz w:val="26"/>
                <w:szCs w:val="26"/>
              </w:rPr>
              <w:t>Общий срок действия согласия на получение кредитной истории продлен с 2 до 6 месяцев поправками в Федеральный закон «О кредитных историях», вступающими в силу с 31.01.2019.</w:t>
            </w:r>
          </w:p>
        </w:tc>
      </w:tr>
    </w:tbl>
    <w:p w:rsidR="002F73F1" w:rsidRDefault="002F73F1" w:rsidP="00510D20">
      <w:pPr>
        <w:pStyle w:val="a4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sectPr w:rsidR="002F73F1" w:rsidSect="00384B1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4C" w:rsidRDefault="00943E4C" w:rsidP="001F2E50">
      <w:pPr>
        <w:spacing w:after="0" w:line="240" w:lineRule="auto"/>
      </w:pPr>
      <w:r>
        <w:separator/>
      </w:r>
    </w:p>
  </w:endnote>
  <w:endnote w:type="continuationSeparator" w:id="0">
    <w:p w:rsidR="00943E4C" w:rsidRDefault="00943E4C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632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5D98" w:rsidRPr="00F855AA" w:rsidRDefault="00585D98" w:rsidP="00F855AA">
        <w:pPr>
          <w:pStyle w:val="ab"/>
          <w:jc w:val="right"/>
          <w:rPr>
            <w:rFonts w:ascii="Times New Roman" w:hAnsi="Times New Roman" w:cs="Times New Roman"/>
          </w:rPr>
        </w:pPr>
        <w:r w:rsidRPr="00585D98">
          <w:rPr>
            <w:rFonts w:ascii="Times New Roman" w:hAnsi="Times New Roman" w:cs="Times New Roman"/>
          </w:rPr>
          <w:fldChar w:fldCharType="begin"/>
        </w:r>
        <w:r w:rsidRPr="00585D98">
          <w:rPr>
            <w:rFonts w:ascii="Times New Roman" w:hAnsi="Times New Roman" w:cs="Times New Roman"/>
          </w:rPr>
          <w:instrText>PAGE   \* MERGEFORMAT</w:instrText>
        </w:r>
        <w:r w:rsidRPr="00585D98">
          <w:rPr>
            <w:rFonts w:ascii="Times New Roman" w:hAnsi="Times New Roman" w:cs="Times New Roman"/>
          </w:rPr>
          <w:fldChar w:fldCharType="separate"/>
        </w:r>
        <w:r w:rsidR="006F7FB0">
          <w:rPr>
            <w:rFonts w:ascii="Times New Roman" w:hAnsi="Times New Roman" w:cs="Times New Roman"/>
            <w:noProof/>
          </w:rPr>
          <w:t>12</w:t>
        </w:r>
        <w:r w:rsidRPr="00585D9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4C" w:rsidRDefault="00943E4C" w:rsidP="001F2E50">
      <w:pPr>
        <w:spacing w:after="0" w:line="240" w:lineRule="auto"/>
      </w:pPr>
      <w:r>
        <w:separator/>
      </w:r>
    </w:p>
  </w:footnote>
  <w:footnote w:type="continuationSeparator" w:id="0">
    <w:p w:rsidR="00943E4C" w:rsidRDefault="00943E4C" w:rsidP="001F2E50">
      <w:pPr>
        <w:spacing w:after="0" w:line="240" w:lineRule="auto"/>
      </w:pPr>
      <w:r>
        <w:continuationSeparator/>
      </w:r>
    </w:p>
  </w:footnote>
  <w:footnote w:id="1">
    <w:p w:rsidR="00384B1E" w:rsidRPr="006F7FB0" w:rsidRDefault="00384B1E" w:rsidP="00384B1E">
      <w:pPr>
        <w:pStyle w:val="a6"/>
        <w:rPr>
          <w:rFonts w:ascii="Times New Roman" w:hAnsi="Times New Roman" w:cs="Times New Roman"/>
          <w:sz w:val="24"/>
          <w:szCs w:val="24"/>
        </w:rPr>
      </w:pPr>
      <w:r w:rsidRPr="006F7FB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F7FB0">
        <w:rPr>
          <w:rFonts w:ascii="Times New Roman" w:hAnsi="Times New Roman" w:cs="Times New Roman"/>
          <w:sz w:val="24"/>
          <w:szCs w:val="24"/>
        </w:rPr>
        <w:t xml:space="preserve"> </w:t>
      </w:r>
      <w:r w:rsidRPr="006F7FB0">
        <w:rPr>
          <w:rFonts w:ascii="Times New Roman" w:hAnsi="Times New Roman" w:cs="Times New Roman"/>
          <w:bCs/>
          <w:sz w:val="24"/>
          <w:szCs w:val="24"/>
        </w:rPr>
        <w:t>Далее – ПДН</w:t>
      </w:r>
    </w:p>
  </w:footnote>
  <w:footnote w:id="2">
    <w:p w:rsidR="001C0F5F" w:rsidRPr="00623B8D" w:rsidRDefault="001C0F5F" w:rsidP="001C0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3B8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23B8D">
        <w:rPr>
          <w:rFonts w:ascii="Times New Roman" w:hAnsi="Times New Roman" w:cs="Times New Roman"/>
          <w:sz w:val="24"/>
          <w:szCs w:val="24"/>
        </w:rPr>
        <w:t xml:space="preserve"> Указание Банка России от 31.08.2018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3B8D">
        <w:rPr>
          <w:rFonts w:ascii="Times New Roman" w:hAnsi="Times New Roman" w:cs="Times New Roman"/>
          <w:sz w:val="24"/>
          <w:szCs w:val="24"/>
        </w:rPr>
        <w:t xml:space="preserve"> 4892-У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B8D">
        <w:rPr>
          <w:rFonts w:ascii="Times New Roman" w:hAnsi="Times New Roman" w:cs="Times New Roman"/>
          <w:sz w:val="24"/>
          <w:szCs w:val="24"/>
        </w:rPr>
        <w:t>О видах активов, характеристиках видов активов, к которым устанавливаются надбавки к коэффициентам риска, и методике применения к указанным видам активов надбавок в целях расчета кредитными организациями нормативов достаточности капитала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B8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1C0F5F" w:rsidRPr="00847AE0" w:rsidRDefault="001C0F5F" w:rsidP="001C0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847AE0">
        <w:rPr>
          <w:rFonts w:ascii="Times New Roman" w:hAnsi="Times New Roman" w:cs="Times New Roman"/>
          <w:sz w:val="24"/>
          <w:szCs w:val="24"/>
        </w:rPr>
        <w:t xml:space="preserve"> Например, предоставленный заемщиком и подписанный кредитором (заимодавцем) график погашения кредита (займа) и (или) оформленное и подписанное заемщиком заявление о предоставлении кредита с подписанным заемщиком подтверждением, что содержащаяся в заявлении информация достоверна, и (или) иные документы, предоставленные кредиторами (заимодавцами) и подтверждающие расчет суммы среднемесячного платежа или отсутствие задолженности.</w:t>
      </w:r>
    </w:p>
  </w:footnote>
  <w:footnote w:id="4">
    <w:p w:rsidR="001C0F5F" w:rsidRPr="006F7FB0" w:rsidRDefault="001C0F5F" w:rsidP="001C0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7FB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F7FB0">
        <w:rPr>
          <w:rFonts w:ascii="Times New Roman" w:hAnsi="Times New Roman" w:cs="Times New Roman"/>
          <w:sz w:val="24"/>
          <w:szCs w:val="24"/>
        </w:rPr>
        <w:t xml:space="preserve"> Согласно пункту 2.11 приложения к Указанию № 4892-У.</w:t>
      </w:r>
    </w:p>
  </w:footnote>
  <w:footnote w:id="5">
    <w:p w:rsidR="00384B1E" w:rsidRPr="006F7FB0" w:rsidRDefault="00384B1E" w:rsidP="00384B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B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F7FB0">
        <w:rPr>
          <w:rFonts w:ascii="Times New Roman" w:hAnsi="Times New Roman" w:cs="Times New Roman"/>
          <w:sz w:val="24"/>
          <w:szCs w:val="24"/>
        </w:rPr>
        <w:t xml:space="preserve"> «2.11 Кредитная организация вправе рассчитывать среднемесячные платежи по кредитам и займам по договорам, заключённым заёмщиком с другими кредиторами (заимодавцами) в порядке отличном от установленного в пунктах 2.6 и 2.9 настоящего положения, если это позволяет достоверно и актуально определить сумму среднемесячных платежей по всем кредитам и займам заёмщика...».</w:t>
      </w:r>
    </w:p>
  </w:footnote>
  <w:footnote w:id="6">
    <w:p w:rsidR="00384B1E" w:rsidRPr="006F7FB0" w:rsidRDefault="00384B1E" w:rsidP="00384B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7FB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F7FB0">
        <w:rPr>
          <w:rFonts w:ascii="Times New Roman" w:hAnsi="Times New Roman" w:cs="Times New Roman"/>
          <w:sz w:val="24"/>
          <w:szCs w:val="24"/>
        </w:rPr>
        <w:t xml:space="preserve"> </w:t>
      </w:r>
      <w:r w:rsidR="006F7FB0">
        <w:rPr>
          <w:rFonts w:ascii="Times New Roman" w:hAnsi="Times New Roman" w:cs="Times New Roman"/>
          <w:color w:val="403152"/>
          <w:sz w:val="24"/>
          <w:szCs w:val="24"/>
        </w:rPr>
        <w:t>З</w:t>
      </w:r>
      <w:r w:rsidRPr="006F7FB0">
        <w:rPr>
          <w:rFonts w:ascii="Times New Roman" w:hAnsi="Times New Roman" w:cs="Times New Roman"/>
          <w:color w:val="403152"/>
          <w:sz w:val="24"/>
          <w:szCs w:val="24"/>
        </w:rPr>
        <w:t>а исключением доходов заемщика, подтвержденных выпиской о состоянии индивидуального лицевого счета застрахованного лица в системе обязательного пенсионного страхования.</w:t>
      </w:r>
    </w:p>
  </w:footnote>
  <w:footnote w:id="7">
    <w:p w:rsidR="00384B1E" w:rsidRPr="006F7FB0" w:rsidRDefault="00384B1E" w:rsidP="00384B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7FB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F7FB0">
        <w:rPr>
          <w:rFonts w:ascii="Times New Roman" w:hAnsi="Times New Roman" w:cs="Times New Roman"/>
          <w:sz w:val="24"/>
          <w:szCs w:val="24"/>
        </w:rPr>
        <w:t xml:space="preserve"> и удовлетворяет указанным в пункте 4 Указания 4892-У требованиям в части соблюдения срока, установленного для осуществления государственной регистрации договора об ипотеке с даты предоставления кредита.</w:t>
      </w:r>
    </w:p>
  </w:footnote>
  <w:footnote w:id="8">
    <w:p w:rsidR="000E0AEE" w:rsidRPr="006F7FB0" w:rsidRDefault="000E0AEE" w:rsidP="000E0AEE">
      <w:pPr>
        <w:pStyle w:val="a6"/>
        <w:rPr>
          <w:rFonts w:ascii="Times New Roman" w:hAnsi="Times New Roman" w:cs="Times New Roman"/>
          <w:sz w:val="24"/>
          <w:szCs w:val="24"/>
        </w:rPr>
      </w:pPr>
      <w:r w:rsidRPr="006F7FB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F7FB0">
        <w:rPr>
          <w:rFonts w:ascii="Times New Roman" w:hAnsi="Times New Roman" w:cs="Times New Roman"/>
          <w:sz w:val="24"/>
          <w:szCs w:val="24"/>
        </w:rPr>
        <w:t xml:space="preserve"> </w:t>
      </w:r>
      <w:r w:rsidR="006F7FB0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6F7FB0">
        <w:rPr>
          <w:rFonts w:ascii="Times New Roman" w:eastAsia="Times New Roman" w:hAnsi="Times New Roman" w:cs="Times New Roman"/>
          <w:bCs/>
          <w:iCs/>
          <w:sz w:val="24"/>
          <w:szCs w:val="24"/>
        </w:rPr>
        <w:t>алее – БКИ</w:t>
      </w:r>
    </w:p>
  </w:footnote>
  <w:footnote w:id="9">
    <w:p w:rsidR="000E0AEE" w:rsidRPr="006F7FB0" w:rsidRDefault="000E0AEE" w:rsidP="000E0AEE">
      <w:pPr>
        <w:pStyle w:val="a6"/>
        <w:rPr>
          <w:rFonts w:ascii="Times New Roman" w:hAnsi="Times New Roman" w:cs="Times New Roman"/>
          <w:sz w:val="24"/>
          <w:szCs w:val="24"/>
        </w:rPr>
      </w:pPr>
      <w:r w:rsidRPr="006F7FB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F7FB0">
        <w:rPr>
          <w:rFonts w:ascii="Times New Roman" w:hAnsi="Times New Roman" w:cs="Times New Roman"/>
          <w:sz w:val="24"/>
          <w:szCs w:val="24"/>
        </w:rPr>
        <w:t xml:space="preserve"> </w:t>
      </w:r>
      <w:r w:rsidRPr="006F7FB0">
        <w:rPr>
          <w:rFonts w:ascii="Times New Roman" w:eastAsia="Times New Roman" w:hAnsi="Times New Roman" w:cs="Times New Roman"/>
          <w:bCs/>
          <w:iCs/>
          <w:sz w:val="24"/>
          <w:szCs w:val="24"/>
        </w:rPr>
        <w:t>далее – СКИ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E3C"/>
    <w:multiLevelType w:val="multilevel"/>
    <w:tmpl w:val="AAF04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81A05"/>
    <w:multiLevelType w:val="hybridMultilevel"/>
    <w:tmpl w:val="C25CF26A"/>
    <w:lvl w:ilvl="0" w:tplc="04190013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385D7F97"/>
    <w:multiLevelType w:val="hybridMultilevel"/>
    <w:tmpl w:val="9BA4519C"/>
    <w:lvl w:ilvl="0" w:tplc="64DE23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702"/>
    <w:multiLevelType w:val="hybridMultilevel"/>
    <w:tmpl w:val="523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7191"/>
    <w:multiLevelType w:val="hybridMultilevel"/>
    <w:tmpl w:val="B8C0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C2DD3"/>
    <w:multiLevelType w:val="hybridMultilevel"/>
    <w:tmpl w:val="782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02838"/>
    <w:multiLevelType w:val="hybridMultilevel"/>
    <w:tmpl w:val="DE92121E"/>
    <w:lvl w:ilvl="0" w:tplc="5582EE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48"/>
    <w:rsid w:val="0003201B"/>
    <w:rsid w:val="00047427"/>
    <w:rsid w:val="000A3FD2"/>
    <w:rsid w:val="000D6944"/>
    <w:rsid w:val="000E0AEE"/>
    <w:rsid w:val="000E3A95"/>
    <w:rsid w:val="00135A6A"/>
    <w:rsid w:val="001711D0"/>
    <w:rsid w:val="001B083D"/>
    <w:rsid w:val="001C0F5F"/>
    <w:rsid w:val="001D4FD4"/>
    <w:rsid w:val="001F2E50"/>
    <w:rsid w:val="001F676B"/>
    <w:rsid w:val="0020236C"/>
    <w:rsid w:val="0020712C"/>
    <w:rsid w:val="00287B45"/>
    <w:rsid w:val="002F15F0"/>
    <w:rsid w:val="002F73F1"/>
    <w:rsid w:val="00332CC3"/>
    <w:rsid w:val="00373137"/>
    <w:rsid w:val="00384B1E"/>
    <w:rsid w:val="003F1C9F"/>
    <w:rsid w:val="00425351"/>
    <w:rsid w:val="004307DF"/>
    <w:rsid w:val="0044175B"/>
    <w:rsid w:val="00456A3D"/>
    <w:rsid w:val="00463C03"/>
    <w:rsid w:val="0047531D"/>
    <w:rsid w:val="00481FB3"/>
    <w:rsid w:val="0049792E"/>
    <w:rsid w:val="004E2608"/>
    <w:rsid w:val="00510D20"/>
    <w:rsid w:val="00532600"/>
    <w:rsid w:val="00550F40"/>
    <w:rsid w:val="005520FB"/>
    <w:rsid w:val="00555781"/>
    <w:rsid w:val="00562B4E"/>
    <w:rsid w:val="00585D98"/>
    <w:rsid w:val="005A6CE8"/>
    <w:rsid w:val="006070ED"/>
    <w:rsid w:val="006142ED"/>
    <w:rsid w:val="006400C9"/>
    <w:rsid w:val="0064482C"/>
    <w:rsid w:val="006555DA"/>
    <w:rsid w:val="006653BC"/>
    <w:rsid w:val="00695259"/>
    <w:rsid w:val="006A6AEF"/>
    <w:rsid w:val="006C4E67"/>
    <w:rsid w:val="006C73E4"/>
    <w:rsid w:val="006F7FB0"/>
    <w:rsid w:val="00724E88"/>
    <w:rsid w:val="0072588E"/>
    <w:rsid w:val="00731292"/>
    <w:rsid w:val="00797A11"/>
    <w:rsid w:val="008037FA"/>
    <w:rsid w:val="00803D58"/>
    <w:rsid w:val="00805D15"/>
    <w:rsid w:val="00847682"/>
    <w:rsid w:val="008C37B7"/>
    <w:rsid w:val="008D02E3"/>
    <w:rsid w:val="008F0D73"/>
    <w:rsid w:val="009150FA"/>
    <w:rsid w:val="00941521"/>
    <w:rsid w:val="00943E4C"/>
    <w:rsid w:val="00955BE1"/>
    <w:rsid w:val="009A5622"/>
    <w:rsid w:val="009B5519"/>
    <w:rsid w:val="009C2B15"/>
    <w:rsid w:val="00A13C84"/>
    <w:rsid w:val="00A30094"/>
    <w:rsid w:val="00A57DC3"/>
    <w:rsid w:val="00A71E2A"/>
    <w:rsid w:val="00A774B3"/>
    <w:rsid w:val="00A84235"/>
    <w:rsid w:val="00AA005C"/>
    <w:rsid w:val="00AE50A8"/>
    <w:rsid w:val="00B139B1"/>
    <w:rsid w:val="00B24A49"/>
    <w:rsid w:val="00B65C23"/>
    <w:rsid w:val="00BB1F34"/>
    <w:rsid w:val="00C65706"/>
    <w:rsid w:val="00C65A48"/>
    <w:rsid w:val="00CC05D9"/>
    <w:rsid w:val="00CD0263"/>
    <w:rsid w:val="00CD56D5"/>
    <w:rsid w:val="00D058C8"/>
    <w:rsid w:val="00D246D0"/>
    <w:rsid w:val="00D523F2"/>
    <w:rsid w:val="00D54B75"/>
    <w:rsid w:val="00D64E75"/>
    <w:rsid w:val="00DD02A1"/>
    <w:rsid w:val="00DD0F3A"/>
    <w:rsid w:val="00DF0694"/>
    <w:rsid w:val="00E1244F"/>
    <w:rsid w:val="00E14E6A"/>
    <w:rsid w:val="00E22194"/>
    <w:rsid w:val="00E524D9"/>
    <w:rsid w:val="00E6588F"/>
    <w:rsid w:val="00EA17D6"/>
    <w:rsid w:val="00EA50F2"/>
    <w:rsid w:val="00EE77E6"/>
    <w:rsid w:val="00F075D5"/>
    <w:rsid w:val="00F2182C"/>
    <w:rsid w:val="00F77FE7"/>
    <w:rsid w:val="00F855AA"/>
    <w:rsid w:val="00FA1A67"/>
    <w:rsid w:val="00F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A709"/>
  <w15:chartTrackingRefBased/>
  <w15:docId w15:val="{0D8E4B1F-0F81-4303-86B3-BE206BB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0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6C4E6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1F2E50"/>
  </w:style>
  <w:style w:type="paragraph" w:styleId="a6">
    <w:name w:val="footnote text"/>
    <w:basedOn w:val="a"/>
    <w:link w:val="a7"/>
    <w:uiPriority w:val="99"/>
    <w:semiHidden/>
    <w:unhideWhenUsed/>
    <w:rsid w:val="001F2E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2E5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2E50"/>
    <w:rPr>
      <w:vertAlign w:val="superscript"/>
    </w:rPr>
  </w:style>
  <w:style w:type="character" w:customStyle="1" w:styleId="oznaimen1">
    <w:name w:val="oz_naimen1"/>
    <w:basedOn w:val="a0"/>
    <w:rsid w:val="00585D98"/>
    <w:rPr>
      <w:rFonts w:ascii="Roboto Condensed" w:hAnsi="Roboto Condensed" w:hint="default"/>
      <w:b w:val="0"/>
      <w:bCs w:val="0"/>
    </w:rPr>
  </w:style>
  <w:style w:type="paragraph" w:styleId="a9">
    <w:name w:val="header"/>
    <w:basedOn w:val="a"/>
    <w:link w:val="aa"/>
    <w:uiPriority w:val="99"/>
    <w:unhideWhenUsed/>
    <w:rsid w:val="0058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5D98"/>
  </w:style>
  <w:style w:type="paragraph" w:styleId="ab">
    <w:name w:val="footer"/>
    <w:basedOn w:val="a"/>
    <w:link w:val="ac"/>
    <w:uiPriority w:val="99"/>
    <w:unhideWhenUsed/>
    <w:rsid w:val="0058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D98"/>
  </w:style>
  <w:style w:type="character" w:customStyle="1" w:styleId="ad">
    <w:name w:val="Основной текст_"/>
    <w:basedOn w:val="a0"/>
    <w:link w:val="1"/>
    <w:rsid w:val="002F15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2F15F0"/>
    <w:pPr>
      <w:widowControl w:val="0"/>
      <w:shd w:val="clear" w:color="auto" w:fill="FFFFFF"/>
      <w:spacing w:after="0" w:line="257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rsid w:val="00207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20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E82A-1E4C-42B4-ABF3-11A7A011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 EV</dc:creator>
  <cp:keywords/>
  <dc:description/>
  <cp:lastModifiedBy>Анна Туркина</cp:lastModifiedBy>
  <cp:revision>67</cp:revision>
  <dcterms:created xsi:type="dcterms:W3CDTF">2019-01-21T08:15:00Z</dcterms:created>
  <dcterms:modified xsi:type="dcterms:W3CDTF">2019-03-14T13:25:00Z</dcterms:modified>
</cp:coreProperties>
</file>