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22" w:rsidRDefault="00985F22" w:rsidP="00A5024E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1B3">
        <w:rPr>
          <w:rFonts w:ascii="Times New Roman" w:hAnsi="Times New Roman" w:cs="Times New Roman"/>
          <w:b/>
          <w:sz w:val="26"/>
          <w:szCs w:val="26"/>
        </w:rPr>
        <w:t>Темы для обсуждения, вопросы и предложения</w:t>
      </w:r>
      <w:r w:rsidR="00E85799">
        <w:rPr>
          <w:rFonts w:ascii="Times New Roman" w:hAnsi="Times New Roman" w:cs="Times New Roman"/>
          <w:b/>
          <w:sz w:val="26"/>
          <w:szCs w:val="26"/>
        </w:rPr>
        <w:t>,</w:t>
      </w:r>
      <w:r w:rsidRPr="006571B3">
        <w:rPr>
          <w:rFonts w:ascii="Times New Roman" w:hAnsi="Times New Roman" w:cs="Times New Roman"/>
          <w:b/>
          <w:sz w:val="26"/>
          <w:szCs w:val="26"/>
        </w:rPr>
        <w:t xml:space="preserve"> направлен</w:t>
      </w:r>
      <w:r w:rsidR="000A5CA7">
        <w:rPr>
          <w:rFonts w:ascii="Times New Roman" w:hAnsi="Times New Roman" w:cs="Times New Roman"/>
          <w:b/>
          <w:sz w:val="26"/>
          <w:szCs w:val="26"/>
        </w:rPr>
        <w:t>ные</w:t>
      </w:r>
      <w:r w:rsidRPr="006571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71B3">
        <w:rPr>
          <w:rFonts w:ascii="Times New Roman" w:hAnsi="Times New Roman" w:cs="Times New Roman"/>
          <w:b/>
          <w:sz w:val="26"/>
          <w:szCs w:val="26"/>
        </w:rPr>
        <w:br/>
      </w:r>
      <w:r w:rsidR="00794BD5">
        <w:rPr>
          <w:rFonts w:ascii="Times New Roman" w:hAnsi="Times New Roman" w:cs="Times New Roman"/>
          <w:b/>
          <w:sz w:val="26"/>
          <w:szCs w:val="26"/>
        </w:rPr>
        <w:t>з</w:t>
      </w:r>
      <w:r w:rsidRPr="006571B3">
        <w:rPr>
          <w:rFonts w:ascii="Times New Roman" w:hAnsi="Times New Roman" w:cs="Times New Roman"/>
          <w:b/>
          <w:sz w:val="26"/>
          <w:szCs w:val="26"/>
        </w:rPr>
        <w:t>аместителю Председателя Банка России</w:t>
      </w:r>
      <w:r w:rsidR="00A5024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Поздышеву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В.А.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949"/>
        <w:gridCol w:w="8611"/>
      </w:tblGrid>
      <w:tr w:rsidR="00794BD5" w:rsidRPr="00547760" w:rsidTr="00F430F8">
        <w:tc>
          <w:tcPr>
            <w:tcW w:w="5949" w:type="dxa"/>
            <w:vAlign w:val="center"/>
          </w:tcPr>
          <w:p w:rsidR="00794BD5" w:rsidRPr="00547760" w:rsidRDefault="00794BD5" w:rsidP="000A5CA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760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и предложения</w:t>
            </w:r>
          </w:p>
        </w:tc>
        <w:tc>
          <w:tcPr>
            <w:tcW w:w="8611" w:type="dxa"/>
            <w:vAlign w:val="center"/>
          </w:tcPr>
          <w:p w:rsidR="00794BD5" w:rsidRPr="00547760" w:rsidRDefault="00794BD5" w:rsidP="000A5CA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7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Ответы и комментарии </w:t>
            </w:r>
          </w:p>
        </w:tc>
      </w:tr>
      <w:tr w:rsidR="00794BD5" w:rsidRPr="00F11614" w:rsidTr="008C0089">
        <w:tc>
          <w:tcPr>
            <w:tcW w:w="5949" w:type="dxa"/>
          </w:tcPr>
          <w:p w:rsidR="00794BD5" w:rsidRPr="00F11614" w:rsidRDefault="00794BD5" w:rsidP="008C008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мнению активных на международном рынке российских банков, т</w:t>
            </w:r>
            <w:r w:rsidRPr="00985F22">
              <w:rPr>
                <w:rFonts w:ascii="Times New Roman" w:hAnsi="Times New Roman" w:cs="Times New Roman"/>
                <w:sz w:val="26"/>
                <w:szCs w:val="26"/>
              </w:rPr>
              <w:t xml:space="preserve">екущее регулирование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985F22">
              <w:rPr>
                <w:rFonts w:ascii="Times New Roman" w:hAnsi="Times New Roman" w:cs="Times New Roman"/>
                <w:sz w:val="26"/>
                <w:szCs w:val="26"/>
              </w:rPr>
              <w:t xml:space="preserve"> существенно жестче, чем в любой другой европейской юрисдикции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985F22">
              <w:rPr>
                <w:rFonts w:ascii="Times New Roman" w:hAnsi="Times New Roman" w:cs="Times New Roman"/>
                <w:sz w:val="26"/>
                <w:szCs w:val="26"/>
              </w:rPr>
              <w:t>отношение риск-взвешенных активов (RWA) к активам в России в 2 раза выше, чем среднее для европейских банков), что создает повышенную нагрузку на достаточность капитала всей банковской системы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bookmarkStart w:id="0" w:name="bookmark5"/>
            <w:r w:rsidRPr="00985F22">
              <w:rPr>
                <w:rFonts w:ascii="Times New Roman" w:hAnsi="Times New Roman" w:cs="Times New Roman"/>
                <w:sz w:val="26"/>
                <w:szCs w:val="26"/>
              </w:rPr>
              <w:t xml:space="preserve">Высокое отношения RWA к активам (90%) создает ошибочную видимость </w:t>
            </w:r>
            <w:proofErr w:type="spellStart"/>
            <w:r w:rsidRPr="00985F22">
              <w:rPr>
                <w:rFonts w:ascii="Times New Roman" w:hAnsi="Times New Roman" w:cs="Times New Roman"/>
                <w:sz w:val="26"/>
                <w:szCs w:val="26"/>
              </w:rPr>
              <w:t>недокапитализированности</w:t>
            </w:r>
            <w:proofErr w:type="spellEnd"/>
            <w:r w:rsidRPr="00985F22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российского банковского сектора</w:t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F2AE8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Рассматриваются ли в этой связи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возможности модификации регуляторных</w:t>
            </w:r>
            <w:r w:rsidRPr="006571B3">
              <w:rPr>
                <w:rFonts w:ascii="Times New Roman" w:hAnsi="Times New Roman" w:cs="Times New Roman"/>
                <w:sz w:val="26"/>
                <w:szCs w:val="26"/>
              </w:rPr>
              <w:t xml:space="preserve"> подход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ов?</w:t>
            </w:r>
          </w:p>
        </w:tc>
        <w:tc>
          <w:tcPr>
            <w:tcW w:w="8611" w:type="dxa"/>
          </w:tcPr>
          <w:p w:rsidR="008C0089" w:rsidRPr="008C0089" w:rsidRDefault="008C0089" w:rsidP="00547760">
            <w:pPr>
              <w:autoSpaceDE w:val="0"/>
              <w:autoSpaceDN w:val="0"/>
              <w:adjustRightInd w:val="0"/>
              <w:spacing w:before="120"/>
              <w:ind w:left="34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089">
              <w:rPr>
                <w:rFonts w:ascii="Times New Roman" w:hAnsi="Times New Roman" w:cs="Times New Roman"/>
                <w:sz w:val="26"/>
                <w:szCs w:val="26"/>
              </w:rPr>
              <w:t>Банк России, начиная с 2019 года, планирует поэтапное внесение изменений в подходы к расчету нормативов достаточности капитала (будет подготовлена новая редакция Инструкцию Банка России от 28.06.2017 № 180-И «Об обязательных нормативах банков») в рамках реализации нового стандартизированного подхода к оценке кредитного риска, предусмотренного в финальном документе Базеля III «</w:t>
            </w:r>
            <w:proofErr w:type="spellStart"/>
            <w:r w:rsidRPr="008C0089">
              <w:rPr>
                <w:rFonts w:ascii="Times New Roman" w:hAnsi="Times New Roman" w:cs="Times New Roman"/>
                <w:sz w:val="26"/>
                <w:szCs w:val="26"/>
              </w:rPr>
              <w:t>Basel</w:t>
            </w:r>
            <w:proofErr w:type="spellEnd"/>
            <w:r w:rsidRPr="008C0089">
              <w:rPr>
                <w:rFonts w:ascii="Times New Roman" w:hAnsi="Times New Roman" w:cs="Times New Roman"/>
                <w:sz w:val="26"/>
                <w:szCs w:val="26"/>
              </w:rPr>
              <w:t xml:space="preserve"> III: </w:t>
            </w:r>
            <w:proofErr w:type="spellStart"/>
            <w:r w:rsidRPr="008C0089">
              <w:rPr>
                <w:rFonts w:ascii="Times New Roman" w:hAnsi="Times New Roman" w:cs="Times New Roman"/>
                <w:sz w:val="26"/>
                <w:szCs w:val="26"/>
              </w:rPr>
              <w:t>Finalising</w:t>
            </w:r>
            <w:proofErr w:type="spellEnd"/>
            <w:r w:rsidRPr="008C00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089">
              <w:rPr>
                <w:rFonts w:ascii="Times New Roman" w:hAnsi="Times New Roman" w:cs="Times New Roman"/>
                <w:sz w:val="26"/>
                <w:szCs w:val="26"/>
              </w:rPr>
              <w:t>post-crisis</w:t>
            </w:r>
            <w:proofErr w:type="spellEnd"/>
            <w:r w:rsidRPr="008C00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089">
              <w:rPr>
                <w:rFonts w:ascii="Times New Roman" w:hAnsi="Times New Roman" w:cs="Times New Roman"/>
                <w:sz w:val="26"/>
                <w:szCs w:val="26"/>
              </w:rPr>
              <w:t>reforms</w:t>
            </w:r>
            <w:proofErr w:type="spellEnd"/>
            <w:r w:rsidRPr="008C0089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 w:rsidRPr="008C0089">
              <w:rPr>
                <w:rFonts w:ascii="Times New Roman" w:hAnsi="Times New Roman" w:cs="Times New Roman"/>
                <w:sz w:val="26"/>
                <w:szCs w:val="26"/>
              </w:rPr>
              <w:t>December</w:t>
            </w:r>
            <w:proofErr w:type="spellEnd"/>
            <w:r w:rsidRPr="008C0089">
              <w:rPr>
                <w:rFonts w:ascii="Times New Roman" w:hAnsi="Times New Roman" w:cs="Times New Roman"/>
                <w:sz w:val="26"/>
                <w:szCs w:val="26"/>
              </w:rPr>
              <w:t xml:space="preserve"> 2017), при этом на первоначальном этапе будут внесены изменения в части оценки риска в отношении суверенных заемщиков, банков и корпоративных заемщиков. В отношении суверенных заемщиков планируем выпустить нормативный акт уже в 1 квартале текущего года.</w:t>
            </w:r>
          </w:p>
          <w:p w:rsidR="00794BD5" w:rsidRPr="00794BD5" w:rsidRDefault="008C0089" w:rsidP="00547760">
            <w:pPr>
              <w:autoSpaceDE w:val="0"/>
              <w:autoSpaceDN w:val="0"/>
              <w:adjustRightInd w:val="0"/>
              <w:spacing w:after="120"/>
              <w:ind w:left="34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089">
              <w:rPr>
                <w:rFonts w:ascii="Times New Roman" w:hAnsi="Times New Roman" w:cs="Times New Roman"/>
                <w:sz w:val="26"/>
                <w:szCs w:val="26"/>
              </w:rPr>
              <w:t>Решение о применении одного из альтернативных подходов к оценке риска (с использованием внешних рейтингов долгосрочной кредитоспособности, присвоенных заемщику, или без применения рейтингов) будет принято в зависимости от оценки преимуществ и недостатков указанных методов.</w:t>
            </w:r>
          </w:p>
        </w:tc>
      </w:tr>
      <w:tr w:rsidR="00794BD5" w:rsidRPr="00F11614" w:rsidTr="008C0089">
        <w:tc>
          <w:tcPr>
            <w:tcW w:w="5949" w:type="dxa"/>
          </w:tcPr>
          <w:p w:rsidR="00794BD5" w:rsidRPr="00794BD5" w:rsidRDefault="00794BD5" w:rsidP="008C008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5F22">
              <w:rPr>
                <w:rFonts w:ascii="Times New Roman" w:hAnsi="Times New Roman" w:cs="Times New Roman"/>
                <w:sz w:val="26"/>
                <w:szCs w:val="26"/>
              </w:rPr>
              <w:t>На какие регуляторные технологии Банк России советует банкам обратить внимание для удовлетворения действующих и перспективных требований?</w:t>
            </w:r>
          </w:p>
        </w:tc>
        <w:tc>
          <w:tcPr>
            <w:tcW w:w="8611" w:type="dxa"/>
          </w:tcPr>
          <w:p w:rsidR="004C2AFE" w:rsidRDefault="004C2AFE" w:rsidP="00547760">
            <w:pPr>
              <w:autoSpaceDE w:val="0"/>
              <w:autoSpaceDN w:val="0"/>
              <w:adjustRightInd w:val="0"/>
              <w:spacing w:before="120"/>
              <w:ind w:left="34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Участниками рынка используются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RegTech</w:t>
            </w:r>
            <w:proofErr w:type="spellEnd"/>
            <w:r w:rsidRPr="00087F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решения по управлению рисками (прежде всего кредитным, рыночным и операционным), удалённой биометрической идентификации, анализу и мониторингу транзакций (мониторинг и прогноз возникновения негативных событий и показателей), автоматизации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-контроля.</w:t>
            </w:r>
          </w:p>
          <w:p w:rsidR="004C2AFE" w:rsidRDefault="004C2AFE" w:rsidP="004C2AFE">
            <w:pPr>
              <w:autoSpaceDE w:val="0"/>
              <w:autoSpaceDN w:val="0"/>
              <w:adjustRightInd w:val="0"/>
              <w:ind w:left="34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Банком России прорабатываются решения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SupTech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которые, как ожидаются, должны снизить регуляторную нагрузку в поднадзорных организациях: переход на первичные данные для сбора и унификации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регуляторной и статистической отчётности,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регуляторных требований (внедрение машиночитаемого регулирования). </w:t>
            </w:r>
          </w:p>
          <w:p w:rsidR="004C2AFE" w:rsidRDefault="004C2AFE" w:rsidP="004C2AFE">
            <w:pPr>
              <w:autoSpaceDE w:val="0"/>
              <w:autoSpaceDN w:val="0"/>
              <w:adjustRightInd w:val="0"/>
              <w:ind w:left="34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Кроме того, в перечень перспективных проектов в области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SupTech</w:t>
            </w:r>
            <w:proofErr w:type="spellEnd"/>
            <w:r w:rsidRPr="00E166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Банком России включены технологии по: мониторингу и анализу операционных рисков (сбор данных о событиях риска в единую БД, унификация классификатора операционных рисков, разработка инструментов аналитики); выявлению групп экономически и/или юридически взаимосвязанных лиц;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валидации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внутрибанковских систем оценки рисков в целях расчёта достаточности капитала и моделей оценки ожидаемых потерь для цели расчёта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пруденциальных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резервов; управлению риском реализации информационных угроз 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киберрисками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); поиску нестандартных активностей (недобросовестных практик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мисселингу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манипулированию рынком, использованию инсайдерской информацией на организованных торговых площадках); реализации коммуникационных и аналитических систем по обработке регулятором жалоб и обращений, выявлению недобросовестных практик участников рынка и некоторых других.</w:t>
            </w:r>
          </w:p>
          <w:p w:rsidR="00794BD5" w:rsidRPr="00794BD5" w:rsidRDefault="004C2AFE" w:rsidP="00547760">
            <w:pPr>
              <w:autoSpaceDE w:val="0"/>
              <w:autoSpaceDN w:val="0"/>
              <w:adjustRightInd w:val="0"/>
              <w:spacing w:after="120"/>
              <w:ind w:left="34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Банком России совместно с финансовым сообществом рассматриваются различные сценарии реализации облачных реестровых решений для использования в рамках экономической деятельности участниками финансового рынка: единые реестры залогов, электронных закладных, цифровых банковских гарантий, аккредитивов, контрагентов с повышенным риском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ML</w:t>
            </w:r>
            <w:r>
              <w:rPr>
                <w:rStyle w:val="aa"/>
                <w:rFonts w:ascii="Times New Roman" w:hAnsi="Times New Roman" w:cs="Times New Roman"/>
                <w:sz w:val="26"/>
                <w:szCs w:val="26"/>
                <w:lang w:val="en-US"/>
              </w:rPr>
              <w:footnoteReference w:id="1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 ведению кредитных досье контрагентов и др.</w:t>
            </w:r>
          </w:p>
        </w:tc>
      </w:tr>
      <w:tr w:rsidR="00794BD5" w:rsidRPr="00F11614" w:rsidTr="008C0089">
        <w:tc>
          <w:tcPr>
            <w:tcW w:w="5949" w:type="dxa"/>
          </w:tcPr>
          <w:p w:rsidR="00794BD5" w:rsidRPr="00F11614" w:rsidRDefault="00794BD5" w:rsidP="008C008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Планируется ли переход к безбумажным технологиям в банковской системе (в </w:t>
            </w:r>
            <w:proofErr w:type="spellStart"/>
            <w:r w:rsidRPr="00DF32FD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DF32FD">
              <w:rPr>
                <w:rFonts w:ascii="Times New Roman" w:hAnsi="Times New Roman" w:cs="Times New Roman"/>
                <w:sz w:val="26"/>
                <w:szCs w:val="26"/>
              </w:rPr>
              <w:t>. возможность хранения досье в виде скан-копий, подписание трудовых соглашений ЭЦП и т.д.)?</w:t>
            </w:r>
          </w:p>
        </w:tc>
        <w:tc>
          <w:tcPr>
            <w:tcW w:w="8611" w:type="dxa"/>
          </w:tcPr>
          <w:p w:rsidR="00E85799" w:rsidRPr="00E85799" w:rsidRDefault="00E85799" w:rsidP="00547760">
            <w:pPr>
              <w:pStyle w:val="a7"/>
              <w:spacing w:before="120" w:beforeAutospacing="0" w:after="120" w:afterAutospacing="0"/>
              <w:ind w:firstLine="720"/>
              <w:jc w:val="both"/>
              <w:rPr>
                <w:color w:val="000000"/>
                <w:kern w:val="24"/>
                <w:sz w:val="26"/>
                <w:szCs w:val="26"/>
              </w:rPr>
            </w:pPr>
            <w:r w:rsidRPr="00562273">
              <w:rPr>
                <w:color w:val="000000"/>
                <w:kern w:val="24"/>
                <w:sz w:val="26"/>
                <w:szCs w:val="26"/>
              </w:rPr>
              <w:t>При координации Банка России разработан законопроект о внесении изменений в Федеральный закон «Об информации, информационных технологиях и о защите информации» и ряд иных законо</w:t>
            </w:r>
            <w:r>
              <w:rPr>
                <w:color w:val="000000"/>
                <w:kern w:val="24"/>
                <w:sz w:val="26"/>
                <w:szCs w:val="26"/>
              </w:rPr>
              <w:t>дательных актов, направленных</w:t>
            </w:r>
            <w:r w:rsidRPr="00562273">
              <w:rPr>
                <w:color w:val="000000"/>
                <w:kern w:val="24"/>
                <w:sz w:val="26"/>
                <w:szCs w:val="26"/>
              </w:rPr>
              <w:t xml:space="preserve"> на регулирование использования и хранения электронных документов. Законопроект регулирует такие процессы, как миграция и конвертация электронных документов, а также возможность применения </w:t>
            </w:r>
            <w:r w:rsidRPr="00562273">
              <w:rPr>
                <w:color w:val="000000"/>
                <w:kern w:val="24"/>
                <w:sz w:val="26"/>
                <w:szCs w:val="26"/>
              </w:rPr>
              <w:lastRenderedPageBreak/>
              <w:t xml:space="preserve">«замещающего сканирования» </w:t>
            </w:r>
            <w:r>
              <w:rPr>
                <w:color w:val="000000"/>
                <w:kern w:val="24"/>
                <w:sz w:val="26"/>
                <w:szCs w:val="26"/>
              </w:rPr>
              <w:t>–</w:t>
            </w:r>
            <w:r w:rsidRPr="00562273">
              <w:rPr>
                <w:color w:val="000000"/>
                <w:kern w:val="24"/>
                <w:sz w:val="26"/>
                <w:szCs w:val="26"/>
              </w:rPr>
              <w:t xml:space="preserve"> создание электронных дубликатов документов на бумажных носителях, которые могут использоваться в любых правоотношениях наравне с оригиналами. Данные нормы направлены на обеспечение перехода на электронное взаимодействие всех субъектов документооборота, в том числе и в банковской сфере. Вопросы подписания трудовых соглашений – это общие вопросы трудового законодательства, и с ними следует обращаться в соответствую</w:t>
            </w:r>
            <w:r>
              <w:rPr>
                <w:color w:val="000000"/>
                <w:kern w:val="24"/>
                <w:sz w:val="26"/>
                <w:szCs w:val="26"/>
              </w:rPr>
              <w:t>щее ведомство – Минтруд России.</w:t>
            </w:r>
          </w:p>
        </w:tc>
      </w:tr>
      <w:tr w:rsidR="00794BD5" w:rsidRPr="00F11614" w:rsidTr="00547760">
        <w:tc>
          <w:tcPr>
            <w:tcW w:w="5949" w:type="dxa"/>
            <w:tcBorders>
              <w:bottom w:val="single" w:sz="4" w:space="0" w:color="auto"/>
            </w:tcBorders>
          </w:tcPr>
          <w:p w:rsidR="00794BD5" w:rsidRPr="00794BD5" w:rsidRDefault="00794BD5" w:rsidP="008C008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9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Сервисы государственных органов, используемые банками для оценки кредитного риска на розничных клиентов (МВД для проверки действительности паспортов, ПФР и ФНС для оценки занятости и дохода и пр.) имеют определенные недостатки, с точки зрения производительности, клиентского пути, качества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актуальности </w:t>
            </w:r>
            <w:r w:rsidRPr="00220929">
              <w:rPr>
                <w:rFonts w:ascii="Times New Roman" w:hAnsi="Times New Roman" w:cs="Times New Roman"/>
                <w:sz w:val="26"/>
                <w:szCs w:val="26"/>
              </w:rPr>
              <w:t xml:space="preserve">данных. Планирует 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Банк России</w:t>
            </w:r>
            <w:r w:rsidRPr="00220929">
              <w:rPr>
                <w:rFonts w:ascii="Times New Roman" w:hAnsi="Times New Roman" w:cs="Times New Roman"/>
                <w:sz w:val="26"/>
                <w:szCs w:val="26"/>
              </w:rPr>
              <w:t xml:space="preserve"> участвовать в устранении имеющихся </w:t>
            </w:r>
            <w:proofErr w:type="spellStart"/>
            <w:r w:rsidRPr="00220929">
              <w:rPr>
                <w:rFonts w:ascii="Times New Roman" w:hAnsi="Times New Roman" w:cs="Times New Roman"/>
                <w:sz w:val="26"/>
                <w:szCs w:val="26"/>
              </w:rPr>
              <w:t>гэпов</w:t>
            </w:r>
            <w:proofErr w:type="spellEnd"/>
            <w:r w:rsidRPr="00220929">
              <w:rPr>
                <w:rFonts w:ascii="Times New Roman" w:hAnsi="Times New Roman" w:cs="Times New Roman"/>
                <w:sz w:val="26"/>
                <w:szCs w:val="26"/>
              </w:rPr>
              <w:t xml:space="preserve"> или стимулировать развитие государственных сервисов, учитывая требования цифровой экономики?</w:t>
            </w:r>
          </w:p>
        </w:tc>
        <w:tc>
          <w:tcPr>
            <w:tcW w:w="8611" w:type="dxa"/>
          </w:tcPr>
          <w:p w:rsidR="00E85799" w:rsidRPr="00774B6F" w:rsidRDefault="00E85799" w:rsidP="00547760">
            <w:pPr>
              <w:pStyle w:val="a7"/>
              <w:spacing w:before="120" w:beforeAutospacing="0" w:after="0" w:afterAutospacing="0"/>
              <w:ind w:firstLine="720"/>
              <w:jc w:val="both"/>
              <w:rPr>
                <w:sz w:val="26"/>
                <w:szCs w:val="26"/>
              </w:rPr>
            </w:pPr>
            <w:r w:rsidRPr="00774B6F">
              <w:rPr>
                <w:sz w:val="26"/>
                <w:szCs w:val="26"/>
              </w:rPr>
              <w:t>Банк России на постоянной основе принимает активное участие в развитии электронного взаимодействия на финансовом рынке.</w:t>
            </w:r>
          </w:p>
          <w:p w:rsidR="00E85799" w:rsidRPr="00A73432" w:rsidRDefault="00E85799" w:rsidP="00E85799">
            <w:pPr>
              <w:pStyle w:val="a7"/>
              <w:spacing w:before="0" w:beforeAutospacing="0" w:after="0" w:afterAutospacing="0"/>
              <w:ind w:firstLine="720"/>
              <w:jc w:val="both"/>
              <w:rPr>
                <w:sz w:val="26"/>
                <w:szCs w:val="26"/>
              </w:rPr>
            </w:pPr>
            <w:r w:rsidRPr="00A73432">
              <w:rPr>
                <w:sz w:val="26"/>
                <w:szCs w:val="26"/>
              </w:rPr>
              <w:t xml:space="preserve">В настоящее время совместно с банками и государственными органами подготовлены и согласованы предложения по расширению перечня сведений, в котором содержатся наиболее востребованные данные из МВД, ФНС, </w:t>
            </w:r>
            <w:proofErr w:type="spellStart"/>
            <w:r w:rsidRPr="00A73432">
              <w:rPr>
                <w:sz w:val="26"/>
                <w:szCs w:val="26"/>
              </w:rPr>
              <w:t>Росреестра</w:t>
            </w:r>
            <w:proofErr w:type="spellEnd"/>
            <w:r w:rsidRPr="00A73432">
              <w:rPr>
                <w:sz w:val="26"/>
                <w:szCs w:val="26"/>
              </w:rPr>
              <w:t xml:space="preserve"> и других органов. Такая информация необходима кредитным организациям для проверки данных о клиентах и их финансовом состоянии и позволит банкам и другим организациям оказывать более качественные и удобные цифровые сервисы своим клиентам. В 2019 году ожидается принятие распоряжения Правительства РФ о предоставлении доступа к соответствующим сведениям.</w:t>
            </w:r>
          </w:p>
          <w:p w:rsidR="00E85799" w:rsidRPr="00A73432" w:rsidRDefault="00E85799" w:rsidP="00E85799">
            <w:pPr>
              <w:pStyle w:val="a7"/>
              <w:spacing w:before="0" w:beforeAutospacing="0" w:after="0" w:afterAutospacing="0"/>
              <w:ind w:firstLine="720"/>
              <w:jc w:val="both"/>
              <w:rPr>
                <w:sz w:val="26"/>
                <w:szCs w:val="26"/>
              </w:rPr>
            </w:pPr>
            <w:r w:rsidRPr="00A73432">
              <w:rPr>
                <w:sz w:val="26"/>
                <w:szCs w:val="26"/>
              </w:rPr>
              <w:t xml:space="preserve">Банк России уже начал взаимодействие с физическими и юридическими лицами через портал </w:t>
            </w:r>
            <w:proofErr w:type="spellStart"/>
            <w:r w:rsidRPr="00A73432">
              <w:rPr>
                <w:sz w:val="26"/>
                <w:szCs w:val="26"/>
              </w:rPr>
              <w:t>Госуслуг</w:t>
            </w:r>
            <w:proofErr w:type="spellEnd"/>
            <w:r w:rsidRPr="00A73432">
              <w:rPr>
                <w:sz w:val="26"/>
                <w:szCs w:val="26"/>
              </w:rPr>
              <w:t>. Так, с использованием Портала</w:t>
            </w:r>
            <w:r>
              <w:rPr>
                <w:sz w:val="26"/>
                <w:szCs w:val="26"/>
              </w:rPr>
              <w:t xml:space="preserve"> с ноября 2018 г.</w:t>
            </w:r>
            <w:r w:rsidRPr="00A73432">
              <w:rPr>
                <w:sz w:val="26"/>
                <w:szCs w:val="26"/>
              </w:rPr>
              <w:t xml:space="preserve"> оказывается услуга по предоставлению из Центрального каталога кредитных историй информации о том, в каком БКИ хранится кредитная история гражданина.</w:t>
            </w:r>
          </w:p>
          <w:p w:rsidR="00E85799" w:rsidRPr="00A73432" w:rsidRDefault="00E85799" w:rsidP="00E8579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432">
              <w:rPr>
                <w:rFonts w:ascii="Times New Roman" w:hAnsi="Times New Roman" w:cs="Times New Roman"/>
                <w:sz w:val="26"/>
                <w:szCs w:val="26"/>
              </w:rPr>
              <w:t>Также в 2019 году будет обеспечена возможность предоставления следующих услуг через ЕПГУ:</w:t>
            </w:r>
          </w:p>
          <w:p w:rsidR="00E85799" w:rsidRPr="00ED1106" w:rsidRDefault="00E85799" w:rsidP="00E8579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106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уведомлений в Банк России (например, о приобретении долей в уставном капитале финансовых организаций)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85799" w:rsidRPr="00ED1106" w:rsidRDefault="00E85799" w:rsidP="00E8579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42" w:hanging="28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106">
              <w:rPr>
                <w:rFonts w:ascii="Times New Roman" w:hAnsi="Times New Roman" w:cs="Times New Roman"/>
                <w:sz w:val="26"/>
                <w:szCs w:val="26"/>
              </w:rPr>
              <w:t>выписки из реестров участников финансового рынка, которые ведет Банк России.</w:t>
            </w:r>
          </w:p>
          <w:p w:rsidR="00E85799" w:rsidRPr="00794BD5" w:rsidRDefault="00E85799" w:rsidP="00547760">
            <w:pPr>
              <w:pStyle w:val="a7"/>
              <w:spacing w:before="120" w:beforeAutospacing="0" w:after="120" w:afterAutospacing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Кроме того, </w:t>
            </w:r>
            <w:r w:rsidRPr="00A73432">
              <w:rPr>
                <w:sz w:val="26"/>
                <w:szCs w:val="26"/>
              </w:rPr>
              <w:t xml:space="preserve">Банком России совместно с </w:t>
            </w:r>
            <w:proofErr w:type="spellStart"/>
            <w:r w:rsidRPr="00A73432">
              <w:rPr>
                <w:sz w:val="26"/>
                <w:szCs w:val="26"/>
              </w:rPr>
              <w:t>Минкомсвязью</w:t>
            </w:r>
            <w:proofErr w:type="spellEnd"/>
            <w:r w:rsidRPr="00A73432">
              <w:rPr>
                <w:sz w:val="26"/>
                <w:szCs w:val="26"/>
              </w:rPr>
              <w:t xml:space="preserve"> России </w:t>
            </w:r>
            <w:r>
              <w:rPr>
                <w:sz w:val="26"/>
                <w:szCs w:val="26"/>
              </w:rPr>
              <w:t xml:space="preserve">и ПАО «Ростелеком» </w:t>
            </w:r>
            <w:r w:rsidRPr="00A73432">
              <w:rPr>
                <w:sz w:val="26"/>
                <w:szCs w:val="26"/>
              </w:rPr>
              <w:t>разработана концепция и законопроект по созданию Цифрового профиля в рамках программы «Цифровая экономика</w:t>
            </w:r>
            <w:r>
              <w:rPr>
                <w:sz w:val="26"/>
                <w:szCs w:val="26"/>
              </w:rPr>
              <w:t xml:space="preserve"> РФ</w:t>
            </w:r>
            <w:r w:rsidRPr="00A73432">
              <w:rPr>
                <w:sz w:val="26"/>
                <w:szCs w:val="26"/>
              </w:rPr>
              <w:t>». Проект направлен на создание удобной и безопасной инфраструктуры для обмена данными между государством и бизнесом, которая доступна для потребителей данных в режиме онлайн и позволяет гражданам управлять своими цифровыми данными.</w:t>
            </w:r>
          </w:p>
        </w:tc>
      </w:tr>
      <w:tr w:rsidR="00547760" w:rsidRPr="00F11614" w:rsidTr="00547760">
        <w:trPr>
          <w:trHeight w:val="3724"/>
        </w:trPr>
        <w:tc>
          <w:tcPr>
            <w:tcW w:w="5949" w:type="dxa"/>
            <w:tcBorders>
              <w:bottom w:val="single" w:sz="4" w:space="0" w:color="auto"/>
            </w:tcBorders>
          </w:tcPr>
          <w:p w:rsidR="00547760" w:rsidRPr="00547760" w:rsidRDefault="00547760" w:rsidP="008C0089">
            <w:pPr>
              <w:pStyle w:val="a3"/>
              <w:numPr>
                <w:ilvl w:val="0"/>
                <w:numId w:val="1"/>
              </w:numPr>
              <w:tabs>
                <w:tab w:val="left" w:pos="958"/>
              </w:tabs>
              <w:autoSpaceDE w:val="0"/>
              <w:autoSpaceDN w:val="0"/>
              <w:adjustRightInd w:val="0"/>
              <w:spacing w:before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E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государственных сервисов, информация из которых используется банками для целей оценки рисков кредитования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3E3F">
              <w:rPr>
                <w:rFonts w:ascii="Times New Roman" w:hAnsi="Times New Roman" w:cs="Times New Roman"/>
                <w:sz w:val="26"/>
                <w:szCs w:val="26"/>
              </w:rPr>
              <w:t>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47760" w:rsidRPr="00547760" w:rsidRDefault="00547760" w:rsidP="00547760">
            <w:pPr>
              <w:pStyle w:val="a3"/>
              <w:tabs>
                <w:tab w:val="left" w:pos="958"/>
              </w:tabs>
              <w:autoSpaceDE w:val="0"/>
              <w:autoSpaceDN w:val="0"/>
              <w:adjustRightInd w:val="0"/>
              <w:spacing w:before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60">
              <w:rPr>
                <w:rFonts w:ascii="Times New Roman" w:hAnsi="Times New Roman" w:cs="Times New Roman"/>
                <w:sz w:val="26"/>
                <w:szCs w:val="26"/>
              </w:rPr>
              <w:t>5.1 Планируется ли, в рамках отдельного проекта, предоставить банкам доступ к получению актуальных сведений из ФНС России в отношении ЮЛ и ИП, таких как: количество расчетных счетов, обороты, объемы поступлений денежных средств для клиентов с онлайн-кассой, информация о физических показателях (налоговой базе) по отдельным видам деклараций, информация о задолженности по налогам и пр., с целью определения финансового положения клиента ЮЛ/ИП?</w:t>
            </w:r>
          </w:p>
        </w:tc>
        <w:tc>
          <w:tcPr>
            <w:tcW w:w="8611" w:type="dxa"/>
            <w:vMerge w:val="restart"/>
          </w:tcPr>
          <w:p w:rsidR="00547760" w:rsidRPr="00794BD5" w:rsidRDefault="00547760" w:rsidP="00A5024E">
            <w:pPr>
              <w:pStyle w:val="a7"/>
              <w:spacing w:before="120" w:beforeAutospacing="0" w:after="0" w:afterAutospacing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настоящее время решение данного вопроса не является задачей </w:t>
            </w:r>
            <w:r w:rsidR="00A5024E">
              <w:rPr>
                <w:sz w:val="26"/>
                <w:szCs w:val="26"/>
              </w:rPr>
              <w:t>Банка России</w:t>
            </w:r>
            <w:bookmarkStart w:id="1" w:name="_GoBack"/>
            <w:bookmarkEnd w:id="1"/>
            <w:r>
              <w:rPr>
                <w:sz w:val="26"/>
                <w:szCs w:val="26"/>
              </w:rPr>
              <w:t>.</w:t>
            </w:r>
          </w:p>
        </w:tc>
      </w:tr>
      <w:tr w:rsidR="00547760" w:rsidRPr="00F11614" w:rsidTr="00547760">
        <w:trPr>
          <w:trHeight w:val="3256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:rsidR="00547760" w:rsidRPr="00E85799" w:rsidRDefault="00547760" w:rsidP="008C0089">
            <w:pPr>
              <w:pStyle w:val="11"/>
              <w:shd w:val="clear" w:color="auto" w:fill="auto"/>
              <w:tabs>
                <w:tab w:val="left" w:pos="1624"/>
              </w:tabs>
              <w:spacing w:line="240" w:lineRule="auto"/>
              <w:ind w:firstLine="709"/>
              <w:rPr>
                <w:b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lastRenderedPageBreak/>
              <w:t xml:space="preserve">5.2 </w:t>
            </w:r>
            <w:r w:rsidRPr="004C3E3F">
              <w:rPr>
                <w:color w:val="000000"/>
                <w:sz w:val="26"/>
                <w:szCs w:val="26"/>
                <w:lang w:bidi="ru-RU"/>
              </w:rPr>
              <w:t>Новый сервис налоговой службы «Прозрачный бизнес», в котором уже размещены сведения о среднесписочной численности работников юридических лиц, специальных налоговых режимах, применяемых компаниями, об участии организаций в консолидированной группе налогоплательщиков, о суммах налогов и сборов, уплаченных организациями, о суммах доходов и расходов организаций по данным бухгалтерской отчетности за 2017 год. - предоставляет сведения за предыдущий календарный год. Вместе с тем, банкам для работы с кредитными средствами нужны актуальные данные по состоянию на отчетную дату. Запланирована ли доработка данного сервиса с целью получения актуальных данных по состоянию на отчетную дату?</w:t>
            </w:r>
          </w:p>
        </w:tc>
        <w:tc>
          <w:tcPr>
            <w:tcW w:w="8611" w:type="dxa"/>
            <w:vMerge/>
          </w:tcPr>
          <w:p w:rsidR="00547760" w:rsidRDefault="00547760" w:rsidP="00E85799">
            <w:pPr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BD5" w:rsidRPr="00F11614" w:rsidTr="008C0089">
        <w:tc>
          <w:tcPr>
            <w:tcW w:w="5949" w:type="dxa"/>
          </w:tcPr>
          <w:p w:rsidR="00794BD5" w:rsidRDefault="00794BD5" w:rsidP="008C008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Просим рассмотреть следующее предложение, особенно актуальное для некоторых регионов с высокой долей неофициальных доходов. </w:t>
            </w:r>
          </w:p>
          <w:p w:rsidR="00794BD5" w:rsidRPr="004C3E3F" w:rsidRDefault="00794BD5" w:rsidP="008C008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E3F">
              <w:rPr>
                <w:rFonts w:ascii="Times New Roman" w:hAnsi="Times New Roman" w:cs="Times New Roman"/>
                <w:sz w:val="26"/>
                <w:szCs w:val="26"/>
              </w:rPr>
              <w:t xml:space="preserve">Банки, с одной стороны, не имеют доступа к информационным ресурсам, позволяющим получать актуальную информацию и проверять на достоверность документы о доходах, представленные клиентами физлицами, с другой стороны, на практике (в том числе при проверках регулятора) периодически сталкиваются со случаями недостоверности представленной клиентами информации о доходах, так как ряд работодателей не выплачивает всю заработную плату официально. При этом квалификация, стаж, образование, имущественное положение, </w:t>
            </w:r>
            <w:r w:rsidRPr="004C3E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кредитная история клиента, данные об уровне заработных плат в сфере занятости клиента в регионе позволяют косвенно судить о реальных доходах того или иного клиента. Понимая, что неофициальная часть дохода клиента не является доходом, на который можно обратить взыскание в случае неуплаты кредитных обязательств, отдельные кредитные организации готовы создавать соответствующие резервы по ссудам, чтобы удержать в портфеле ряд постоянных, зарекомендовавших себя многолетними отношениями с банком клиентов. Но при этом выводить данные ссуды из портфелей и оценивать их на индивидуальной основе означает значительно повысить трудоёмкость обслуживания кредитного портфеля, ведь речь в основном идет о самом массовом сегменте портфеля - розничном. После вывода из портфеля резерв по данным ссудам уже не будет ниже 50%, что в разы превышает уровень реализованного кредитного риска по данным ссудам. </w:t>
            </w:r>
          </w:p>
          <w:p w:rsidR="00794BD5" w:rsidRPr="00794BD5" w:rsidRDefault="00794BD5" w:rsidP="00547760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E3F">
              <w:rPr>
                <w:rFonts w:ascii="Times New Roman" w:hAnsi="Times New Roman" w:cs="Times New Roman"/>
                <w:sz w:val="26"/>
                <w:szCs w:val="26"/>
              </w:rPr>
              <w:t>Исходя из вышесказанного, предлагае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  <w:r w:rsidRPr="004C3E3F">
              <w:rPr>
                <w:rFonts w:ascii="Times New Roman" w:hAnsi="Times New Roman" w:cs="Times New Roman"/>
                <w:sz w:val="26"/>
                <w:szCs w:val="26"/>
              </w:rPr>
              <w:t xml:space="preserve"> рассмотреть вопрос возможности создания под такие ссуды отдельной группы портфелей с повышенной (по сравнению со ссудами, предоставленными на основании официально подтвержденного дохода) ставкой резерва.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этом случае к</w:t>
            </w:r>
            <w:r w:rsidRPr="004C3E3F">
              <w:rPr>
                <w:rFonts w:ascii="Times New Roman" w:hAnsi="Times New Roman" w:cs="Times New Roman"/>
                <w:sz w:val="26"/>
                <w:szCs w:val="26"/>
              </w:rPr>
              <w:t xml:space="preserve">аждый банк самостоятельно мог бы решать, может ли он позволить себе кредитование клиентов с недостоверными доходами с созданием по этим </w:t>
            </w:r>
            <w:r w:rsidRPr="004C3E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ссудам соответствующего резерва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C3E3F">
              <w:rPr>
                <w:rFonts w:ascii="Times New Roman" w:hAnsi="Times New Roman" w:cs="Times New Roman"/>
                <w:sz w:val="26"/>
                <w:szCs w:val="26"/>
              </w:rPr>
              <w:t xml:space="preserve"> и в каком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бъеме банк может их кредитовать.</w:t>
            </w:r>
          </w:p>
        </w:tc>
        <w:tc>
          <w:tcPr>
            <w:tcW w:w="8611" w:type="dxa"/>
          </w:tcPr>
          <w:p w:rsidR="00794BD5" w:rsidRPr="00794BD5" w:rsidRDefault="008C0089" w:rsidP="00547760">
            <w:pPr>
              <w:autoSpaceDE w:val="0"/>
              <w:autoSpaceDN w:val="0"/>
              <w:spacing w:before="120"/>
              <w:ind w:left="34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089">
              <w:rPr>
                <w:rFonts w:ascii="Times New Roman" w:hAnsi="Times New Roman"/>
                <w:sz w:val="26"/>
                <w:szCs w:val="26"/>
              </w:rPr>
              <w:lastRenderedPageBreak/>
              <w:t>Исходя из вышесказанного, предлагается рассмотреть вопрос возможности создания под такие ссуды отдельной группы портфелей с повышенной (по сравнению со ссудами, предоставленными на основании официально подтвержденного дохода) ставкой резерва. В этом случае каждый банк самостоятельно мог бы решать, может ли он позволить себе кредитование клиентов с неподтвержденными доходами с созданием по этим ссудам соответствующего резерва, и в каком объеме банк может их кредитовать.</w:t>
            </w:r>
          </w:p>
        </w:tc>
      </w:tr>
      <w:tr w:rsidR="00794BD5" w:rsidRPr="00F11614" w:rsidTr="008C0089">
        <w:tc>
          <w:tcPr>
            <w:tcW w:w="5949" w:type="dxa"/>
          </w:tcPr>
          <w:p w:rsidR="00794BD5" w:rsidRPr="00794BD5" w:rsidRDefault="00794BD5" w:rsidP="008C008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D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Принимаемые на текущий момент меры по сдерживанию розничного кредитования (надбавки к коэффициентам риска) в первую очередь затрагивают сегменты небольших потребительских кредитов. При этом, данный сегмент представляет собой беспроцентную рассрочку для клиента (ставку компенсирует торговая точка) и, следовательно, имеет невысокие риски ввиду незначительных сумм и сроков. А кредитование на большие суммы (от 500 тыс. руб.) и сроки (от 5 лет) затрагивается в меньшей степени, т.к. такие кредиты выдаются по меньшей ставке. С точки зрения кредитного риска, наибольшую опасность представляют именно крупные суммы и длинные сроки. Планируется ли внедрение иных инструментов по сдерживанию розничного кредитования, отличных от ПСК?</w:t>
            </w:r>
          </w:p>
        </w:tc>
        <w:tc>
          <w:tcPr>
            <w:tcW w:w="8611" w:type="dxa"/>
          </w:tcPr>
          <w:p w:rsidR="00D32579" w:rsidRPr="00D32579" w:rsidRDefault="00D32579" w:rsidP="00547760">
            <w:pPr>
              <w:autoSpaceDE w:val="0"/>
              <w:autoSpaceDN w:val="0"/>
              <w:spacing w:before="120"/>
              <w:ind w:left="34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257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D32579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D32579">
              <w:rPr>
                <w:rFonts w:ascii="Times New Roman" w:hAnsi="Times New Roman"/>
                <w:sz w:val="26"/>
                <w:szCs w:val="26"/>
              </w:rPr>
              <w:t xml:space="preserve"> кв. 2018 среднее значение ПСК по </w:t>
            </w:r>
            <w:r w:rsidRPr="00D32579">
              <w:rPr>
                <w:rFonts w:ascii="Times New Roman" w:hAnsi="Times New Roman"/>
                <w:sz w:val="26"/>
                <w:szCs w:val="26"/>
                <w:lang w:val="en-US"/>
              </w:rPr>
              <w:t>POS</w:t>
            </w:r>
            <w:r w:rsidRPr="00D32579">
              <w:rPr>
                <w:rFonts w:ascii="Times New Roman" w:hAnsi="Times New Roman"/>
                <w:sz w:val="26"/>
                <w:szCs w:val="26"/>
              </w:rPr>
              <w:t xml:space="preserve">-кредитам составило 15%, что даже ниже, чем в сегменте кредитов наличными (15,7%) и существенно ниже ПСК по кредитным картам (23,1%). Так как надбавки к коэффициентам риска зависят от ПСК, то к </w:t>
            </w:r>
            <w:r w:rsidRPr="00D32579">
              <w:rPr>
                <w:rFonts w:ascii="Times New Roman" w:hAnsi="Times New Roman"/>
                <w:sz w:val="26"/>
                <w:szCs w:val="26"/>
                <w:lang w:val="en-US"/>
              </w:rPr>
              <w:t>POS</w:t>
            </w:r>
            <w:r w:rsidRPr="00D32579">
              <w:rPr>
                <w:rFonts w:ascii="Times New Roman" w:hAnsi="Times New Roman"/>
                <w:sz w:val="26"/>
                <w:szCs w:val="26"/>
              </w:rPr>
              <w:t>-кредитам применяется наименьшая надбавка. В настоящее время для кредитов с ПСК от 10 до 15% коэффициент риска с учетом надбавки составляет 120%, а с 1 апреля станет 150%.</w:t>
            </w:r>
          </w:p>
          <w:p w:rsidR="00D32579" w:rsidRPr="00794BD5" w:rsidRDefault="00D32579" w:rsidP="00D32579">
            <w:pPr>
              <w:autoSpaceDE w:val="0"/>
              <w:autoSpaceDN w:val="0"/>
              <w:adjustRightInd w:val="0"/>
              <w:ind w:left="34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579">
              <w:rPr>
                <w:rFonts w:ascii="Times New Roman" w:hAnsi="Times New Roman"/>
                <w:sz w:val="26"/>
                <w:szCs w:val="26"/>
              </w:rPr>
              <w:t>Кроме того, в целях ограничения роста долговой нагрузки физических лиц Банк России планирует устанавливать надбавки к коэффициентам риска в зависимости от показателя долговой нагрузки заемщика. С 1 октября 2019 года банки будут обязаны при выдаче кредитов физическим лицам рассчитывать показатель долговой нагрузки, учитывающий обязательства заемщика по всем кредитам.</w:t>
            </w:r>
          </w:p>
        </w:tc>
      </w:tr>
    </w:tbl>
    <w:p w:rsidR="00B73DC2" w:rsidRPr="004C3E3F" w:rsidRDefault="00B73DC2" w:rsidP="00DD0FF5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73DC2" w:rsidRPr="004C3E3F" w:rsidSect="008C0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03C" w:rsidRDefault="00F0103C" w:rsidP="004B1A5C">
      <w:pPr>
        <w:spacing w:after="0" w:line="240" w:lineRule="auto"/>
      </w:pPr>
      <w:r>
        <w:separator/>
      </w:r>
    </w:p>
  </w:endnote>
  <w:endnote w:type="continuationSeparator" w:id="0">
    <w:p w:rsidR="00F0103C" w:rsidRDefault="00F0103C" w:rsidP="004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E" w:rsidRDefault="009B305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4662525"/>
      <w:docPartObj>
        <w:docPartGallery w:val="Page Numbers (Bottom of Page)"/>
        <w:docPartUnique/>
      </w:docPartObj>
    </w:sdtPr>
    <w:sdtEndPr/>
    <w:sdtContent>
      <w:p w:rsidR="00261F14" w:rsidRPr="009B305E" w:rsidRDefault="00261F14" w:rsidP="00DD0FF5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B30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B30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B30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024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9B30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E" w:rsidRDefault="009B305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03C" w:rsidRDefault="00F0103C" w:rsidP="004B1A5C">
      <w:pPr>
        <w:spacing w:after="0" w:line="240" w:lineRule="auto"/>
      </w:pPr>
      <w:r>
        <w:separator/>
      </w:r>
    </w:p>
  </w:footnote>
  <w:footnote w:type="continuationSeparator" w:id="0">
    <w:p w:rsidR="00F0103C" w:rsidRDefault="00F0103C" w:rsidP="004B1A5C">
      <w:pPr>
        <w:spacing w:after="0" w:line="240" w:lineRule="auto"/>
      </w:pPr>
      <w:r>
        <w:continuationSeparator/>
      </w:r>
    </w:p>
  </w:footnote>
  <w:footnote w:id="1">
    <w:p w:rsidR="004C2AFE" w:rsidRPr="008C0089" w:rsidRDefault="004C2AFE" w:rsidP="004C2AFE">
      <w:pPr>
        <w:pStyle w:val="a8"/>
        <w:rPr>
          <w:rFonts w:ascii="Times New Roman" w:hAnsi="Times New Roman" w:cs="Times New Roman"/>
        </w:rPr>
      </w:pPr>
      <w:r w:rsidRPr="008C0089">
        <w:rPr>
          <w:rStyle w:val="aa"/>
          <w:rFonts w:ascii="Times New Roman" w:hAnsi="Times New Roman" w:cs="Times New Roman"/>
        </w:rPr>
        <w:footnoteRef/>
      </w:r>
      <w:r w:rsidRPr="008C0089">
        <w:rPr>
          <w:rFonts w:ascii="Times New Roman" w:hAnsi="Times New Roman" w:cs="Times New Roman"/>
        </w:rPr>
        <w:t xml:space="preserve"> </w:t>
      </w:r>
      <w:r w:rsidRPr="008C0089">
        <w:rPr>
          <w:rFonts w:ascii="Times New Roman" w:hAnsi="Times New Roman" w:cs="Times New Roman"/>
          <w:lang w:val="en-US"/>
        </w:rPr>
        <w:t xml:space="preserve">Money Laundering – </w:t>
      </w:r>
      <w:r w:rsidRPr="008C0089">
        <w:rPr>
          <w:rFonts w:ascii="Times New Roman" w:hAnsi="Times New Roman" w:cs="Times New Roman"/>
        </w:rPr>
        <w:t>отмывание денег.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E" w:rsidRDefault="009B305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E" w:rsidRDefault="009B305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E" w:rsidRDefault="009B305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1FD5"/>
    <w:multiLevelType w:val="hybridMultilevel"/>
    <w:tmpl w:val="D3863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7B87"/>
    <w:multiLevelType w:val="hybridMultilevel"/>
    <w:tmpl w:val="7A42C998"/>
    <w:lvl w:ilvl="0" w:tplc="3D70474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244854"/>
    <w:multiLevelType w:val="hybridMultilevel"/>
    <w:tmpl w:val="FE6C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F7D6E"/>
    <w:multiLevelType w:val="hybridMultilevel"/>
    <w:tmpl w:val="F376B28A"/>
    <w:lvl w:ilvl="0" w:tplc="088C3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955B6"/>
    <w:multiLevelType w:val="hybridMultilevel"/>
    <w:tmpl w:val="E1CA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C792C"/>
    <w:multiLevelType w:val="hybridMultilevel"/>
    <w:tmpl w:val="86D06614"/>
    <w:lvl w:ilvl="0" w:tplc="88E41A9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B666F86"/>
    <w:multiLevelType w:val="hybridMultilevel"/>
    <w:tmpl w:val="5718B582"/>
    <w:lvl w:ilvl="0" w:tplc="B308B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70565"/>
    <w:multiLevelType w:val="multilevel"/>
    <w:tmpl w:val="7FD8F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color w:val="000000"/>
        <w:sz w:val="24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0B"/>
    <w:rsid w:val="000A1F0E"/>
    <w:rsid w:val="000A5CA7"/>
    <w:rsid w:val="00106543"/>
    <w:rsid w:val="00166656"/>
    <w:rsid w:val="00220929"/>
    <w:rsid w:val="00261F14"/>
    <w:rsid w:val="002A4E20"/>
    <w:rsid w:val="002E0270"/>
    <w:rsid w:val="003061F0"/>
    <w:rsid w:val="00484661"/>
    <w:rsid w:val="004B1A5C"/>
    <w:rsid w:val="004B4147"/>
    <w:rsid w:val="004C2AFE"/>
    <w:rsid w:val="004C3E3F"/>
    <w:rsid w:val="004E7267"/>
    <w:rsid w:val="00547760"/>
    <w:rsid w:val="005500E6"/>
    <w:rsid w:val="00586770"/>
    <w:rsid w:val="00682E8F"/>
    <w:rsid w:val="006B4191"/>
    <w:rsid w:val="00794BD5"/>
    <w:rsid w:val="0079705D"/>
    <w:rsid w:val="0086376F"/>
    <w:rsid w:val="00895708"/>
    <w:rsid w:val="008B362D"/>
    <w:rsid w:val="008C0089"/>
    <w:rsid w:val="00985F22"/>
    <w:rsid w:val="009B305E"/>
    <w:rsid w:val="009E3286"/>
    <w:rsid w:val="009F2AE8"/>
    <w:rsid w:val="00A5024E"/>
    <w:rsid w:val="00AA220E"/>
    <w:rsid w:val="00B73DC2"/>
    <w:rsid w:val="00B823C2"/>
    <w:rsid w:val="00C00698"/>
    <w:rsid w:val="00C84C6D"/>
    <w:rsid w:val="00CA46A7"/>
    <w:rsid w:val="00D02B67"/>
    <w:rsid w:val="00D32579"/>
    <w:rsid w:val="00D44AC6"/>
    <w:rsid w:val="00DD0FF5"/>
    <w:rsid w:val="00E07E0B"/>
    <w:rsid w:val="00E268D1"/>
    <w:rsid w:val="00E85799"/>
    <w:rsid w:val="00E861BF"/>
    <w:rsid w:val="00ED04B7"/>
    <w:rsid w:val="00F0103C"/>
    <w:rsid w:val="00F64887"/>
    <w:rsid w:val="00FA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7DDE5-0B22-45F0-8817-D129564B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00E6"/>
    <w:pPr>
      <w:ind w:left="720"/>
      <w:contextualSpacing/>
    </w:pPr>
  </w:style>
  <w:style w:type="character" w:customStyle="1" w:styleId="a5">
    <w:name w:val="Другое_"/>
    <w:basedOn w:val="a0"/>
    <w:link w:val="a6"/>
    <w:rsid w:val="00682E8F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682E8F"/>
    <w:rPr>
      <w:rFonts w:ascii="Arial Narrow" w:eastAsia="Arial Narrow" w:hAnsi="Arial Narrow" w:cs="Arial Narrow"/>
      <w:color w:val="3F3F3F"/>
      <w:sz w:val="40"/>
      <w:szCs w:val="40"/>
      <w:shd w:val="clear" w:color="auto" w:fill="FFFFFF"/>
    </w:rPr>
  </w:style>
  <w:style w:type="paragraph" w:customStyle="1" w:styleId="a6">
    <w:name w:val="Другое"/>
    <w:basedOn w:val="a"/>
    <w:link w:val="a5"/>
    <w:rsid w:val="00682E8F"/>
    <w:pPr>
      <w:widowControl w:val="0"/>
      <w:shd w:val="clear" w:color="auto" w:fill="FFFFFF"/>
      <w:spacing w:after="0" w:line="240" w:lineRule="auto"/>
    </w:pPr>
    <w:rPr>
      <w:rFonts w:ascii="Arial Narrow" w:eastAsia="Arial Narrow" w:hAnsi="Arial Narrow" w:cs="Arial Narrow"/>
      <w:sz w:val="20"/>
      <w:szCs w:val="20"/>
    </w:rPr>
  </w:style>
  <w:style w:type="paragraph" w:customStyle="1" w:styleId="10">
    <w:name w:val="Заголовок №1"/>
    <w:basedOn w:val="a"/>
    <w:link w:val="1"/>
    <w:rsid w:val="00682E8F"/>
    <w:pPr>
      <w:widowControl w:val="0"/>
      <w:shd w:val="clear" w:color="auto" w:fill="FFFFFF"/>
      <w:spacing w:after="270" w:line="221" w:lineRule="auto"/>
      <w:ind w:left="70"/>
      <w:outlineLvl w:val="0"/>
    </w:pPr>
    <w:rPr>
      <w:rFonts w:ascii="Arial Narrow" w:eastAsia="Arial Narrow" w:hAnsi="Arial Narrow" w:cs="Arial Narrow"/>
      <w:color w:val="3F3F3F"/>
      <w:sz w:val="40"/>
      <w:szCs w:val="40"/>
    </w:rPr>
  </w:style>
  <w:style w:type="character" w:customStyle="1" w:styleId="a4">
    <w:name w:val="Абзац списка Знак"/>
    <w:basedOn w:val="a0"/>
    <w:link w:val="a3"/>
    <w:uiPriority w:val="34"/>
    <w:locked/>
    <w:rsid w:val="00E268D1"/>
  </w:style>
  <w:style w:type="paragraph" w:styleId="a7">
    <w:name w:val="Normal (Web)"/>
    <w:basedOn w:val="a"/>
    <w:unhideWhenUsed/>
    <w:rsid w:val="008B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B1A5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B1A5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B1A5C"/>
    <w:rPr>
      <w:vertAlign w:val="superscript"/>
    </w:rPr>
  </w:style>
  <w:style w:type="character" w:customStyle="1" w:styleId="ab">
    <w:name w:val="Основной текст_"/>
    <w:basedOn w:val="a0"/>
    <w:link w:val="11"/>
    <w:rsid w:val="004B1A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4B1A5C"/>
    <w:pPr>
      <w:widowControl w:val="0"/>
      <w:shd w:val="clear" w:color="auto" w:fill="FFFFFF"/>
      <w:spacing w:after="0" w:line="276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26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61F14"/>
  </w:style>
  <w:style w:type="paragraph" w:styleId="ae">
    <w:name w:val="footer"/>
    <w:basedOn w:val="a"/>
    <w:link w:val="af"/>
    <w:uiPriority w:val="99"/>
    <w:unhideWhenUsed/>
    <w:rsid w:val="0026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61F14"/>
  </w:style>
  <w:style w:type="table" w:styleId="af0">
    <w:name w:val="Table Grid"/>
    <w:basedOn w:val="a1"/>
    <w:uiPriority w:val="39"/>
    <w:rsid w:val="0079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D081-FC16-4C96-B0D9-4DAA8B35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Самохина</dc:creator>
  <cp:keywords/>
  <dc:description/>
  <cp:lastModifiedBy>Виноградов Владимир Вальтерович</cp:lastModifiedBy>
  <cp:revision>24</cp:revision>
  <cp:lastPrinted>2019-01-24T00:59:00Z</cp:lastPrinted>
  <dcterms:created xsi:type="dcterms:W3CDTF">2019-01-24T01:13:00Z</dcterms:created>
  <dcterms:modified xsi:type="dcterms:W3CDTF">2019-02-22T16:44:00Z</dcterms:modified>
</cp:coreProperties>
</file>