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DF1" w:rsidRDefault="00941DF1" w:rsidP="00941DF1">
      <w:pPr>
        <w:pStyle w:val="Default"/>
        <w:jc w:val="center"/>
        <w:rPr>
          <w:b/>
        </w:rPr>
      </w:pPr>
      <w:r w:rsidRPr="00262756">
        <w:rPr>
          <w:b/>
        </w:rPr>
        <w:t>Комментарии на вопросы (предложения) кредитных организаций (КО), поступившие в рамках предстоящей встречи руководителей КО с руководством Банка России по вопросам «Регулирования Банком России деятельности коммерческих банков» в адрес заместителя Председателя Банка России О.В. Поляковой</w:t>
      </w:r>
    </w:p>
    <w:tbl>
      <w:tblPr>
        <w:tblStyle w:val="a3"/>
        <w:tblW w:w="15163" w:type="dxa"/>
        <w:tblLook w:val="04A0" w:firstRow="1" w:lastRow="0" w:firstColumn="1" w:lastColumn="0" w:noHBand="0" w:noVBand="1"/>
      </w:tblPr>
      <w:tblGrid>
        <w:gridCol w:w="801"/>
        <w:gridCol w:w="6412"/>
        <w:gridCol w:w="7950"/>
      </w:tblGrid>
      <w:tr w:rsidR="004568B4" w:rsidRPr="00D923F3" w:rsidTr="00262756">
        <w:trPr>
          <w:tblHeader/>
        </w:trPr>
        <w:tc>
          <w:tcPr>
            <w:tcW w:w="801" w:type="dxa"/>
          </w:tcPr>
          <w:p w:rsidR="004568B4" w:rsidRPr="00D923F3" w:rsidRDefault="004568B4" w:rsidP="004568B4">
            <w:pPr>
              <w:spacing w:after="0" w:line="240" w:lineRule="auto"/>
              <w:rPr>
                <w:rFonts w:ascii="Times New Roman" w:hAnsi="Times New Roman" w:cs="Times New Roman"/>
                <w:b/>
                <w:sz w:val="24"/>
                <w:szCs w:val="24"/>
              </w:rPr>
            </w:pPr>
            <w:r w:rsidRPr="00D923F3">
              <w:rPr>
                <w:rFonts w:ascii="Times New Roman" w:hAnsi="Times New Roman" w:cs="Times New Roman"/>
                <w:b/>
                <w:sz w:val="24"/>
                <w:szCs w:val="24"/>
              </w:rPr>
              <w:t>№п/п</w:t>
            </w:r>
          </w:p>
        </w:tc>
        <w:tc>
          <w:tcPr>
            <w:tcW w:w="6412" w:type="dxa"/>
          </w:tcPr>
          <w:p w:rsidR="004568B4" w:rsidRPr="00D923F3" w:rsidRDefault="004568B4" w:rsidP="004568B4">
            <w:pPr>
              <w:spacing w:after="0" w:line="240" w:lineRule="auto"/>
              <w:rPr>
                <w:rFonts w:ascii="Times New Roman" w:hAnsi="Times New Roman" w:cs="Times New Roman"/>
                <w:b/>
                <w:sz w:val="24"/>
                <w:szCs w:val="24"/>
              </w:rPr>
            </w:pPr>
            <w:r w:rsidRPr="00D923F3">
              <w:rPr>
                <w:rFonts w:ascii="Times New Roman" w:hAnsi="Times New Roman" w:cs="Times New Roman"/>
                <w:b/>
                <w:sz w:val="24"/>
                <w:szCs w:val="24"/>
              </w:rPr>
              <w:t>Вопрос</w:t>
            </w:r>
          </w:p>
        </w:tc>
        <w:tc>
          <w:tcPr>
            <w:tcW w:w="7950" w:type="dxa"/>
          </w:tcPr>
          <w:p w:rsidR="004568B4" w:rsidRPr="00D923F3" w:rsidRDefault="004568B4" w:rsidP="004568B4">
            <w:pPr>
              <w:spacing w:after="0" w:line="240" w:lineRule="auto"/>
              <w:rPr>
                <w:rFonts w:ascii="Times New Roman" w:hAnsi="Times New Roman" w:cs="Times New Roman"/>
                <w:b/>
                <w:sz w:val="24"/>
                <w:szCs w:val="24"/>
              </w:rPr>
            </w:pPr>
            <w:r w:rsidRPr="00D923F3">
              <w:rPr>
                <w:rFonts w:ascii="Times New Roman" w:hAnsi="Times New Roman" w:cs="Times New Roman"/>
                <w:b/>
                <w:sz w:val="24"/>
                <w:szCs w:val="24"/>
              </w:rPr>
              <w:t>Ответ</w:t>
            </w:r>
          </w:p>
        </w:tc>
      </w:tr>
      <w:tr w:rsidR="004568B4" w:rsidRPr="00D923F3" w:rsidTr="00262756">
        <w:tc>
          <w:tcPr>
            <w:tcW w:w="15163" w:type="dxa"/>
            <w:gridSpan w:val="3"/>
            <w:shd w:val="clear" w:color="auto" w:fill="E2EFD9" w:themeFill="accent6" w:themeFillTint="33"/>
          </w:tcPr>
          <w:p w:rsidR="004568B4" w:rsidRPr="00D923F3" w:rsidRDefault="004568B4" w:rsidP="004568B4">
            <w:pPr>
              <w:spacing w:after="0" w:line="240" w:lineRule="auto"/>
              <w:jc w:val="center"/>
              <w:rPr>
                <w:rFonts w:ascii="Times New Roman" w:hAnsi="Times New Roman" w:cs="Times New Roman"/>
                <w:b/>
                <w:i/>
                <w:sz w:val="24"/>
                <w:szCs w:val="24"/>
              </w:rPr>
            </w:pPr>
            <w:r w:rsidRPr="00D923F3">
              <w:rPr>
                <w:rFonts w:ascii="Times New Roman" w:hAnsi="Times New Roman" w:cs="Times New Roman"/>
                <w:b/>
                <w:i/>
                <w:sz w:val="24"/>
                <w:szCs w:val="24"/>
              </w:rPr>
              <w:t>Вопросы и предложения, касающиеся кредитования застройщиков и регулирования проектного финансирования</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sidRPr="00D923F3">
              <w:rPr>
                <w:rFonts w:ascii="Times New Roman" w:hAnsi="Times New Roman" w:cs="Times New Roman"/>
                <w:sz w:val="24"/>
                <w:szCs w:val="24"/>
              </w:rPr>
              <w:t>1</w:t>
            </w:r>
          </w:p>
        </w:tc>
        <w:tc>
          <w:tcPr>
            <w:tcW w:w="6412" w:type="dxa"/>
          </w:tcPr>
          <w:p w:rsidR="004568B4" w:rsidRPr="00D923F3" w:rsidRDefault="004568B4" w:rsidP="004568B4">
            <w:pPr>
              <w:spacing w:after="0" w:line="240" w:lineRule="auto"/>
              <w:ind w:firstLine="175"/>
              <w:jc w:val="both"/>
              <w:rPr>
                <w:rFonts w:ascii="Times New Roman" w:hAnsi="Times New Roman" w:cs="Times New Roman"/>
                <w:sz w:val="24"/>
                <w:szCs w:val="24"/>
              </w:rPr>
            </w:pPr>
            <w:r w:rsidRPr="00D923F3">
              <w:rPr>
                <w:rFonts w:ascii="Times New Roman" w:hAnsi="Times New Roman" w:cs="Times New Roman"/>
                <w:sz w:val="24"/>
                <w:szCs w:val="24"/>
              </w:rPr>
              <w:t>При расчете рейтинга по компаниям-застройщикам возникают сложности, в частности, когда Клиент запрашивает в Банке открыть финансирование на строительств</w:t>
            </w:r>
            <w:r>
              <w:rPr>
                <w:rFonts w:ascii="Times New Roman" w:hAnsi="Times New Roman" w:cs="Times New Roman"/>
                <w:sz w:val="24"/>
                <w:szCs w:val="24"/>
              </w:rPr>
              <w:t>о</w:t>
            </w:r>
            <w:r w:rsidRPr="00D923F3">
              <w:rPr>
                <w:rFonts w:ascii="Times New Roman" w:hAnsi="Times New Roman" w:cs="Times New Roman"/>
                <w:sz w:val="24"/>
                <w:szCs w:val="24"/>
              </w:rPr>
              <w:t xml:space="preserve"> нескольких блоков 1 дома (т.е. блоки – это отдельно стоящие подъезды одного дома), и при этом эти блоки строятся не одномоментно, а этапами.</w:t>
            </w:r>
          </w:p>
          <w:p w:rsidR="004568B4" w:rsidRPr="00D923F3" w:rsidRDefault="004568B4" w:rsidP="004568B4">
            <w:pPr>
              <w:spacing w:after="0" w:line="240" w:lineRule="auto"/>
              <w:ind w:firstLine="175"/>
              <w:jc w:val="both"/>
              <w:rPr>
                <w:rFonts w:ascii="Times New Roman" w:hAnsi="Times New Roman" w:cs="Times New Roman"/>
                <w:sz w:val="24"/>
                <w:szCs w:val="24"/>
              </w:rPr>
            </w:pPr>
            <w:r w:rsidRPr="00D923F3">
              <w:rPr>
                <w:rFonts w:ascii="Times New Roman" w:hAnsi="Times New Roman" w:cs="Times New Roman"/>
                <w:sz w:val="24"/>
                <w:szCs w:val="24"/>
              </w:rPr>
              <w:t xml:space="preserve">При этом, например, на 1-ю очередь строительства у Клиента есть вся разрешительная документация (разрешение на строительство, Заключение экспертизы проектной документации и результатов проектных изысканий, ТУ на подключение к сетям инженерно-технического обеспечения и проч.) и заключен договор генерального подряда со всеми предусмотренными в нем </w:t>
            </w:r>
            <w:r w:rsidRPr="00D923F3">
              <w:rPr>
                <w:rFonts w:ascii="Times New Roman" w:hAnsi="Times New Roman" w:cs="Times New Roman"/>
                <w:sz w:val="24"/>
                <w:szCs w:val="24"/>
              </w:rPr>
              <w:lastRenderedPageBreak/>
              <w:t>условиями (авансы, сроки выполнения работ). А по второй очереди (остальные блоки) указанная документация отсутствует или присутствует не в полном объеме)</w:t>
            </w:r>
          </w:p>
          <w:p w:rsidR="004568B4" w:rsidRPr="00D923F3" w:rsidRDefault="004568B4" w:rsidP="004568B4">
            <w:pPr>
              <w:spacing w:after="0" w:line="240" w:lineRule="auto"/>
              <w:ind w:firstLine="175"/>
              <w:jc w:val="both"/>
              <w:rPr>
                <w:rFonts w:ascii="Times New Roman" w:hAnsi="Times New Roman" w:cs="Times New Roman"/>
                <w:sz w:val="24"/>
                <w:szCs w:val="24"/>
              </w:rPr>
            </w:pPr>
            <w:r w:rsidRPr="00D923F3">
              <w:rPr>
                <w:rFonts w:ascii="Times New Roman" w:hAnsi="Times New Roman" w:cs="Times New Roman"/>
                <w:sz w:val="24"/>
                <w:szCs w:val="24"/>
              </w:rPr>
              <w:t>Поскольку лимит открывается на финансирование всех очередей строительства, то возникает вопрос: при расчете рейтинга необходимо считать, что все документы есть (исходя из объема представленных документов по 1-й очереди) или что документы представлены частично/ отсутствуют (принимая во внимание отсутствие документов по 2-й очереди)?</w:t>
            </w:r>
            <w:r w:rsidRPr="00D923F3">
              <w:rPr>
                <w:rStyle w:val="a6"/>
                <w:rFonts w:ascii="Times New Roman" w:hAnsi="Times New Roman" w:cs="Times New Roman"/>
                <w:sz w:val="24"/>
                <w:szCs w:val="24"/>
              </w:rPr>
              <w:footnoteReference w:id="1"/>
            </w:r>
          </w:p>
        </w:tc>
        <w:tc>
          <w:tcPr>
            <w:tcW w:w="7950" w:type="dxa"/>
          </w:tcPr>
          <w:p w:rsidR="004568B4" w:rsidRPr="00D923F3" w:rsidRDefault="004568B4" w:rsidP="004568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При оценке критериев кредитоспособности следует исходить из фактического наличия документов по строящемуся объекту, в том числе с учетом порядка финансирования объектов, состоящих из нескольких блоков.</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sidRPr="00D923F3">
              <w:rPr>
                <w:rFonts w:ascii="Times New Roman" w:hAnsi="Times New Roman" w:cs="Times New Roman"/>
                <w:sz w:val="24"/>
                <w:szCs w:val="24"/>
              </w:rPr>
              <w:t>2</w:t>
            </w:r>
          </w:p>
        </w:tc>
        <w:tc>
          <w:tcPr>
            <w:tcW w:w="6412" w:type="dxa"/>
          </w:tcPr>
          <w:p w:rsidR="004568B4" w:rsidRPr="004762CA" w:rsidRDefault="004568B4" w:rsidP="004568B4">
            <w:pPr>
              <w:spacing w:after="0" w:line="240" w:lineRule="auto"/>
              <w:ind w:firstLine="175"/>
              <w:contextualSpacing/>
              <w:jc w:val="both"/>
              <w:rPr>
                <w:rFonts w:ascii="Times New Roman" w:eastAsia="Calibri" w:hAnsi="Times New Roman" w:cs="Times New Roman"/>
                <w:b/>
                <w:sz w:val="24"/>
                <w:szCs w:val="24"/>
              </w:rPr>
            </w:pPr>
            <w:r w:rsidRPr="004762CA">
              <w:rPr>
                <w:rFonts w:ascii="Times New Roman" w:eastAsia="Calibri" w:hAnsi="Times New Roman" w:cs="Times New Roman"/>
                <w:sz w:val="24"/>
                <w:szCs w:val="24"/>
              </w:rPr>
              <w:t>Обозначились проблемы практического применения норм законодательства о долевом строительстве: согласно статье 10 Закона № 214-ФЗ</w:t>
            </w:r>
            <w:r w:rsidRPr="00D923F3">
              <w:rPr>
                <w:rFonts w:ascii="Times New Roman" w:eastAsia="Calibri" w:hAnsi="Times New Roman" w:cs="Times New Roman"/>
                <w:sz w:val="24"/>
                <w:szCs w:val="24"/>
                <w:vertAlign w:val="superscript"/>
              </w:rPr>
              <w:footnoteReference w:id="2"/>
            </w:r>
            <w:r w:rsidRPr="004762CA">
              <w:rPr>
                <w:rFonts w:ascii="Times New Roman" w:eastAsia="Calibri" w:hAnsi="Times New Roman" w:cs="Times New Roman"/>
                <w:sz w:val="24"/>
                <w:szCs w:val="24"/>
              </w:rPr>
              <w:t xml:space="preserve"> стороны, помимо оговоренных в Законе неустоек, обязаны возместить в полном объеме причиненные убытки сверх неустойки: «В случае неисполнения или ненадлежащего исполнения обязательств </w:t>
            </w:r>
            <w:r w:rsidRPr="004762CA">
              <w:rPr>
                <w:rFonts w:ascii="Times New Roman" w:eastAsia="Calibri" w:hAnsi="Times New Roman" w:cs="Times New Roman"/>
                <w:sz w:val="24"/>
                <w:szCs w:val="24"/>
              </w:rPr>
              <w:lastRenderedPageBreak/>
              <w:t>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настоящим Федеральным законом и указанным договором неустойки (штрафы, пени) и возместить в полном объеме причиненные убытки сверх неустойки».</w:t>
            </w:r>
          </w:p>
          <w:p w:rsidR="004568B4" w:rsidRPr="004762CA" w:rsidRDefault="004568B4" w:rsidP="004568B4">
            <w:pPr>
              <w:spacing w:after="0" w:line="240" w:lineRule="auto"/>
              <w:ind w:firstLine="175"/>
              <w:jc w:val="both"/>
              <w:rPr>
                <w:rFonts w:ascii="Times New Roman" w:eastAsia="Calibri" w:hAnsi="Times New Roman" w:cs="Times New Roman"/>
                <w:sz w:val="24"/>
                <w:szCs w:val="24"/>
                <w:lang w:eastAsia="ru-RU"/>
              </w:rPr>
            </w:pPr>
            <w:r w:rsidRPr="004762CA">
              <w:rPr>
                <w:rFonts w:ascii="Times New Roman" w:eastAsia="Calibri" w:hAnsi="Times New Roman" w:cs="Times New Roman"/>
                <w:sz w:val="24"/>
                <w:szCs w:val="24"/>
                <w:lang w:eastAsia="ru-RU"/>
              </w:rPr>
              <w:t xml:space="preserve">Представляется, что данная норма создает возможности для намеренного завышения размера данных убытков участником долевого строительства, в том числе, в случае если участником долевого строительства является связанное с Бенефициарным владельцем Застройщика лицо. </w:t>
            </w:r>
          </w:p>
          <w:p w:rsidR="004568B4" w:rsidRPr="00D923F3" w:rsidRDefault="004568B4" w:rsidP="004568B4">
            <w:pPr>
              <w:spacing w:after="0" w:line="240" w:lineRule="auto"/>
              <w:ind w:firstLine="175"/>
              <w:jc w:val="both"/>
              <w:rPr>
                <w:rFonts w:ascii="Times New Roman" w:eastAsia="Calibri" w:hAnsi="Times New Roman" w:cs="Times New Roman"/>
                <w:sz w:val="24"/>
                <w:szCs w:val="24"/>
                <w:lang w:eastAsia="ru-RU"/>
              </w:rPr>
            </w:pPr>
            <w:r w:rsidRPr="004762CA">
              <w:rPr>
                <w:rFonts w:ascii="Times New Roman" w:eastAsia="Calibri" w:hAnsi="Times New Roman" w:cs="Times New Roman"/>
                <w:sz w:val="24"/>
                <w:szCs w:val="24"/>
                <w:lang w:eastAsia="ru-RU"/>
              </w:rPr>
              <w:t xml:space="preserve">Также целесообразно прямо оговорить в Законе № 214-ФЗ конкретные причины возникновения данных убытков (например, вынужденная аренда жилой недвижимости, сопоставимой с объектом договора участия в долевом строительстве, в течение нарушения срока передачи объекта) и/или предельный размер данных убытков в процентах от стоимости договора участия в долевом строительстве. </w:t>
            </w:r>
          </w:p>
          <w:p w:rsidR="004568B4" w:rsidRPr="00D923F3" w:rsidRDefault="004568B4" w:rsidP="004568B4">
            <w:pPr>
              <w:spacing w:after="0" w:line="240" w:lineRule="auto"/>
              <w:ind w:firstLine="175"/>
              <w:jc w:val="both"/>
              <w:rPr>
                <w:rFonts w:ascii="Times New Roman" w:hAnsi="Times New Roman" w:cs="Times New Roman"/>
                <w:sz w:val="24"/>
                <w:szCs w:val="24"/>
              </w:rPr>
            </w:pPr>
            <w:r w:rsidRPr="00D923F3">
              <w:rPr>
                <w:rFonts w:ascii="Times New Roman" w:hAnsi="Times New Roman" w:cs="Times New Roman"/>
                <w:sz w:val="24"/>
                <w:szCs w:val="24"/>
              </w:rPr>
              <w:t xml:space="preserve">Просим Банк России поддержать законодательные инициативы, направленные на урегулирование указанных проблем. </w:t>
            </w:r>
          </w:p>
        </w:tc>
        <w:tc>
          <w:tcPr>
            <w:tcW w:w="7950" w:type="dxa"/>
          </w:tcPr>
          <w:p w:rsidR="004568B4" w:rsidRPr="009A2797" w:rsidRDefault="004568B4" w:rsidP="004568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В</w:t>
            </w:r>
            <w:r w:rsidRPr="009A2797">
              <w:rPr>
                <w:rFonts w:ascii="Times New Roman" w:hAnsi="Times New Roman" w:cs="Times New Roman"/>
                <w:sz w:val="24"/>
                <w:szCs w:val="24"/>
              </w:rPr>
              <w:t>опросы законодательства о долевом строительстве относятся к компетенции Минстроя России. Редакция статьи 10</w:t>
            </w:r>
            <w:r>
              <w:rPr>
                <w:rFonts w:ascii="Times New Roman" w:hAnsi="Times New Roman" w:cs="Times New Roman"/>
                <w:sz w:val="24"/>
                <w:szCs w:val="24"/>
              </w:rPr>
              <w:t xml:space="preserve"> </w:t>
            </w:r>
            <w:r w:rsidR="00A57B04">
              <w:rPr>
                <w:rFonts w:ascii="Times New Roman" w:hAnsi="Times New Roman" w:cs="Times New Roman"/>
                <w:sz w:val="24"/>
                <w:szCs w:val="24"/>
              </w:rPr>
              <w:t>Федерального з</w:t>
            </w:r>
            <w:r>
              <w:rPr>
                <w:rFonts w:ascii="Times New Roman" w:hAnsi="Times New Roman" w:cs="Times New Roman"/>
                <w:sz w:val="24"/>
                <w:szCs w:val="24"/>
              </w:rPr>
              <w:t>акона №214-ФЗ</w:t>
            </w:r>
            <w:r w:rsidRPr="009A2797">
              <w:rPr>
                <w:rFonts w:ascii="Times New Roman" w:hAnsi="Times New Roman" w:cs="Times New Roman"/>
                <w:sz w:val="24"/>
                <w:szCs w:val="24"/>
              </w:rPr>
              <w:t xml:space="preserve"> неизменна с 2004 года. По имеющейся информации, есть практика взыскания убытков сверх неустойки, однако она не имеет распространенного характера.  </w:t>
            </w:r>
          </w:p>
          <w:p w:rsidR="004568B4" w:rsidRPr="009A2797" w:rsidRDefault="004568B4" w:rsidP="004568B4">
            <w:pPr>
              <w:spacing w:after="0" w:line="240" w:lineRule="auto"/>
              <w:ind w:firstLine="175"/>
              <w:jc w:val="both"/>
              <w:rPr>
                <w:rFonts w:ascii="Times New Roman" w:hAnsi="Times New Roman" w:cs="Times New Roman"/>
                <w:sz w:val="24"/>
                <w:szCs w:val="24"/>
              </w:rPr>
            </w:pPr>
            <w:r w:rsidRPr="009A2797">
              <w:rPr>
                <w:rFonts w:ascii="Times New Roman" w:hAnsi="Times New Roman" w:cs="Times New Roman"/>
                <w:sz w:val="24"/>
                <w:szCs w:val="24"/>
              </w:rPr>
              <w:lastRenderedPageBreak/>
              <w:t>Полагаем, что вопросы о размере убытков будут разрешаться в судебном п</w:t>
            </w:r>
            <w:r>
              <w:rPr>
                <w:rFonts w:ascii="Times New Roman" w:hAnsi="Times New Roman" w:cs="Times New Roman"/>
                <w:sz w:val="24"/>
                <w:szCs w:val="24"/>
              </w:rPr>
              <w:t>орядке, в том числе рассматрива</w:t>
            </w:r>
            <w:r w:rsidRPr="009A2797">
              <w:rPr>
                <w:rFonts w:ascii="Times New Roman" w:hAnsi="Times New Roman" w:cs="Times New Roman"/>
                <w:sz w:val="24"/>
                <w:szCs w:val="24"/>
              </w:rPr>
              <w:t>т</w:t>
            </w:r>
            <w:r>
              <w:rPr>
                <w:rFonts w:ascii="Times New Roman" w:hAnsi="Times New Roman" w:cs="Times New Roman"/>
                <w:sz w:val="24"/>
                <w:szCs w:val="24"/>
              </w:rPr>
              <w:t>ь</w:t>
            </w:r>
            <w:r w:rsidRPr="009A2797">
              <w:rPr>
                <w:rFonts w:ascii="Times New Roman" w:hAnsi="Times New Roman" w:cs="Times New Roman"/>
                <w:sz w:val="24"/>
                <w:szCs w:val="24"/>
              </w:rPr>
              <w:t>ся вопрос о сумме и возможно</w:t>
            </w:r>
            <w:r>
              <w:rPr>
                <w:rFonts w:ascii="Times New Roman" w:hAnsi="Times New Roman" w:cs="Times New Roman"/>
                <w:sz w:val="24"/>
                <w:szCs w:val="24"/>
              </w:rPr>
              <w:t>м</w:t>
            </w:r>
            <w:r w:rsidRPr="009A2797">
              <w:rPr>
                <w:rFonts w:ascii="Times New Roman" w:hAnsi="Times New Roman" w:cs="Times New Roman"/>
                <w:sz w:val="24"/>
                <w:szCs w:val="24"/>
              </w:rPr>
              <w:t xml:space="preserve"> необоснованно</w:t>
            </w:r>
            <w:r>
              <w:rPr>
                <w:rFonts w:ascii="Times New Roman" w:hAnsi="Times New Roman" w:cs="Times New Roman"/>
                <w:sz w:val="24"/>
                <w:szCs w:val="24"/>
              </w:rPr>
              <w:t>м</w:t>
            </w:r>
            <w:r w:rsidRPr="009A2797">
              <w:rPr>
                <w:rFonts w:ascii="Times New Roman" w:hAnsi="Times New Roman" w:cs="Times New Roman"/>
                <w:sz w:val="24"/>
                <w:szCs w:val="24"/>
              </w:rPr>
              <w:t xml:space="preserve"> завышени</w:t>
            </w:r>
            <w:r>
              <w:rPr>
                <w:rFonts w:ascii="Times New Roman" w:hAnsi="Times New Roman" w:cs="Times New Roman"/>
                <w:sz w:val="24"/>
                <w:szCs w:val="24"/>
              </w:rPr>
              <w:t>и</w:t>
            </w:r>
            <w:r w:rsidRPr="009A2797">
              <w:rPr>
                <w:rFonts w:ascii="Times New Roman" w:hAnsi="Times New Roman" w:cs="Times New Roman"/>
                <w:sz w:val="24"/>
                <w:szCs w:val="24"/>
              </w:rPr>
              <w:t xml:space="preserve"> размера убытков участником долевого строительства.</w:t>
            </w:r>
          </w:p>
          <w:p w:rsidR="004568B4" w:rsidRPr="00D923F3" w:rsidRDefault="004568B4" w:rsidP="004568B4">
            <w:pPr>
              <w:spacing w:after="0" w:line="240" w:lineRule="auto"/>
              <w:ind w:firstLine="175"/>
              <w:jc w:val="both"/>
              <w:rPr>
                <w:rFonts w:ascii="Times New Roman" w:hAnsi="Times New Roman" w:cs="Times New Roman"/>
                <w:sz w:val="24"/>
                <w:szCs w:val="24"/>
              </w:rPr>
            </w:pPr>
            <w:r w:rsidRPr="009A2797">
              <w:rPr>
                <w:rFonts w:ascii="Times New Roman" w:hAnsi="Times New Roman" w:cs="Times New Roman"/>
                <w:sz w:val="24"/>
                <w:szCs w:val="24"/>
              </w:rPr>
              <w:t>Указанная норма, по нашему мнению, направлена на защиту прежде всего участников долевого строительства. Исходя из представленного в вопросе обоснования полагаем нецелесообразным устанавливать избыточные ограничения.</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412" w:type="dxa"/>
          </w:tcPr>
          <w:p w:rsidR="004568B4" w:rsidRPr="00D923F3" w:rsidRDefault="004568B4" w:rsidP="00A57B04">
            <w:pPr>
              <w:tabs>
                <w:tab w:val="left" w:pos="426"/>
                <w:tab w:val="left" w:pos="993"/>
              </w:tabs>
              <w:spacing w:after="0" w:line="240" w:lineRule="auto"/>
              <w:ind w:firstLine="175"/>
              <w:contextualSpacing/>
              <w:jc w:val="both"/>
              <w:rPr>
                <w:rFonts w:ascii="Times New Roman" w:hAnsi="Times New Roman" w:cs="Times New Roman"/>
                <w:sz w:val="24"/>
                <w:szCs w:val="24"/>
              </w:rPr>
            </w:pPr>
            <w:r w:rsidRPr="004762CA">
              <w:rPr>
                <w:rFonts w:ascii="Times New Roman" w:eastAsia="Calibri" w:hAnsi="Times New Roman" w:cs="Times New Roman"/>
                <w:sz w:val="24"/>
                <w:szCs w:val="24"/>
              </w:rPr>
              <w:t xml:space="preserve">С учетом текущей ситуации с распространением коронавирусной инфекции и предпринятых мер для ограничения ее распространения (далее – меры) просим проработать совместно с Правительством вопрос выпуска нормативного акта, оговаривающего увеличение срока передачи объектов по договорам участия в долевом строительстве, по которым срок передачи объекта застройщиком участнику долевого строительства наступает </w:t>
            </w:r>
            <w:r w:rsidRPr="004762CA">
              <w:rPr>
                <w:rFonts w:ascii="Times New Roman" w:eastAsia="Calibri" w:hAnsi="Times New Roman" w:cs="Times New Roman"/>
                <w:sz w:val="24"/>
                <w:szCs w:val="24"/>
              </w:rPr>
              <w:lastRenderedPageBreak/>
              <w:t>после введения мер, на срок действия таких мер. Данное предложение обусловлено тем, что в Постановлении № 423</w:t>
            </w:r>
            <w:r w:rsidR="00A57B04">
              <w:rPr>
                <w:rStyle w:val="a6"/>
                <w:rFonts w:ascii="Times New Roman" w:eastAsia="Calibri" w:hAnsi="Times New Roman" w:cs="Times New Roman"/>
                <w:sz w:val="24"/>
                <w:szCs w:val="24"/>
              </w:rPr>
              <w:footnoteReference w:id="3"/>
            </w:r>
            <w:r w:rsidRPr="004762CA">
              <w:rPr>
                <w:rFonts w:ascii="Times New Roman" w:eastAsia="Calibri" w:hAnsi="Times New Roman" w:cs="Times New Roman"/>
                <w:sz w:val="24"/>
                <w:szCs w:val="24"/>
              </w:rPr>
              <w:t xml:space="preserve"> (далее - Постановление) оговорен период начисления неустойки (пени) по договорам участия в долевом строительстве, не включающий период, исчисляемый с даты выхода Постановления только до 1 января 2021 года. При этом приостановка строительства произошла, в том числе, по тем объектам, срок передачи которых наступает после 1 января 2021 года, что может привести к нарушению сроков передачи таких объектов после 1 января 2021 года, однако согласно Постановлению, неустойка по таким объектам будет начисляться в стандартном режиме.</w:t>
            </w:r>
          </w:p>
        </w:tc>
        <w:tc>
          <w:tcPr>
            <w:tcW w:w="7950" w:type="dxa"/>
          </w:tcPr>
          <w:p w:rsidR="004568B4" w:rsidRPr="007B21CC" w:rsidRDefault="004568B4" w:rsidP="004568B4">
            <w:pPr>
              <w:tabs>
                <w:tab w:val="left" w:pos="993"/>
              </w:tabs>
              <w:spacing w:after="0" w:line="240" w:lineRule="auto"/>
              <w:ind w:firstLine="175"/>
              <w:contextualSpacing/>
              <w:jc w:val="both"/>
              <w:rPr>
                <w:rFonts w:ascii="Times New Roman" w:hAnsi="Times New Roman" w:cs="Times New Roman"/>
                <w:sz w:val="24"/>
                <w:szCs w:val="24"/>
              </w:rPr>
            </w:pPr>
            <w:r>
              <w:rPr>
                <w:rFonts w:ascii="Times New Roman" w:hAnsi="Times New Roman" w:cs="Times New Roman"/>
                <w:sz w:val="24"/>
                <w:szCs w:val="24"/>
              </w:rPr>
              <w:lastRenderedPageBreak/>
              <w:t>В</w:t>
            </w:r>
            <w:r w:rsidRPr="007B21CC">
              <w:rPr>
                <w:rFonts w:ascii="Times New Roman" w:hAnsi="Times New Roman" w:cs="Times New Roman"/>
                <w:sz w:val="24"/>
                <w:szCs w:val="24"/>
              </w:rPr>
              <w:t>опрос относится к компетенции Минстроя России, который должен оценивать необходимость продления мер по поддержке застройщиков.</w:t>
            </w:r>
          </w:p>
          <w:p w:rsidR="004568B4" w:rsidRPr="007B21CC" w:rsidRDefault="004568B4" w:rsidP="004568B4">
            <w:pPr>
              <w:tabs>
                <w:tab w:val="left" w:pos="993"/>
              </w:tabs>
              <w:spacing w:after="0" w:line="240" w:lineRule="auto"/>
              <w:ind w:firstLine="175"/>
              <w:contextualSpacing/>
              <w:jc w:val="both"/>
              <w:rPr>
                <w:rFonts w:ascii="Times New Roman" w:hAnsi="Times New Roman" w:cs="Times New Roman"/>
                <w:sz w:val="24"/>
                <w:szCs w:val="24"/>
              </w:rPr>
            </w:pPr>
            <w:r w:rsidRPr="007B21CC">
              <w:rPr>
                <w:rFonts w:ascii="Times New Roman" w:hAnsi="Times New Roman" w:cs="Times New Roman"/>
                <w:sz w:val="24"/>
                <w:szCs w:val="24"/>
              </w:rPr>
              <w:t xml:space="preserve">Обращаем внимание, что данное постановление не продлевалось и с 01.01.2021 ограничения на взыскание неустойки (штрафа, пени), иных финансовых санкций, а также других мер ответственности за неисполнение или ненадлежащее исполнение обязательств по ДДУ, установленных законодательством о долевом строительстве, включение объектов в Реестр проблемных объектов и иные меры </w:t>
            </w:r>
            <w:r>
              <w:rPr>
                <w:rFonts w:ascii="Times New Roman" w:hAnsi="Times New Roman" w:cs="Times New Roman"/>
                <w:sz w:val="24"/>
                <w:szCs w:val="24"/>
              </w:rPr>
              <w:t>П</w:t>
            </w:r>
            <w:r w:rsidRPr="007B21CC">
              <w:rPr>
                <w:rFonts w:ascii="Times New Roman" w:hAnsi="Times New Roman" w:cs="Times New Roman"/>
                <w:sz w:val="24"/>
                <w:szCs w:val="24"/>
              </w:rPr>
              <w:t xml:space="preserve">остановления № </w:t>
            </w:r>
            <w:r w:rsidRPr="007B21CC">
              <w:rPr>
                <w:rFonts w:ascii="Times New Roman" w:hAnsi="Times New Roman" w:cs="Times New Roman"/>
                <w:sz w:val="24"/>
                <w:szCs w:val="24"/>
              </w:rPr>
              <w:lastRenderedPageBreak/>
              <w:t>423 не действуют (при этом санкции за период действия постановления – с 03.04.2020 до 31.12.2020 не начисля</w:t>
            </w:r>
            <w:r>
              <w:rPr>
                <w:rFonts w:ascii="Times New Roman" w:hAnsi="Times New Roman" w:cs="Times New Roman"/>
                <w:sz w:val="24"/>
                <w:szCs w:val="24"/>
              </w:rPr>
              <w:t>лись</w:t>
            </w:r>
            <w:r w:rsidRPr="007B21CC">
              <w:rPr>
                <w:rFonts w:ascii="Times New Roman" w:hAnsi="Times New Roman" w:cs="Times New Roman"/>
                <w:sz w:val="24"/>
                <w:szCs w:val="24"/>
              </w:rPr>
              <w:t xml:space="preserve">). </w:t>
            </w:r>
          </w:p>
          <w:p w:rsidR="004568B4" w:rsidRPr="00D923F3" w:rsidRDefault="004568B4" w:rsidP="004568B4">
            <w:pPr>
              <w:tabs>
                <w:tab w:val="left" w:pos="993"/>
              </w:tabs>
              <w:spacing w:after="0" w:line="240" w:lineRule="auto"/>
              <w:ind w:firstLine="175"/>
              <w:contextualSpacing/>
              <w:jc w:val="both"/>
              <w:rPr>
                <w:rFonts w:ascii="Times New Roman" w:hAnsi="Times New Roman" w:cs="Times New Roman"/>
                <w:sz w:val="24"/>
                <w:szCs w:val="24"/>
              </w:rPr>
            </w:pPr>
            <w:r w:rsidRPr="007B21CC">
              <w:rPr>
                <w:rFonts w:ascii="Times New Roman" w:hAnsi="Times New Roman" w:cs="Times New Roman"/>
                <w:sz w:val="24"/>
                <w:szCs w:val="24"/>
              </w:rPr>
              <w:t>Учитывая кратковременный период фактических ограничений для строительной отрасли и полное их снятие, меры представляются избыточными.</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6412" w:type="dxa"/>
          </w:tcPr>
          <w:p w:rsidR="004568B4" w:rsidRPr="00D923F3" w:rsidRDefault="004568B4" w:rsidP="004568B4">
            <w:pPr>
              <w:spacing w:after="0" w:line="240" w:lineRule="auto"/>
              <w:ind w:firstLine="175"/>
              <w:jc w:val="both"/>
              <w:rPr>
                <w:rFonts w:ascii="Times New Roman" w:eastAsia="Calibri" w:hAnsi="Times New Roman" w:cs="Times New Roman"/>
                <w:sz w:val="24"/>
                <w:szCs w:val="24"/>
              </w:rPr>
            </w:pPr>
            <w:r w:rsidRPr="00D923F3">
              <w:rPr>
                <w:rFonts w:ascii="Times New Roman" w:eastAsia="Calibri" w:hAnsi="Times New Roman" w:cs="Times New Roman"/>
                <w:sz w:val="24"/>
                <w:szCs w:val="24"/>
              </w:rPr>
              <w:t xml:space="preserve">Текущая ситуация с индивидуальным жилищным строительством (ИЖС) - невозможность продавать ИЖС по ДДУ, можно заключить либо Предварительный договор купли-продажи/ ДКП будущей недвижимости (который не подлежит регистрации в Росреестре), либо продавать по ДКП по факту возведения объекта. В первом случае из-за отсутствия регистрации существует риск двойных продаж/вывода денежных средств из Проекта, во втором случае сначала предоставляются кредитные средства, далее возводится объект, который впоследствии продается, что влечет к повышенному маркетинговому риску отказа потенциального покупателя от покупки уже готового объекта. </w:t>
            </w:r>
          </w:p>
          <w:p w:rsidR="004568B4" w:rsidRPr="00D923F3" w:rsidRDefault="004568B4" w:rsidP="004568B4">
            <w:pPr>
              <w:spacing w:after="0" w:line="240" w:lineRule="auto"/>
              <w:ind w:firstLine="175"/>
              <w:jc w:val="both"/>
              <w:rPr>
                <w:rFonts w:ascii="Times New Roman" w:eastAsia="Calibri" w:hAnsi="Times New Roman" w:cs="Times New Roman"/>
                <w:sz w:val="24"/>
                <w:szCs w:val="24"/>
              </w:rPr>
            </w:pPr>
            <w:r w:rsidRPr="00D923F3">
              <w:rPr>
                <w:rFonts w:ascii="Times New Roman" w:eastAsia="Calibri" w:hAnsi="Times New Roman" w:cs="Times New Roman"/>
                <w:sz w:val="24"/>
                <w:szCs w:val="24"/>
              </w:rPr>
              <w:t xml:space="preserve">Просим поддержать распространение на продажи ИЖС возможности продаж по ДДУ с эскроу, с применением страхования счетов аналогично механизму, заложенному в </w:t>
            </w:r>
            <w:r w:rsidR="00A57B04">
              <w:rPr>
                <w:rFonts w:ascii="Times New Roman" w:eastAsia="Calibri" w:hAnsi="Times New Roman" w:cs="Times New Roman"/>
                <w:sz w:val="24"/>
                <w:szCs w:val="24"/>
              </w:rPr>
              <w:t>Федеральном з</w:t>
            </w:r>
            <w:r w:rsidRPr="00D923F3">
              <w:rPr>
                <w:rFonts w:ascii="Times New Roman" w:eastAsia="Calibri" w:hAnsi="Times New Roman" w:cs="Times New Roman"/>
                <w:sz w:val="24"/>
                <w:szCs w:val="24"/>
              </w:rPr>
              <w:t>аконе № 214-ФЗ.</w:t>
            </w:r>
          </w:p>
          <w:p w:rsidR="004568B4" w:rsidRPr="00D923F3" w:rsidRDefault="004568B4" w:rsidP="004568B4">
            <w:pPr>
              <w:spacing w:after="0" w:line="240" w:lineRule="auto"/>
              <w:ind w:firstLine="175"/>
              <w:jc w:val="both"/>
              <w:rPr>
                <w:rFonts w:ascii="Times New Roman" w:hAnsi="Times New Roman" w:cs="Times New Roman"/>
                <w:sz w:val="24"/>
                <w:szCs w:val="24"/>
              </w:rPr>
            </w:pPr>
            <w:r w:rsidRPr="00D923F3">
              <w:rPr>
                <w:rFonts w:ascii="Times New Roman" w:eastAsia="Calibri" w:hAnsi="Times New Roman" w:cs="Times New Roman"/>
                <w:sz w:val="24"/>
                <w:szCs w:val="24"/>
              </w:rPr>
              <w:lastRenderedPageBreak/>
              <w:t>Кроме того, имеется необходимость реализации проектов по финансированию инфраструктуры объектов индивидуального жилищного строительства, с целью создания ликвидного и прозрачного рынка ИЖС</w:t>
            </w:r>
            <w:r w:rsidRPr="00D923F3">
              <w:rPr>
                <w:rFonts w:ascii="Times New Roman" w:hAnsi="Times New Roman" w:cs="Times New Roman"/>
                <w:sz w:val="24"/>
                <w:szCs w:val="24"/>
              </w:rPr>
              <w:t>.</w:t>
            </w:r>
          </w:p>
        </w:tc>
        <w:tc>
          <w:tcPr>
            <w:tcW w:w="7950" w:type="dxa"/>
          </w:tcPr>
          <w:p w:rsidR="004568B4" w:rsidRPr="009A2797" w:rsidRDefault="004568B4" w:rsidP="004568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В</w:t>
            </w:r>
            <w:r w:rsidRPr="009A2797">
              <w:rPr>
                <w:rFonts w:ascii="Times New Roman" w:hAnsi="Times New Roman" w:cs="Times New Roman"/>
                <w:sz w:val="24"/>
                <w:szCs w:val="24"/>
              </w:rPr>
              <w:t>опрос развития механизмов финансирования и в целом развития ИЖС актуален. По паспорту нацпроекта «Жилье и городская среда» в 2030 году сегмент ИЖС занимает 50 млн из</w:t>
            </w:r>
            <w:r>
              <w:rPr>
                <w:rFonts w:ascii="Times New Roman" w:hAnsi="Times New Roman" w:cs="Times New Roman"/>
                <w:sz w:val="24"/>
                <w:szCs w:val="24"/>
              </w:rPr>
              <w:t xml:space="preserve"> </w:t>
            </w:r>
            <w:r w:rsidRPr="009A2797">
              <w:rPr>
                <w:rFonts w:ascii="Times New Roman" w:hAnsi="Times New Roman" w:cs="Times New Roman"/>
                <w:sz w:val="24"/>
                <w:szCs w:val="24"/>
              </w:rPr>
              <w:t>120 млн кв. м жилья. Есть соответствующее поручение Президента России по итогам расширенного заседания президиума ГосСовета 28.09.2020.</w:t>
            </w:r>
          </w:p>
          <w:p w:rsidR="004568B4" w:rsidRPr="009A2797" w:rsidRDefault="004568B4" w:rsidP="004568B4">
            <w:pPr>
              <w:spacing w:after="0" w:line="240" w:lineRule="auto"/>
              <w:ind w:firstLine="175"/>
              <w:jc w:val="both"/>
              <w:rPr>
                <w:rFonts w:ascii="Times New Roman" w:hAnsi="Times New Roman" w:cs="Times New Roman"/>
                <w:sz w:val="24"/>
                <w:szCs w:val="24"/>
              </w:rPr>
            </w:pPr>
            <w:r w:rsidRPr="009A2797">
              <w:rPr>
                <w:rFonts w:ascii="Times New Roman" w:hAnsi="Times New Roman" w:cs="Times New Roman"/>
                <w:sz w:val="24"/>
                <w:szCs w:val="24"/>
              </w:rPr>
              <w:t>Минстрой России разрабатывает План мероприятий («дорожная карта») по развитию ИЖС. План включает разработку законода</w:t>
            </w:r>
            <w:r>
              <w:rPr>
                <w:rFonts w:ascii="Times New Roman" w:hAnsi="Times New Roman" w:cs="Times New Roman"/>
                <w:sz w:val="24"/>
                <w:szCs w:val="24"/>
              </w:rPr>
              <w:t xml:space="preserve">тельных изменений, в том числе </w:t>
            </w:r>
            <w:r w:rsidRPr="009A2797">
              <w:rPr>
                <w:rFonts w:ascii="Times New Roman" w:hAnsi="Times New Roman" w:cs="Times New Roman"/>
                <w:sz w:val="24"/>
                <w:szCs w:val="24"/>
              </w:rPr>
              <w:t>предусматривающих использование счетов эскроу по проектам комплексной застройки ИЖС, их страхование.</w:t>
            </w:r>
          </w:p>
          <w:p w:rsidR="004568B4" w:rsidRPr="009A2797" w:rsidRDefault="004568B4" w:rsidP="004568B4">
            <w:pPr>
              <w:spacing w:after="0" w:line="240" w:lineRule="auto"/>
              <w:ind w:firstLine="175"/>
              <w:jc w:val="both"/>
              <w:rPr>
                <w:rFonts w:ascii="Times New Roman" w:hAnsi="Times New Roman" w:cs="Times New Roman"/>
                <w:sz w:val="24"/>
                <w:szCs w:val="24"/>
              </w:rPr>
            </w:pPr>
            <w:r w:rsidRPr="009A2797">
              <w:rPr>
                <w:rFonts w:ascii="Times New Roman" w:hAnsi="Times New Roman" w:cs="Times New Roman"/>
                <w:sz w:val="24"/>
                <w:szCs w:val="24"/>
              </w:rPr>
              <w:t xml:space="preserve">Банк России поддерживает предложения о применении для комплексного ИЖС норм, аналогичных долевому жилищному строительству многоквартирных домов, в том числе использование счетов эскроу. </w:t>
            </w:r>
          </w:p>
          <w:p w:rsidR="004568B4" w:rsidRPr="009A2797" w:rsidRDefault="004568B4" w:rsidP="004568B4">
            <w:pPr>
              <w:spacing w:after="0" w:line="240" w:lineRule="auto"/>
              <w:ind w:firstLine="175"/>
              <w:jc w:val="both"/>
              <w:rPr>
                <w:rFonts w:ascii="Times New Roman" w:hAnsi="Times New Roman" w:cs="Times New Roman"/>
                <w:sz w:val="24"/>
                <w:szCs w:val="24"/>
              </w:rPr>
            </w:pPr>
            <w:r w:rsidRPr="009A2797">
              <w:rPr>
                <w:rFonts w:ascii="Times New Roman" w:hAnsi="Times New Roman" w:cs="Times New Roman"/>
                <w:sz w:val="24"/>
                <w:szCs w:val="24"/>
              </w:rPr>
              <w:t xml:space="preserve">Позиция о поддержке направлялась Банком России в Минстрой и Минфин России. </w:t>
            </w:r>
          </w:p>
          <w:p w:rsidR="004568B4" w:rsidRPr="00D923F3" w:rsidRDefault="004568B4" w:rsidP="004568B4">
            <w:pPr>
              <w:spacing w:after="0" w:line="240" w:lineRule="auto"/>
              <w:ind w:firstLine="175"/>
              <w:jc w:val="both"/>
              <w:rPr>
                <w:rFonts w:ascii="Times New Roman" w:hAnsi="Times New Roman" w:cs="Times New Roman"/>
                <w:sz w:val="24"/>
                <w:szCs w:val="24"/>
              </w:rPr>
            </w:pPr>
          </w:p>
        </w:tc>
      </w:tr>
      <w:tr w:rsidR="004568B4" w:rsidRPr="00D923F3" w:rsidTr="00262756">
        <w:tc>
          <w:tcPr>
            <w:tcW w:w="15163" w:type="dxa"/>
            <w:gridSpan w:val="3"/>
            <w:shd w:val="clear" w:color="auto" w:fill="E2EFD9" w:themeFill="accent6" w:themeFillTint="33"/>
          </w:tcPr>
          <w:p w:rsidR="004568B4" w:rsidRPr="00A12662" w:rsidRDefault="004568B4" w:rsidP="004568B4">
            <w:pPr>
              <w:spacing w:after="0" w:line="240" w:lineRule="auto"/>
              <w:ind w:firstLine="175"/>
              <w:jc w:val="center"/>
              <w:rPr>
                <w:rFonts w:ascii="Times New Roman" w:eastAsia="Times New Roman" w:hAnsi="Times New Roman" w:cs="Times New Roman"/>
                <w:b/>
                <w:i/>
                <w:iCs/>
                <w:sz w:val="24"/>
                <w:szCs w:val="24"/>
                <w:lang w:eastAsia="ru-RU"/>
              </w:rPr>
            </w:pPr>
            <w:r w:rsidRPr="00A12662">
              <w:rPr>
                <w:rFonts w:ascii="Times New Roman" w:eastAsia="Times New Roman" w:hAnsi="Times New Roman" w:cs="Times New Roman"/>
                <w:b/>
                <w:i/>
                <w:iCs/>
                <w:sz w:val="24"/>
                <w:szCs w:val="24"/>
                <w:lang w:eastAsia="ru-RU"/>
              </w:rPr>
              <w:t>Вопросы организации внутреннего контроля в рамках Положения Банка России от 16.12.2003 № 242-П «Об организации внутреннего контроля в кредитных организациях и банковских группах» (далее – Положение № 242-П)</w:t>
            </w:r>
            <w:r w:rsidRPr="00D923F3">
              <w:rPr>
                <w:rFonts w:ascii="Times New Roman" w:eastAsia="Times New Roman" w:hAnsi="Times New Roman" w:cs="Times New Roman"/>
                <w:b/>
                <w:i/>
                <w:iCs/>
                <w:sz w:val="24"/>
                <w:szCs w:val="24"/>
                <w:vertAlign w:val="superscript"/>
                <w:lang w:eastAsia="ru-RU"/>
              </w:rPr>
              <w:footnoteReference w:id="4"/>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412" w:type="dxa"/>
          </w:tcPr>
          <w:p w:rsidR="004568B4" w:rsidRPr="00D923F3" w:rsidRDefault="004568B4" w:rsidP="004568B4">
            <w:pPr>
              <w:widowControl w:val="0"/>
              <w:tabs>
                <w:tab w:val="left" w:pos="993"/>
              </w:tabs>
              <w:spacing w:after="0" w:line="240" w:lineRule="auto"/>
              <w:ind w:firstLine="175"/>
              <w:contextualSpacing/>
              <w:jc w:val="both"/>
              <w:rPr>
                <w:rFonts w:ascii="Times New Roman" w:hAnsi="Times New Roman" w:cs="Times New Roman"/>
                <w:sz w:val="24"/>
                <w:szCs w:val="24"/>
              </w:rPr>
            </w:pPr>
            <w:r w:rsidRPr="00A12662">
              <w:rPr>
                <w:rFonts w:ascii="Times New Roman" w:eastAsia="Calibri" w:hAnsi="Times New Roman" w:cs="Times New Roman"/>
                <w:sz w:val="24"/>
                <w:szCs w:val="24"/>
                <w:lang w:bidi="ru-RU"/>
              </w:rPr>
              <w:t>Какие изменения планируется внести в законодательство Российской Федерации в части организации внутреннего контроля и аудита? Планируется ли актуализация либо замена Положения № 242-П?</w:t>
            </w:r>
          </w:p>
        </w:tc>
        <w:tc>
          <w:tcPr>
            <w:tcW w:w="7950" w:type="dxa"/>
          </w:tcPr>
          <w:p w:rsidR="004568B4" w:rsidRPr="00F45E59" w:rsidRDefault="000230AA" w:rsidP="004568B4">
            <w:pPr>
              <w:spacing w:after="0" w:line="240" w:lineRule="auto"/>
              <w:ind w:firstLine="187"/>
              <w:jc w:val="both"/>
              <w:rPr>
                <w:rFonts w:ascii="Times New Roman" w:hAnsi="Times New Roman" w:cs="Times New Roman"/>
                <w:sz w:val="24"/>
                <w:szCs w:val="24"/>
              </w:rPr>
            </w:pPr>
            <w:r w:rsidRPr="00F45E59">
              <w:rPr>
                <w:rFonts w:ascii="Times New Roman" w:hAnsi="Times New Roman" w:cs="Times New Roman"/>
                <w:sz w:val="24"/>
                <w:szCs w:val="24"/>
              </w:rPr>
              <w:t xml:space="preserve">В настоящее время в целях развития пропорционального регулирования </w:t>
            </w:r>
            <w:r>
              <w:rPr>
                <w:rFonts w:ascii="Times New Roman" w:hAnsi="Times New Roman" w:cs="Times New Roman"/>
                <w:sz w:val="24"/>
                <w:szCs w:val="24"/>
              </w:rPr>
              <w:t xml:space="preserve">деятельности </w:t>
            </w:r>
            <w:r w:rsidRPr="00F45E59">
              <w:rPr>
                <w:rFonts w:ascii="Times New Roman" w:hAnsi="Times New Roman" w:cs="Times New Roman"/>
                <w:sz w:val="24"/>
                <w:szCs w:val="24"/>
              </w:rPr>
              <w:t>кредитных организаци</w:t>
            </w:r>
            <w:r>
              <w:rPr>
                <w:rFonts w:ascii="Times New Roman" w:hAnsi="Times New Roman" w:cs="Times New Roman"/>
                <w:sz w:val="24"/>
                <w:szCs w:val="24"/>
              </w:rPr>
              <w:t>й</w:t>
            </w:r>
            <w:r w:rsidRPr="00F45E59">
              <w:rPr>
                <w:rFonts w:ascii="Times New Roman" w:hAnsi="Times New Roman" w:cs="Times New Roman"/>
                <w:sz w:val="24"/>
                <w:szCs w:val="24"/>
              </w:rPr>
              <w:t xml:space="preserve"> при участии Банка России </w:t>
            </w:r>
            <w:r w:rsidRPr="00400230">
              <w:rPr>
                <w:rFonts w:ascii="Times New Roman" w:hAnsi="Times New Roman" w:cs="Times New Roman"/>
                <w:sz w:val="24"/>
                <w:szCs w:val="24"/>
              </w:rPr>
              <w:t>подготовлены предложения по внесению изменений в Федеральный закон «О банках и банковской деятельности», предусматривающие</w:t>
            </w:r>
            <w:r w:rsidR="004568B4" w:rsidRPr="00F45E59">
              <w:rPr>
                <w:rFonts w:ascii="Times New Roman" w:hAnsi="Times New Roman" w:cs="Times New Roman"/>
                <w:sz w:val="24"/>
                <w:szCs w:val="24"/>
              </w:rPr>
              <w:t xml:space="preserve"> в том числе распространение на отдельные категории небанковских кредитных организаций с учетом характера и масштаба их деятельности возможности не назначать руководителя </w:t>
            </w:r>
            <w:r w:rsidR="004568B4">
              <w:rPr>
                <w:rFonts w:ascii="Times New Roman" w:hAnsi="Times New Roman" w:cs="Times New Roman"/>
                <w:sz w:val="24"/>
                <w:szCs w:val="24"/>
              </w:rPr>
              <w:t xml:space="preserve">службы внутреннего контроля (далее – </w:t>
            </w:r>
            <w:r w:rsidR="004568B4" w:rsidRPr="00F45E59">
              <w:rPr>
                <w:rFonts w:ascii="Times New Roman" w:hAnsi="Times New Roman" w:cs="Times New Roman"/>
                <w:sz w:val="24"/>
                <w:szCs w:val="24"/>
              </w:rPr>
              <w:t>СВК</w:t>
            </w:r>
            <w:r w:rsidR="004568B4">
              <w:rPr>
                <w:rFonts w:ascii="Times New Roman" w:hAnsi="Times New Roman" w:cs="Times New Roman"/>
                <w:sz w:val="24"/>
                <w:szCs w:val="24"/>
              </w:rPr>
              <w:t>)</w:t>
            </w:r>
            <w:r w:rsidR="004568B4" w:rsidRPr="00F45E59">
              <w:rPr>
                <w:rFonts w:ascii="Times New Roman" w:hAnsi="Times New Roman" w:cs="Times New Roman"/>
                <w:sz w:val="24"/>
                <w:szCs w:val="24"/>
              </w:rPr>
              <w:t>, возложив его функции на руководителя службы управления рисками.</w:t>
            </w:r>
            <w:r w:rsidR="004568B4" w:rsidRPr="00F45E59">
              <w:rPr>
                <w:sz w:val="24"/>
                <w:szCs w:val="24"/>
              </w:rPr>
              <w:t xml:space="preserve"> </w:t>
            </w:r>
            <w:r w:rsidR="004568B4" w:rsidRPr="00F45E59">
              <w:rPr>
                <w:rFonts w:ascii="Times New Roman" w:hAnsi="Times New Roman" w:cs="Times New Roman"/>
                <w:sz w:val="24"/>
                <w:szCs w:val="24"/>
              </w:rPr>
              <w:t>При внесении соответствующих изменений в Федеральный закон «О банках и банковской деятельности» необходимые изменения в части реализации законодательных требований будут предусмотрены в Положении № 242-П.</w:t>
            </w:r>
          </w:p>
          <w:p w:rsidR="004568B4" w:rsidRPr="00F45E59" w:rsidRDefault="004568B4" w:rsidP="004568B4">
            <w:pPr>
              <w:spacing w:after="0" w:line="240" w:lineRule="auto"/>
              <w:ind w:firstLine="187"/>
              <w:jc w:val="both"/>
              <w:rPr>
                <w:rFonts w:ascii="Times New Roman" w:hAnsi="Times New Roman" w:cs="Times New Roman"/>
                <w:sz w:val="24"/>
                <w:szCs w:val="24"/>
              </w:rPr>
            </w:pPr>
            <w:r w:rsidRPr="00F45E59">
              <w:rPr>
                <w:rFonts w:ascii="Times New Roman" w:hAnsi="Times New Roman" w:cs="Times New Roman"/>
                <w:sz w:val="24"/>
                <w:szCs w:val="24"/>
              </w:rPr>
              <w:t xml:space="preserve">Одновременно сообщаем, что практика рассмотрения запросов, поступающих от кредитных организаций по вопросам организации системы внутреннего контроля, свидетельствует об актуальности требований Положения № 242-П и возможности применения заложенных в нем принципов и подходов в отношении появляющихся современных механизмов и процессов в банковской сфере. В связи с чем внесение </w:t>
            </w:r>
            <w:r w:rsidRPr="00F45E59">
              <w:rPr>
                <w:rFonts w:ascii="Times New Roman" w:hAnsi="Times New Roman" w:cs="Times New Roman"/>
                <w:sz w:val="24"/>
                <w:szCs w:val="24"/>
              </w:rPr>
              <w:lastRenderedPageBreak/>
              <w:t>изменений концептуального характера в Положение № 242-П либо его замена Банком России не планируется.</w:t>
            </w:r>
          </w:p>
          <w:p w:rsidR="004568B4" w:rsidRPr="00D923F3" w:rsidRDefault="004568B4" w:rsidP="004568B4">
            <w:pPr>
              <w:spacing w:after="0" w:line="240" w:lineRule="auto"/>
              <w:ind w:firstLine="187"/>
              <w:jc w:val="both"/>
              <w:rPr>
                <w:rFonts w:ascii="Times New Roman" w:hAnsi="Times New Roman" w:cs="Times New Roman"/>
                <w:sz w:val="24"/>
                <w:szCs w:val="24"/>
              </w:rPr>
            </w:pPr>
            <w:r w:rsidRPr="00F45E59">
              <w:rPr>
                <w:rFonts w:ascii="Times New Roman" w:hAnsi="Times New Roman" w:cs="Times New Roman"/>
                <w:sz w:val="24"/>
                <w:szCs w:val="24"/>
              </w:rPr>
              <w:t>Вместе с тем готовы рассмотреть конкретные вопросы, связанные с организацией внутреннего контроля в кредитных организациях и банковских группах, возникающие в деятельности большинства кредитных организаций, требующие, по мнению банков, нормативного регулирования.</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412" w:type="dxa"/>
          </w:tcPr>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Будут ли детализированы функции внутреннего аудита в рамках проведения проверок эффективности методологии оценки банковских рисков и процедур управления банковскими рисками, в том числе их раскрытие в Положении № 242-П?</w:t>
            </w:r>
          </w:p>
        </w:tc>
        <w:tc>
          <w:tcPr>
            <w:tcW w:w="7950" w:type="dxa"/>
          </w:tcPr>
          <w:p w:rsidR="004568B4" w:rsidRPr="00F45E59" w:rsidRDefault="004568B4" w:rsidP="004568B4">
            <w:pPr>
              <w:spacing w:after="0" w:line="240" w:lineRule="auto"/>
              <w:ind w:firstLine="187"/>
              <w:jc w:val="both"/>
              <w:rPr>
                <w:rFonts w:ascii="Times New Roman" w:hAnsi="Times New Roman" w:cs="Times New Roman"/>
                <w:sz w:val="24"/>
                <w:szCs w:val="24"/>
              </w:rPr>
            </w:pPr>
            <w:r w:rsidRPr="00F45E59">
              <w:rPr>
                <w:rFonts w:ascii="Times New Roman" w:hAnsi="Times New Roman" w:cs="Times New Roman"/>
                <w:sz w:val="24"/>
                <w:szCs w:val="24"/>
              </w:rPr>
              <w:t xml:space="preserve">Согласно статье 24 Федерального закона «О банках и банковской деятельности» кредитная организация (головная кредитная организация банковской группы) обязана создать системы управления рисками и капиталом, внутреннего контроля, соответствующие характеру и масштабу осуществляемых операций, уровню и сочетанию принимаемых рисков, с учетом установленных Банком России требований к системам управления рисками и капиталом, внутреннего контроля кредитной организации, банковской группы. </w:t>
            </w:r>
          </w:p>
          <w:p w:rsidR="004568B4" w:rsidRPr="00F45E59" w:rsidRDefault="004568B4" w:rsidP="004568B4">
            <w:pPr>
              <w:spacing w:after="0" w:line="240" w:lineRule="auto"/>
              <w:ind w:firstLine="187"/>
              <w:jc w:val="both"/>
              <w:rPr>
                <w:rFonts w:ascii="Times New Roman" w:hAnsi="Times New Roman" w:cs="Times New Roman"/>
                <w:sz w:val="24"/>
                <w:szCs w:val="24"/>
              </w:rPr>
            </w:pPr>
            <w:r w:rsidRPr="00F45E59">
              <w:rPr>
                <w:rFonts w:ascii="Times New Roman" w:hAnsi="Times New Roman" w:cs="Times New Roman"/>
                <w:sz w:val="24"/>
                <w:szCs w:val="24"/>
              </w:rPr>
              <w:t>Положением № 242-П установлен открытый перечень функций службы внутреннего аудита (далее – СВА), реализация которых, как и выбор способов реализации указанных функций должны осуществляться СВА с учетом указанного законодательного подхода.</w:t>
            </w:r>
          </w:p>
          <w:p w:rsidR="004568B4" w:rsidRPr="00F45E59" w:rsidRDefault="004568B4" w:rsidP="004568B4">
            <w:pPr>
              <w:spacing w:after="0" w:line="240" w:lineRule="auto"/>
              <w:ind w:firstLine="187"/>
              <w:jc w:val="both"/>
              <w:rPr>
                <w:rFonts w:ascii="Times New Roman" w:hAnsi="Times New Roman" w:cs="Times New Roman"/>
                <w:sz w:val="24"/>
                <w:szCs w:val="24"/>
              </w:rPr>
            </w:pPr>
            <w:r w:rsidRPr="00F45E59">
              <w:rPr>
                <w:rFonts w:ascii="Times New Roman" w:hAnsi="Times New Roman" w:cs="Times New Roman"/>
                <w:sz w:val="24"/>
                <w:szCs w:val="24"/>
              </w:rPr>
              <w:t>Принимая во внимание международные подходы к регулированию внутреннего аудита в банках</w:t>
            </w:r>
            <w:r w:rsidRPr="00F45E59">
              <w:rPr>
                <w:rStyle w:val="a6"/>
                <w:rFonts w:ascii="Times New Roman" w:hAnsi="Times New Roman" w:cs="Times New Roman"/>
                <w:sz w:val="24"/>
                <w:szCs w:val="24"/>
              </w:rPr>
              <w:footnoteReference w:id="5"/>
            </w:r>
            <w:r w:rsidRPr="00F45E59">
              <w:rPr>
                <w:rFonts w:ascii="Times New Roman" w:hAnsi="Times New Roman" w:cs="Times New Roman"/>
                <w:sz w:val="24"/>
                <w:szCs w:val="24"/>
              </w:rPr>
              <w:t xml:space="preserve">, при </w:t>
            </w:r>
            <w:r w:rsidRPr="00F45E59">
              <w:rPr>
                <w:rFonts w:ascii="Times New Roman" w:hAnsi="Times New Roman" w:cs="Times New Roman"/>
                <w:sz w:val="24"/>
                <w:szCs w:val="24"/>
                <w:lang w:bidi="ru-RU"/>
              </w:rPr>
              <w:t xml:space="preserve">проведении проверок эффективности </w:t>
            </w:r>
            <w:r w:rsidRPr="00F45E59">
              <w:rPr>
                <w:rFonts w:ascii="Times New Roman" w:hAnsi="Times New Roman" w:cs="Times New Roman"/>
                <w:sz w:val="24"/>
                <w:szCs w:val="24"/>
                <w:lang w:bidi="ru-RU"/>
              </w:rPr>
              <w:lastRenderedPageBreak/>
              <w:t>методологии оценки банковских рисков и процедур управления банковскими рисками</w:t>
            </w:r>
            <w:r w:rsidRPr="00F45E59">
              <w:rPr>
                <w:rFonts w:ascii="Times New Roman" w:hAnsi="Times New Roman" w:cs="Times New Roman"/>
                <w:sz w:val="24"/>
                <w:szCs w:val="24"/>
              </w:rPr>
              <w:t xml:space="preserve"> СВА может быть рекомендовано уделить внимание таким вопросам, как: </w:t>
            </w:r>
          </w:p>
          <w:p w:rsidR="004568B4" w:rsidRPr="00F45E59" w:rsidRDefault="004568B4" w:rsidP="004568B4">
            <w:pPr>
              <w:pStyle w:val="a4"/>
              <w:numPr>
                <w:ilvl w:val="0"/>
                <w:numId w:val="18"/>
              </w:numPr>
              <w:ind w:left="0" w:firstLine="187"/>
              <w:contextualSpacing/>
              <w:jc w:val="both"/>
              <w:rPr>
                <w:rFonts w:ascii="Times New Roman" w:hAnsi="Times New Roman" w:cs="Times New Roman"/>
                <w:sz w:val="24"/>
                <w:szCs w:val="24"/>
              </w:rPr>
            </w:pPr>
            <w:r w:rsidRPr="00F45E59">
              <w:rPr>
                <w:rFonts w:ascii="Times New Roman" w:hAnsi="Times New Roman" w:cs="Times New Roman"/>
                <w:sz w:val="24"/>
                <w:szCs w:val="24"/>
              </w:rPr>
              <w:t>организация и задачи системы управления каждым из значимых рисков в кредитной организации;</w:t>
            </w:r>
          </w:p>
          <w:p w:rsidR="004568B4" w:rsidRPr="00F45E59" w:rsidRDefault="004568B4" w:rsidP="004568B4">
            <w:pPr>
              <w:pStyle w:val="a4"/>
              <w:numPr>
                <w:ilvl w:val="0"/>
                <w:numId w:val="18"/>
              </w:numPr>
              <w:ind w:left="0" w:firstLine="187"/>
              <w:contextualSpacing/>
              <w:jc w:val="both"/>
              <w:rPr>
                <w:rFonts w:ascii="Times New Roman" w:hAnsi="Times New Roman" w:cs="Times New Roman"/>
                <w:sz w:val="24"/>
                <w:szCs w:val="24"/>
              </w:rPr>
            </w:pPr>
            <w:r w:rsidRPr="00F45E59">
              <w:rPr>
                <w:rFonts w:ascii="Times New Roman" w:hAnsi="Times New Roman" w:cs="Times New Roman"/>
                <w:sz w:val="24"/>
                <w:szCs w:val="24"/>
              </w:rPr>
              <w:t>оценка риск-аппетита, информирование и эскалация вопросов и решений, принятых в рамках управления рисками;</w:t>
            </w:r>
          </w:p>
          <w:p w:rsidR="004568B4" w:rsidRPr="00F45E59" w:rsidRDefault="004568B4" w:rsidP="004568B4">
            <w:pPr>
              <w:pStyle w:val="a4"/>
              <w:numPr>
                <w:ilvl w:val="0"/>
                <w:numId w:val="18"/>
              </w:numPr>
              <w:ind w:left="0" w:firstLine="187"/>
              <w:contextualSpacing/>
              <w:jc w:val="both"/>
              <w:rPr>
                <w:rFonts w:ascii="Times New Roman" w:hAnsi="Times New Roman" w:cs="Times New Roman"/>
                <w:sz w:val="24"/>
                <w:szCs w:val="24"/>
              </w:rPr>
            </w:pPr>
            <w:r w:rsidRPr="00F45E59">
              <w:rPr>
                <w:rFonts w:ascii="Times New Roman" w:hAnsi="Times New Roman" w:cs="Times New Roman"/>
                <w:sz w:val="24"/>
                <w:szCs w:val="24"/>
              </w:rPr>
              <w:t>адекватность систем управления рисками, включая идентификацию, оценку, контроль, реагирование, отчетность по всем рискам, возникающим в деятельности банка;</w:t>
            </w:r>
          </w:p>
          <w:p w:rsidR="004568B4" w:rsidRPr="00F45E59" w:rsidRDefault="004568B4" w:rsidP="004568B4">
            <w:pPr>
              <w:pStyle w:val="a4"/>
              <w:numPr>
                <w:ilvl w:val="0"/>
                <w:numId w:val="18"/>
              </w:numPr>
              <w:ind w:left="0" w:firstLine="187"/>
              <w:contextualSpacing/>
              <w:jc w:val="both"/>
              <w:rPr>
                <w:rFonts w:ascii="Times New Roman" w:hAnsi="Times New Roman" w:cs="Times New Roman"/>
                <w:sz w:val="24"/>
                <w:szCs w:val="24"/>
              </w:rPr>
            </w:pPr>
            <w:r w:rsidRPr="00F45E59">
              <w:rPr>
                <w:rFonts w:ascii="Times New Roman" w:hAnsi="Times New Roman" w:cs="Times New Roman"/>
                <w:sz w:val="24"/>
                <w:szCs w:val="24"/>
              </w:rPr>
              <w:t>целостность информационных систем, используемых в рамках управления рисками, включая точность, достоверность и полноту данных;</w:t>
            </w:r>
          </w:p>
          <w:p w:rsidR="004568B4" w:rsidRPr="00F45E59" w:rsidRDefault="004568B4" w:rsidP="004568B4">
            <w:pPr>
              <w:pStyle w:val="a4"/>
              <w:numPr>
                <w:ilvl w:val="0"/>
                <w:numId w:val="18"/>
              </w:numPr>
              <w:ind w:left="0" w:firstLine="187"/>
              <w:contextualSpacing/>
              <w:jc w:val="both"/>
              <w:rPr>
                <w:rFonts w:ascii="Times New Roman" w:hAnsi="Times New Roman" w:cs="Times New Roman"/>
                <w:sz w:val="24"/>
                <w:szCs w:val="24"/>
              </w:rPr>
            </w:pPr>
            <w:r w:rsidRPr="00F45E59">
              <w:rPr>
                <w:rFonts w:ascii="Times New Roman" w:hAnsi="Times New Roman" w:cs="Times New Roman"/>
                <w:sz w:val="24"/>
                <w:szCs w:val="24"/>
              </w:rPr>
              <w:t>утверждение и применение моделей оценки рисков, включая проверку последовательности подходов, актуальности, независимости и достоверности источников данных, используемых в этих моделях.</w:t>
            </w:r>
          </w:p>
          <w:p w:rsidR="004568B4" w:rsidRPr="00F45E59" w:rsidRDefault="004568B4" w:rsidP="004568B4">
            <w:pPr>
              <w:spacing w:after="0" w:line="240" w:lineRule="auto"/>
              <w:ind w:firstLine="187"/>
              <w:jc w:val="both"/>
              <w:rPr>
                <w:rFonts w:ascii="Times New Roman" w:hAnsi="Times New Roman" w:cs="Times New Roman"/>
                <w:sz w:val="24"/>
                <w:szCs w:val="24"/>
              </w:rPr>
            </w:pPr>
            <w:r w:rsidRPr="00F45E59">
              <w:rPr>
                <w:rFonts w:ascii="Times New Roman" w:hAnsi="Times New Roman" w:cs="Times New Roman"/>
                <w:sz w:val="24"/>
                <w:szCs w:val="24"/>
              </w:rPr>
              <w:t xml:space="preserve">Отмечаем, что согласно пункту 1.1 приложения 1 к Указанию </w:t>
            </w:r>
            <w:r>
              <w:rPr>
                <w:rFonts w:ascii="Times New Roman" w:hAnsi="Times New Roman" w:cs="Times New Roman"/>
                <w:sz w:val="24"/>
                <w:szCs w:val="24"/>
              </w:rPr>
              <w:br/>
            </w:r>
            <w:r w:rsidRPr="00F45E59">
              <w:rPr>
                <w:rFonts w:ascii="Times New Roman" w:hAnsi="Times New Roman" w:cs="Times New Roman"/>
                <w:sz w:val="24"/>
                <w:szCs w:val="24"/>
              </w:rPr>
              <w:t>№ 3624-У</w:t>
            </w:r>
            <w:r w:rsidRPr="00F45E59">
              <w:rPr>
                <w:rStyle w:val="a6"/>
                <w:rFonts w:ascii="Times New Roman" w:hAnsi="Times New Roman" w:cs="Times New Roman"/>
                <w:sz w:val="24"/>
                <w:szCs w:val="24"/>
              </w:rPr>
              <w:footnoteReference w:id="6"/>
            </w:r>
            <w:r w:rsidRPr="00F45E59">
              <w:rPr>
                <w:rFonts w:ascii="Times New Roman" w:hAnsi="Times New Roman" w:cs="Times New Roman"/>
                <w:sz w:val="24"/>
                <w:szCs w:val="24"/>
              </w:rPr>
              <w:t xml:space="preserve"> кредитная организация в отношении каждого из значимых рисков самостоятельно разрабатывает порядок и периодичность (но не реже одного раза в год) проведения СВА оценки эффективности методов оценки риска, включая актуализацию документов, в которых установлены методы оценки рисков, и осуществление валидации моделей </w:t>
            </w:r>
            <w:r w:rsidRPr="00F45E59">
              <w:rPr>
                <w:rFonts w:ascii="Times New Roman" w:hAnsi="Times New Roman" w:cs="Times New Roman"/>
                <w:sz w:val="24"/>
                <w:szCs w:val="24"/>
              </w:rPr>
              <w:lastRenderedPageBreak/>
              <w:t>количественной оценки риска, с учетом</w:t>
            </w:r>
            <w:r w:rsidRPr="00F45E59">
              <w:rPr>
                <w:sz w:val="24"/>
                <w:szCs w:val="24"/>
              </w:rPr>
              <w:t xml:space="preserve"> </w:t>
            </w:r>
            <w:r w:rsidRPr="00F45E59">
              <w:rPr>
                <w:rFonts w:ascii="Times New Roman" w:hAnsi="Times New Roman" w:cs="Times New Roman"/>
                <w:sz w:val="24"/>
                <w:szCs w:val="24"/>
              </w:rPr>
              <w:t xml:space="preserve">характера и масштаба осуществляемых кредитной организацией (банковской группой) операций, уровня и сочетания рисков (принципа пропорциональности). </w:t>
            </w:r>
          </w:p>
          <w:p w:rsidR="004568B4" w:rsidRPr="00D923F3" w:rsidRDefault="004568B4" w:rsidP="004568B4">
            <w:pPr>
              <w:spacing w:after="0" w:line="240" w:lineRule="auto"/>
              <w:ind w:firstLine="187"/>
              <w:jc w:val="both"/>
              <w:rPr>
                <w:rFonts w:ascii="Times New Roman" w:hAnsi="Times New Roman" w:cs="Times New Roman"/>
                <w:sz w:val="24"/>
                <w:szCs w:val="24"/>
              </w:rPr>
            </w:pPr>
            <w:r w:rsidRPr="00F45E59">
              <w:rPr>
                <w:rFonts w:ascii="Times New Roman" w:hAnsi="Times New Roman" w:cs="Times New Roman"/>
                <w:sz w:val="24"/>
                <w:szCs w:val="24"/>
              </w:rPr>
              <w:t xml:space="preserve">Детализация функций </w:t>
            </w:r>
            <w:r>
              <w:rPr>
                <w:rFonts w:ascii="Times New Roman" w:hAnsi="Times New Roman" w:cs="Times New Roman"/>
                <w:sz w:val="24"/>
                <w:szCs w:val="24"/>
              </w:rPr>
              <w:t>СВА</w:t>
            </w:r>
            <w:r w:rsidRPr="00F45E59">
              <w:rPr>
                <w:rFonts w:ascii="Times New Roman" w:hAnsi="Times New Roman" w:cs="Times New Roman"/>
                <w:sz w:val="24"/>
                <w:szCs w:val="24"/>
              </w:rPr>
              <w:t xml:space="preserve"> в части указанных проверок с учетом гибкости правового регулирования может быть предусмотрена внутренними документами кредитной организации (в частности, положением о СВА). В связи с чем в</w:t>
            </w:r>
            <w:r>
              <w:rPr>
                <w:rFonts w:ascii="Times New Roman" w:hAnsi="Times New Roman" w:cs="Times New Roman"/>
                <w:sz w:val="24"/>
                <w:szCs w:val="24"/>
              </w:rPr>
              <w:t>несение изменений в Положение № </w:t>
            </w:r>
            <w:r w:rsidRPr="00F45E59">
              <w:rPr>
                <w:rFonts w:ascii="Times New Roman" w:hAnsi="Times New Roman" w:cs="Times New Roman"/>
                <w:sz w:val="24"/>
                <w:szCs w:val="24"/>
              </w:rPr>
              <w:t xml:space="preserve">242-П, предусматривающих единый, регламентированный на нормативном уровне, перечень функций </w:t>
            </w:r>
            <w:r>
              <w:rPr>
                <w:rFonts w:ascii="Times New Roman" w:hAnsi="Times New Roman" w:cs="Times New Roman"/>
                <w:sz w:val="24"/>
                <w:szCs w:val="24"/>
              </w:rPr>
              <w:t>СВА</w:t>
            </w:r>
            <w:r w:rsidRPr="00F45E59">
              <w:rPr>
                <w:rFonts w:ascii="Times New Roman" w:hAnsi="Times New Roman" w:cs="Times New Roman"/>
                <w:sz w:val="24"/>
                <w:szCs w:val="24"/>
              </w:rPr>
              <w:t xml:space="preserve"> кредитной организации в части </w:t>
            </w:r>
            <w:r w:rsidRPr="00F45E59">
              <w:rPr>
                <w:rFonts w:ascii="Times New Roman" w:hAnsi="Times New Roman" w:cs="Times New Roman"/>
                <w:sz w:val="24"/>
                <w:szCs w:val="24"/>
                <w:lang w:bidi="ru-RU"/>
              </w:rPr>
              <w:t>проверок эффективности методологии оценки банковских рисков и процедур управления банковскими рисками</w:t>
            </w:r>
            <w:r w:rsidRPr="00F45E59">
              <w:rPr>
                <w:rFonts w:ascii="Times New Roman" w:hAnsi="Times New Roman" w:cs="Times New Roman"/>
                <w:sz w:val="24"/>
                <w:szCs w:val="24"/>
              </w:rPr>
              <w:t>, представляется избыточным.</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6412" w:type="dxa"/>
          </w:tcPr>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 xml:space="preserve">На кредитные организации распространяются нормы Положения № 242-П. Вместе с тем, Банком России 01.10.2020 опубликовано информационное письмо № ИН-06-28/143 «О рекомендациях по организации управления рисками, внутреннего контроля, внутреннего аудита, работы комитета совета директоров (наблюдательного </w:t>
            </w:r>
            <w:r w:rsidRPr="00D923F3">
              <w:rPr>
                <w:rFonts w:ascii="Times New Roman" w:eastAsia="Calibri" w:hAnsi="Times New Roman" w:cs="Times New Roman"/>
                <w:sz w:val="24"/>
                <w:szCs w:val="24"/>
                <w:lang w:bidi="ru-RU"/>
              </w:rPr>
              <w:lastRenderedPageBreak/>
              <w:t>совета) по аудиту в публичных акционерных обществах», которое содержит в себе более обширные рекомендации в области управления рисками, внутреннего контроля и внутреннего аудита по сравнению с Положением №242-П.</w:t>
            </w:r>
          </w:p>
          <w:p w:rsidR="004568B4" w:rsidRPr="00A12662" w:rsidRDefault="004568B4" w:rsidP="004568B4">
            <w:pPr>
              <w:tabs>
                <w:tab w:val="left" w:pos="0"/>
                <w:tab w:val="left" w:pos="851"/>
              </w:tabs>
              <w:spacing w:after="0" w:line="240" w:lineRule="auto"/>
              <w:ind w:firstLine="175"/>
              <w:jc w:val="both"/>
              <w:rPr>
                <w:rFonts w:ascii="Times New Roman" w:eastAsia="Times New Roman" w:hAnsi="Times New Roman" w:cs="Times New Roman"/>
                <w:sz w:val="24"/>
                <w:szCs w:val="24"/>
                <w:lang w:eastAsia="ru-RU"/>
              </w:rPr>
            </w:pPr>
            <w:r w:rsidRPr="00A12662">
              <w:rPr>
                <w:rFonts w:ascii="Times New Roman" w:eastAsia="Times New Roman" w:hAnsi="Times New Roman" w:cs="Times New Roman"/>
                <w:sz w:val="24"/>
                <w:szCs w:val="24"/>
                <w:lang w:eastAsia="ru-RU"/>
              </w:rPr>
              <w:t>С учетом того, что в соответствии с нормами п. 1.3 и 1.4 Положения</w:t>
            </w:r>
            <w:r w:rsidR="00A57B04">
              <w:rPr>
                <w:rFonts w:ascii="Times New Roman" w:eastAsia="Times New Roman" w:hAnsi="Times New Roman" w:cs="Times New Roman"/>
                <w:sz w:val="24"/>
                <w:szCs w:val="24"/>
                <w:lang w:eastAsia="ru-RU"/>
              </w:rPr>
              <w:t xml:space="preserve"> Банка России</w:t>
            </w:r>
            <w:r w:rsidRPr="00A12662">
              <w:rPr>
                <w:rFonts w:ascii="Times New Roman" w:eastAsia="Times New Roman" w:hAnsi="Times New Roman" w:cs="Times New Roman"/>
                <w:sz w:val="24"/>
                <w:szCs w:val="24"/>
                <w:lang w:eastAsia="ru-RU"/>
              </w:rPr>
              <w:t xml:space="preserve"> от 22.09.2017 № 602-П «О правилах подготовки нормативных актов Банка России» данное письмо не является нормативным документом, требующим обязательного исполнения, и в то же время содержит в себе информацию и рекомендации, значительно расширяющие правила и подходы, которые могут быть применимы кредитными организациями в форме акционерных обществ </w:t>
            </w:r>
            <w:r w:rsidRPr="00A12662">
              <w:rPr>
                <w:rFonts w:ascii="Times New Roman" w:eastAsia="Times New Roman" w:hAnsi="Times New Roman" w:cs="Times New Roman"/>
                <w:sz w:val="24"/>
                <w:szCs w:val="24"/>
                <w:lang w:eastAsia="ru-RU"/>
              </w:rPr>
              <w:lastRenderedPageBreak/>
              <w:t xml:space="preserve">к выстраиванию системы управления рисками и внутреннего контроля, просим уточнить, </w:t>
            </w:r>
            <w:r w:rsidRPr="00A12662">
              <w:rPr>
                <w:rFonts w:ascii="Times New Roman" w:eastAsia="Times New Roman" w:hAnsi="Times New Roman" w:cs="Times New Roman"/>
                <w:b/>
                <w:bCs/>
                <w:sz w:val="24"/>
                <w:szCs w:val="24"/>
                <w:lang w:eastAsia="ru-RU"/>
              </w:rPr>
              <w:t>планируется ли в ближайшее время или в обозримой перспективе доработка и дополнение норм Положения №242-П нормами, содержащимися в Письме</w:t>
            </w:r>
            <w:r w:rsidRPr="00A12662">
              <w:rPr>
                <w:rFonts w:ascii="Times New Roman" w:eastAsia="Times New Roman" w:hAnsi="Times New Roman" w:cs="Times New Roman"/>
                <w:sz w:val="24"/>
                <w:szCs w:val="24"/>
                <w:lang w:eastAsia="ru-RU"/>
              </w:rPr>
              <w:t>, в том числе касающихся:</w:t>
            </w:r>
          </w:p>
          <w:p w:rsidR="004568B4" w:rsidRPr="00A12662" w:rsidRDefault="004568B4" w:rsidP="004568B4">
            <w:pPr>
              <w:tabs>
                <w:tab w:val="left" w:pos="0"/>
                <w:tab w:val="left" w:pos="851"/>
              </w:tabs>
              <w:spacing w:after="0" w:line="240" w:lineRule="auto"/>
              <w:ind w:firstLine="175"/>
              <w:jc w:val="both"/>
              <w:rPr>
                <w:rFonts w:ascii="Times New Roman" w:eastAsia="Times New Roman" w:hAnsi="Times New Roman" w:cs="Times New Roman"/>
                <w:sz w:val="24"/>
                <w:szCs w:val="24"/>
                <w:lang w:eastAsia="ru-RU"/>
              </w:rPr>
            </w:pPr>
            <w:r w:rsidRPr="00A12662">
              <w:rPr>
                <w:rFonts w:ascii="Times New Roman" w:eastAsia="Times New Roman" w:hAnsi="Times New Roman" w:cs="Times New Roman"/>
                <w:sz w:val="24"/>
                <w:szCs w:val="24"/>
                <w:lang w:eastAsia="ru-RU"/>
              </w:rPr>
              <w:t>- необходимости рассмотрения управления рисками и внутреннего контроля в контексте единой интегрированной в бизнес-процессы кредитной организации системы управления рисками и внутреннего контроля (СУРиВК);</w:t>
            </w:r>
          </w:p>
          <w:p w:rsidR="004568B4" w:rsidRPr="00A12662" w:rsidRDefault="004568B4" w:rsidP="004568B4">
            <w:pPr>
              <w:tabs>
                <w:tab w:val="left" w:pos="0"/>
                <w:tab w:val="left" w:pos="851"/>
              </w:tabs>
              <w:spacing w:after="0" w:line="240" w:lineRule="auto"/>
              <w:ind w:firstLine="175"/>
              <w:jc w:val="both"/>
              <w:rPr>
                <w:rFonts w:ascii="Times New Roman" w:eastAsia="Times New Roman" w:hAnsi="Times New Roman" w:cs="Times New Roman"/>
                <w:sz w:val="24"/>
                <w:szCs w:val="24"/>
                <w:lang w:eastAsia="ru-RU"/>
              </w:rPr>
            </w:pPr>
            <w:r w:rsidRPr="00A12662">
              <w:rPr>
                <w:rFonts w:ascii="Times New Roman" w:eastAsia="Times New Roman" w:hAnsi="Times New Roman" w:cs="Times New Roman"/>
                <w:sz w:val="24"/>
                <w:szCs w:val="24"/>
                <w:lang w:eastAsia="ru-RU"/>
              </w:rPr>
              <w:t xml:space="preserve">-  использования </w:t>
            </w:r>
            <w:r w:rsidR="00A57B04">
              <w:rPr>
                <w:rFonts w:ascii="Times New Roman" w:eastAsia="Times New Roman" w:hAnsi="Times New Roman" w:cs="Times New Roman"/>
                <w:sz w:val="24"/>
                <w:szCs w:val="24"/>
                <w:lang w:eastAsia="ru-RU"/>
              </w:rPr>
              <w:t>«</w:t>
            </w:r>
            <w:r w:rsidRPr="00A12662">
              <w:rPr>
                <w:rFonts w:ascii="Times New Roman" w:eastAsia="Times New Roman" w:hAnsi="Times New Roman" w:cs="Times New Roman"/>
                <w:sz w:val="24"/>
                <w:szCs w:val="24"/>
                <w:lang w:eastAsia="ru-RU"/>
              </w:rPr>
              <w:t>модели трех линий</w:t>
            </w:r>
            <w:r w:rsidR="00A57B04">
              <w:rPr>
                <w:rFonts w:ascii="Times New Roman" w:eastAsia="Times New Roman" w:hAnsi="Times New Roman" w:cs="Times New Roman"/>
                <w:sz w:val="24"/>
                <w:szCs w:val="24"/>
                <w:lang w:eastAsia="ru-RU"/>
              </w:rPr>
              <w:t>»</w:t>
            </w:r>
            <w:r w:rsidRPr="00A12662">
              <w:rPr>
                <w:rFonts w:ascii="Times New Roman" w:eastAsia="Times New Roman" w:hAnsi="Times New Roman" w:cs="Times New Roman"/>
                <w:sz w:val="24"/>
                <w:szCs w:val="24"/>
                <w:lang w:eastAsia="ru-RU"/>
              </w:rPr>
              <w:t xml:space="preserve"> при организации СУРиВК;</w:t>
            </w:r>
          </w:p>
          <w:p w:rsidR="004568B4" w:rsidRPr="00A12662" w:rsidRDefault="004568B4" w:rsidP="004568B4">
            <w:pPr>
              <w:tabs>
                <w:tab w:val="left" w:pos="0"/>
                <w:tab w:val="left" w:pos="851"/>
              </w:tabs>
              <w:spacing w:after="0" w:line="240" w:lineRule="auto"/>
              <w:ind w:firstLine="175"/>
              <w:jc w:val="both"/>
              <w:rPr>
                <w:rFonts w:ascii="Times New Roman" w:eastAsia="Times New Roman" w:hAnsi="Times New Roman" w:cs="Times New Roman"/>
                <w:sz w:val="24"/>
                <w:szCs w:val="24"/>
                <w:lang w:eastAsia="ru-RU"/>
              </w:rPr>
            </w:pPr>
            <w:r w:rsidRPr="00A12662">
              <w:rPr>
                <w:rFonts w:ascii="Times New Roman" w:eastAsia="Times New Roman" w:hAnsi="Times New Roman" w:cs="Times New Roman"/>
                <w:sz w:val="24"/>
                <w:szCs w:val="24"/>
                <w:lang w:eastAsia="ru-RU"/>
              </w:rPr>
              <w:t>- необходимости формирования корпоративного управления и культуры в качестве основы управления рисками;</w:t>
            </w:r>
          </w:p>
          <w:p w:rsidR="004568B4" w:rsidRPr="00A12662" w:rsidRDefault="004568B4" w:rsidP="004568B4">
            <w:pPr>
              <w:tabs>
                <w:tab w:val="left" w:pos="0"/>
                <w:tab w:val="left" w:pos="851"/>
              </w:tabs>
              <w:spacing w:after="0" w:line="240" w:lineRule="auto"/>
              <w:ind w:firstLine="175"/>
              <w:jc w:val="both"/>
              <w:rPr>
                <w:rFonts w:ascii="Times New Roman" w:eastAsia="Times New Roman" w:hAnsi="Times New Roman" w:cs="Times New Roman"/>
                <w:sz w:val="24"/>
                <w:szCs w:val="24"/>
                <w:lang w:eastAsia="ru-RU"/>
              </w:rPr>
            </w:pPr>
            <w:r w:rsidRPr="00A12662">
              <w:rPr>
                <w:rFonts w:ascii="Times New Roman" w:eastAsia="Times New Roman" w:hAnsi="Times New Roman" w:cs="Times New Roman"/>
                <w:sz w:val="24"/>
                <w:szCs w:val="24"/>
                <w:lang w:eastAsia="ru-RU"/>
              </w:rPr>
              <w:t xml:space="preserve">- определения наличия и содержания верхнеуровнего документа в области управления рисками и внутреннего </w:t>
            </w:r>
            <w:r w:rsidRPr="00A12662">
              <w:rPr>
                <w:rFonts w:ascii="Times New Roman" w:eastAsia="Times New Roman" w:hAnsi="Times New Roman" w:cs="Times New Roman"/>
                <w:sz w:val="24"/>
                <w:szCs w:val="24"/>
                <w:lang w:eastAsia="ru-RU"/>
              </w:rPr>
              <w:lastRenderedPageBreak/>
              <w:t>контроля (например, положении (политики) Общества в области управления рисками и внутреннего контроля);</w:t>
            </w:r>
          </w:p>
          <w:p w:rsidR="004568B4" w:rsidRPr="00A12662" w:rsidRDefault="004568B4" w:rsidP="004568B4">
            <w:pPr>
              <w:tabs>
                <w:tab w:val="left" w:pos="0"/>
                <w:tab w:val="left" w:pos="851"/>
              </w:tabs>
              <w:spacing w:after="0" w:line="240" w:lineRule="auto"/>
              <w:ind w:firstLine="175"/>
              <w:jc w:val="both"/>
              <w:rPr>
                <w:rFonts w:ascii="Times New Roman" w:eastAsia="Times New Roman" w:hAnsi="Times New Roman" w:cs="Times New Roman"/>
                <w:sz w:val="24"/>
                <w:szCs w:val="24"/>
                <w:lang w:eastAsia="ru-RU"/>
              </w:rPr>
            </w:pPr>
            <w:r w:rsidRPr="00A12662">
              <w:rPr>
                <w:rFonts w:ascii="Times New Roman" w:eastAsia="Times New Roman" w:hAnsi="Times New Roman" w:cs="Times New Roman"/>
                <w:sz w:val="24"/>
                <w:szCs w:val="24"/>
                <w:lang w:eastAsia="ru-RU"/>
              </w:rPr>
              <w:t>- определения состава участников СУРиВК, их ответственности, порядка доступа участников СУРиВК к документам, информационным ресурсам и иной информации о деятельности кредитной организации, а также порядка взаимодействия всех участников СУРиВК;</w:t>
            </w:r>
          </w:p>
          <w:p w:rsidR="004568B4" w:rsidRPr="00A12662" w:rsidRDefault="004568B4" w:rsidP="004568B4">
            <w:pPr>
              <w:tabs>
                <w:tab w:val="left" w:pos="0"/>
                <w:tab w:val="left" w:pos="851"/>
              </w:tabs>
              <w:spacing w:after="0" w:line="240" w:lineRule="auto"/>
              <w:ind w:firstLine="175"/>
              <w:jc w:val="both"/>
              <w:rPr>
                <w:rFonts w:ascii="Times New Roman" w:eastAsia="Times New Roman" w:hAnsi="Times New Roman" w:cs="Times New Roman"/>
                <w:sz w:val="24"/>
                <w:szCs w:val="24"/>
                <w:lang w:eastAsia="ru-RU"/>
              </w:rPr>
            </w:pPr>
            <w:r w:rsidRPr="00A12662">
              <w:rPr>
                <w:rFonts w:ascii="Times New Roman" w:eastAsia="Times New Roman" w:hAnsi="Times New Roman" w:cs="Times New Roman"/>
                <w:sz w:val="24"/>
                <w:szCs w:val="24"/>
                <w:lang w:eastAsia="ru-RU"/>
              </w:rPr>
              <w:t>- определения понятий и принципов формирования риск-культуры и контрольной среды;</w:t>
            </w:r>
          </w:p>
          <w:p w:rsidR="004568B4" w:rsidRPr="00A12662" w:rsidRDefault="004568B4" w:rsidP="004568B4">
            <w:pPr>
              <w:tabs>
                <w:tab w:val="left" w:pos="0"/>
                <w:tab w:val="left" w:pos="851"/>
              </w:tabs>
              <w:spacing w:after="0" w:line="240" w:lineRule="auto"/>
              <w:ind w:firstLine="175"/>
              <w:jc w:val="both"/>
              <w:rPr>
                <w:rFonts w:ascii="Times New Roman" w:eastAsia="Times New Roman" w:hAnsi="Times New Roman" w:cs="Times New Roman"/>
                <w:sz w:val="24"/>
                <w:szCs w:val="24"/>
                <w:lang w:eastAsia="ru-RU"/>
              </w:rPr>
            </w:pPr>
            <w:r w:rsidRPr="00A12662">
              <w:rPr>
                <w:rFonts w:ascii="Times New Roman" w:eastAsia="Times New Roman" w:hAnsi="Times New Roman" w:cs="Times New Roman"/>
                <w:sz w:val="24"/>
                <w:szCs w:val="24"/>
                <w:lang w:eastAsia="ru-RU"/>
              </w:rPr>
              <w:t>- интеграции управления рисками и внутреннего контроля в деятельность кредитной организации;</w:t>
            </w:r>
          </w:p>
          <w:p w:rsidR="004568B4" w:rsidRPr="00A12662" w:rsidRDefault="004568B4" w:rsidP="004568B4">
            <w:pPr>
              <w:tabs>
                <w:tab w:val="left" w:pos="0"/>
                <w:tab w:val="left" w:pos="851"/>
              </w:tabs>
              <w:spacing w:after="0" w:line="240" w:lineRule="auto"/>
              <w:ind w:firstLine="175"/>
              <w:jc w:val="both"/>
              <w:rPr>
                <w:rFonts w:ascii="Times New Roman" w:eastAsia="Times New Roman" w:hAnsi="Times New Roman" w:cs="Times New Roman"/>
                <w:sz w:val="24"/>
                <w:szCs w:val="24"/>
                <w:lang w:eastAsia="ru-RU"/>
              </w:rPr>
            </w:pPr>
            <w:r w:rsidRPr="00A12662">
              <w:rPr>
                <w:rFonts w:ascii="Times New Roman" w:eastAsia="Times New Roman" w:hAnsi="Times New Roman" w:cs="Times New Roman"/>
                <w:sz w:val="24"/>
                <w:szCs w:val="24"/>
                <w:lang w:eastAsia="ru-RU"/>
              </w:rPr>
              <w:t>- проведения внешней оценке эффективности управления рисками и внутреннего контроля кредитной организации внешним экспертом;</w:t>
            </w:r>
          </w:p>
          <w:p w:rsidR="004568B4" w:rsidRPr="00D923F3" w:rsidRDefault="004568B4" w:rsidP="004568B4">
            <w:pPr>
              <w:tabs>
                <w:tab w:val="left" w:pos="0"/>
                <w:tab w:val="left" w:pos="851"/>
              </w:tabs>
              <w:spacing w:after="0" w:line="240" w:lineRule="auto"/>
              <w:ind w:firstLine="175"/>
              <w:jc w:val="both"/>
              <w:rPr>
                <w:rFonts w:ascii="Times New Roman" w:eastAsia="Calibri" w:hAnsi="Times New Roman" w:cs="Times New Roman"/>
                <w:sz w:val="24"/>
                <w:szCs w:val="24"/>
                <w:lang w:bidi="ru-RU"/>
              </w:rPr>
            </w:pPr>
            <w:r w:rsidRPr="00A12662">
              <w:rPr>
                <w:rFonts w:ascii="Times New Roman" w:eastAsia="Times New Roman" w:hAnsi="Times New Roman" w:cs="Times New Roman"/>
                <w:sz w:val="24"/>
                <w:szCs w:val="24"/>
                <w:lang w:eastAsia="ru-RU"/>
              </w:rPr>
              <w:t>- подходов к проведению внутреннего аудита и т.д.</w:t>
            </w:r>
          </w:p>
        </w:tc>
        <w:tc>
          <w:tcPr>
            <w:tcW w:w="7950" w:type="dxa"/>
          </w:tcPr>
          <w:p w:rsidR="004568B4" w:rsidRPr="002E75C8" w:rsidRDefault="004568B4" w:rsidP="004568B4">
            <w:pPr>
              <w:spacing w:after="0" w:line="240" w:lineRule="auto"/>
              <w:ind w:firstLine="187"/>
              <w:jc w:val="both"/>
              <w:rPr>
                <w:rFonts w:ascii="Times New Roman" w:hAnsi="Times New Roman" w:cs="Times New Roman"/>
                <w:i/>
                <w:iCs/>
                <w:sz w:val="24"/>
                <w:szCs w:val="24"/>
              </w:rPr>
            </w:pPr>
            <w:r w:rsidRPr="002E75C8">
              <w:rPr>
                <w:rFonts w:ascii="Times New Roman" w:hAnsi="Times New Roman" w:cs="Times New Roman"/>
                <w:i/>
                <w:iCs/>
                <w:sz w:val="24"/>
                <w:szCs w:val="24"/>
              </w:rPr>
              <w:lastRenderedPageBreak/>
              <w:t>Об организации внутреннего контроля</w:t>
            </w:r>
          </w:p>
          <w:p w:rsidR="004568B4" w:rsidRPr="002E75C8" w:rsidRDefault="004568B4" w:rsidP="004568B4">
            <w:pPr>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t>Федеральный закон «О банках и банковской деятельности», Положение № 242-П устанавливают требования к организации внутреннего контроля в кредитных организациях и банковских группах и, в частности, предусматривают:</w:t>
            </w:r>
          </w:p>
          <w:p w:rsidR="004568B4" w:rsidRPr="002E75C8" w:rsidRDefault="004568B4" w:rsidP="004568B4">
            <w:pPr>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t>реализацию «модели трех линий защиты»</w:t>
            </w:r>
            <w:r w:rsidR="00262756">
              <w:rPr>
                <w:rStyle w:val="a6"/>
                <w:rFonts w:ascii="Times New Roman" w:hAnsi="Times New Roman" w:cs="Times New Roman"/>
                <w:sz w:val="24"/>
                <w:szCs w:val="24"/>
              </w:rPr>
              <w:footnoteReference w:id="7"/>
            </w:r>
            <w:r w:rsidRPr="002E75C8">
              <w:rPr>
                <w:rFonts w:ascii="Times New Roman" w:hAnsi="Times New Roman" w:cs="Times New Roman"/>
                <w:sz w:val="24"/>
                <w:szCs w:val="24"/>
              </w:rPr>
              <w:t>;</w:t>
            </w:r>
          </w:p>
          <w:p w:rsidR="004568B4" w:rsidRPr="002E75C8" w:rsidRDefault="004568B4" w:rsidP="004568B4">
            <w:pPr>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lastRenderedPageBreak/>
              <w:t>рекомендации по осуществлению контроля со стороны органов управления за организацией деятельности кредитной организации</w:t>
            </w:r>
            <w:r w:rsidR="00262756">
              <w:rPr>
                <w:rStyle w:val="a6"/>
                <w:rFonts w:ascii="Times New Roman" w:hAnsi="Times New Roman" w:cs="Times New Roman"/>
                <w:sz w:val="24"/>
                <w:szCs w:val="24"/>
              </w:rPr>
              <w:footnoteReference w:id="8"/>
            </w:r>
            <w:r w:rsidRPr="002E75C8">
              <w:rPr>
                <w:rFonts w:ascii="Times New Roman" w:hAnsi="Times New Roman" w:cs="Times New Roman"/>
                <w:sz w:val="24"/>
                <w:szCs w:val="24"/>
              </w:rPr>
              <w:t>, включающие в том числе отнесение к компетенции исполнительных органов реализации стратегии и политики кредитной организации в отношении организации и осуществления внутреннего контроля (что предусматривает на нормативном уровне принятие в кредитной организации соответствующих верхнеуровневых документов, определение содержания которых осуществляется кредитной организацией в самостоятельном порядке с учетом подходов к организации внутреннего контроля в кредитных организациях);</w:t>
            </w:r>
          </w:p>
          <w:p w:rsidR="004568B4" w:rsidRPr="002E75C8" w:rsidRDefault="004568B4" w:rsidP="004568B4">
            <w:pPr>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t>требования к внутренним документам кредитной организации, регулирующим деятельность СВА и СВК</w:t>
            </w:r>
            <w:r w:rsidR="00262756">
              <w:rPr>
                <w:rStyle w:val="a6"/>
                <w:rFonts w:ascii="Times New Roman" w:hAnsi="Times New Roman" w:cs="Times New Roman"/>
                <w:sz w:val="24"/>
                <w:szCs w:val="24"/>
              </w:rPr>
              <w:footnoteReference w:id="9"/>
            </w:r>
            <w:r w:rsidRPr="002E75C8">
              <w:rPr>
                <w:rFonts w:ascii="Times New Roman" w:hAnsi="Times New Roman" w:cs="Times New Roman"/>
                <w:sz w:val="24"/>
                <w:szCs w:val="24"/>
              </w:rPr>
              <w:t>;</w:t>
            </w:r>
          </w:p>
          <w:p w:rsidR="004568B4" w:rsidRPr="002E75C8" w:rsidRDefault="004568B4" w:rsidP="004568B4">
            <w:pPr>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lastRenderedPageBreak/>
              <w:t>требования к системе органов внутреннего контроля и порядку их взаимодействия, функциям и составу СВА и СВК, порядку доступа руководителей и служащих СВА и СВК к информации, необходимой им для исполнения своих обязанностей</w:t>
            </w:r>
            <w:r w:rsidR="00262756">
              <w:rPr>
                <w:rStyle w:val="a6"/>
                <w:rFonts w:ascii="Times New Roman" w:hAnsi="Times New Roman" w:cs="Times New Roman"/>
                <w:sz w:val="24"/>
                <w:szCs w:val="24"/>
              </w:rPr>
              <w:footnoteReference w:id="10"/>
            </w:r>
            <w:r w:rsidRPr="002E75C8">
              <w:rPr>
                <w:rFonts w:ascii="Times New Roman" w:hAnsi="Times New Roman" w:cs="Times New Roman"/>
                <w:sz w:val="24"/>
                <w:szCs w:val="24"/>
              </w:rPr>
              <w:t>;</w:t>
            </w:r>
          </w:p>
          <w:p w:rsidR="004568B4" w:rsidRPr="002E75C8" w:rsidRDefault="004568B4" w:rsidP="004568B4">
            <w:pPr>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t>требования к аудиторскому заключению о годовой бухгалтерской (финансовой) отчетности кредитной организации, годовой консолидированной финансовой отчетности банковской группы в части результатов проверки соответствия внутреннего контроля и организации систем управления рисками кредитной организации, банковской группы требованиям, предъявляемым Банком России</w:t>
            </w:r>
            <w:r w:rsidR="00262756">
              <w:rPr>
                <w:rStyle w:val="a6"/>
                <w:rFonts w:ascii="Times New Roman" w:hAnsi="Times New Roman" w:cs="Times New Roman"/>
                <w:sz w:val="24"/>
                <w:szCs w:val="24"/>
              </w:rPr>
              <w:footnoteReference w:id="11"/>
            </w:r>
            <w:r w:rsidRPr="002E75C8">
              <w:rPr>
                <w:rFonts w:ascii="Times New Roman" w:hAnsi="Times New Roman" w:cs="Times New Roman"/>
                <w:sz w:val="24"/>
                <w:szCs w:val="24"/>
              </w:rPr>
              <w:t>;</w:t>
            </w:r>
          </w:p>
          <w:p w:rsidR="004568B4" w:rsidRPr="002E75C8" w:rsidRDefault="004568B4" w:rsidP="004568B4">
            <w:pPr>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t>требования и рекомендации к осуществлению внутреннего аудита в кредитных организациях</w:t>
            </w:r>
            <w:r w:rsidR="00262756">
              <w:rPr>
                <w:rStyle w:val="a6"/>
                <w:rFonts w:ascii="Times New Roman" w:hAnsi="Times New Roman" w:cs="Times New Roman"/>
                <w:sz w:val="24"/>
                <w:szCs w:val="24"/>
              </w:rPr>
              <w:footnoteReference w:id="12"/>
            </w:r>
            <w:r w:rsidRPr="002E75C8">
              <w:rPr>
                <w:rFonts w:ascii="Times New Roman" w:hAnsi="Times New Roman" w:cs="Times New Roman"/>
                <w:sz w:val="24"/>
                <w:szCs w:val="24"/>
              </w:rPr>
              <w:t>.</w:t>
            </w:r>
          </w:p>
          <w:p w:rsidR="004568B4" w:rsidRPr="002E75C8" w:rsidRDefault="004568B4" w:rsidP="004568B4">
            <w:pPr>
              <w:autoSpaceDE w:val="0"/>
              <w:autoSpaceDN w:val="0"/>
              <w:spacing w:after="0" w:line="240" w:lineRule="auto"/>
              <w:ind w:firstLine="187"/>
              <w:jc w:val="both"/>
              <w:rPr>
                <w:rFonts w:ascii="Times New Roman" w:hAnsi="Times New Roman" w:cs="Times New Roman"/>
                <w:sz w:val="24"/>
                <w:szCs w:val="24"/>
              </w:rPr>
            </w:pPr>
          </w:p>
          <w:p w:rsidR="004568B4" w:rsidRPr="002E75C8" w:rsidRDefault="004568B4" w:rsidP="004568B4">
            <w:pPr>
              <w:autoSpaceDE w:val="0"/>
              <w:autoSpaceDN w:val="0"/>
              <w:spacing w:after="0" w:line="240" w:lineRule="auto"/>
              <w:ind w:firstLine="187"/>
              <w:jc w:val="both"/>
              <w:rPr>
                <w:rFonts w:ascii="Times New Roman" w:hAnsi="Times New Roman" w:cs="Times New Roman"/>
                <w:i/>
                <w:iCs/>
                <w:sz w:val="24"/>
                <w:szCs w:val="24"/>
              </w:rPr>
            </w:pPr>
            <w:r w:rsidRPr="002E75C8">
              <w:rPr>
                <w:rFonts w:ascii="Times New Roman" w:hAnsi="Times New Roman" w:cs="Times New Roman"/>
                <w:i/>
                <w:iCs/>
                <w:sz w:val="24"/>
                <w:szCs w:val="24"/>
              </w:rPr>
              <w:t>О выстраивании системы управления рисками</w:t>
            </w:r>
          </w:p>
          <w:p w:rsidR="004568B4" w:rsidRPr="002E75C8" w:rsidRDefault="004568B4" w:rsidP="004568B4">
            <w:pPr>
              <w:autoSpaceDE w:val="0"/>
              <w:autoSpaceDN w:val="0"/>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t xml:space="preserve">В соответствии с Указанием № 3624-У кредитная организация (головная кредитная организация банковской группы) создает систему управления рисками и капиталом путем реализации внутренних процедур оценки достаточности </w:t>
            </w:r>
            <w:r w:rsidR="00A57B04">
              <w:rPr>
                <w:rFonts w:ascii="Times New Roman" w:hAnsi="Times New Roman" w:cs="Times New Roman"/>
                <w:sz w:val="24"/>
                <w:szCs w:val="24"/>
              </w:rPr>
              <w:t>капитала (далее – ВПОДК). Совет</w:t>
            </w:r>
            <w:r w:rsidRPr="002E75C8">
              <w:rPr>
                <w:rFonts w:ascii="Times New Roman" w:hAnsi="Times New Roman" w:cs="Times New Roman"/>
                <w:sz w:val="24"/>
                <w:szCs w:val="24"/>
              </w:rPr>
              <w:t xml:space="preserve"> директоров </w:t>
            </w:r>
            <w:r w:rsidRPr="002E75C8">
              <w:rPr>
                <w:rFonts w:ascii="Times New Roman" w:hAnsi="Times New Roman" w:cs="Times New Roman"/>
                <w:sz w:val="24"/>
                <w:szCs w:val="24"/>
              </w:rPr>
              <w:lastRenderedPageBreak/>
              <w:t xml:space="preserve">(наблюдательный совет) кредитной организации (головной кредитной организации банковской группы, дочерней кредитной организации) утверждает стратегию управления рисками и капиталом кредитной организации (банковской группы, дочерней кредитной организации), которая является верхнеуровневым документом </w:t>
            </w:r>
            <w:r w:rsidRPr="002E75C8">
              <w:rPr>
                <w:rFonts w:ascii="Times New Roman" w:hAnsi="Times New Roman" w:cs="Times New Roman"/>
                <w:sz w:val="24"/>
                <w:szCs w:val="24"/>
                <w:lang w:eastAsia="ru-RU"/>
              </w:rPr>
              <w:t>в области управления рисками</w:t>
            </w:r>
            <w:r w:rsidRPr="002E75C8">
              <w:rPr>
                <w:rFonts w:ascii="Times New Roman" w:hAnsi="Times New Roman" w:cs="Times New Roman"/>
                <w:sz w:val="24"/>
                <w:szCs w:val="24"/>
              </w:rPr>
              <w:t>.</w:t>
            </w:r>
          </w:p>
          <w:p w:rsidR="004568B4" w:rsidRPr="002E75C8" w:rsidRDefault="004568B4" w:rsidP="004568B4">
            <w:pPr>
              <w:autoSpaceDE w:val="0"/>
              <w:autoSpaceDN w:val="0"/>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t>В со</w:t>
            </w:r>
            <w:r>
              <w:rPr>
                <w:rFonts w:ascii="Times New Roman" w:hAnsi="Times New Roman" w:cs="Times New Roman"/>
                <w:sz w:val="24"/>
                <w:szCs w:val="24"/>
              </w:rPr>
              <w:t xml:space="preserve">ответствии с Указанием № 3624-У </w:t>
            </w:r>
            <w:r w:rsidRPr="002E75C8">
              <w:rPr>
                <w:rFonts w:ascii="Times New Roman" w:hAnsi="Times New Roman" w:cs="Times New Roman"/>
                <w:sz w:val="24"/>
                <w:szCs w:val="24"/>
              </w:rPr>
              <w:t xml:space="preserve">система управления рисками и капиталом и ВПОДК должны быть интегрированы в бизнес-процессы банка и использоваться в планировании, исходя в том числе из ориентиров развития бизнеса, предусмотренных стратегией развития кредитной организации. </w:t>
            </w:r>
          </w:p>
          <w:p w:rsidR="004568B4" w:rsidRPr="002E75C8" w:rsidRDefault="004568B4" w:rsidP="004568B4">
            <w:pPr>
              <w:autoSpaceDE w:val="0"/>
              <w:autoSpaceDN w:val="0"/>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t xml:space="preserve">Реализация требований Указания № 3624-У призвана обеспечить формирование в банке, банковской группе риск-культуры, позволяющей предвосхищать и оперативно реагировать на значимые в её деятельности риски, и тем самым поддерживать её финансовую устойчивость. </w:t>
            </w:r>
          </w:p>
          <w:p w:rsidR="004568B4" w:rsidRPr="002E75C8" w:rsidRDefault="004568B4" w:rsidP="004568B4">
            <w:pPr>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t>Действующая редакция Указания № 3624-У устанавливает общие требования к обеспечению организационной независимости подразделений, осуществляющих функции, связанные с управлением рисками, от подразделений, осуществляющих операции (сделки), связанные с принятием рисков, а также определяет перечень и состав документов, которые должны быть разработаны кредитной организацией (головной кредитной организацией) в рамках внутренних процедур оценки достаточности капитала.</w:t>
            </w:r>
          </w:p>
          <w:p w:rsidR="004568B4" w:rsidRPr="002E75C8" w:rsidRDefault="004568B4" w:rsidP="004568B4">
            <w:pPr>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t>Кредитные организации в соответствии со статьей 11</w:t>
            </w:r>
            <w:r w:rsidRPr="002E75C8">
              <w:rPr>
                <w:rFonts w:ascii="Times New Roman" w:hAnsi="Times New Roman" w:cs="Times New Roman"/>
                <w:sz w:val="24"/>
                <w:szCs w:val="24"/>
                <w:vertAlign w:val="superscript"/>
              </w:rPr>
              <w:t>1-2</w:t>
            </w:r>
            <w:r w:rsidRPr="002E75C8">
              <w:rPr>
                <w:rFonts w:ascii="Times New Roman" w:hAnsi="Times New Roman" w:cs="Times New Roman"/>
                <w:sz w:val="24"/>
                <w:szCs w:val="24"/>
              </w:rPr>
              <w:t xml:space="preserve"> Федерального закона «О банках и банковской деятельности» при организации системы управления рисками и капиталом и системы внутреннего контроля обязаны соблюдать в том числе указанные требования Банка России, а также вправе учитывать рекомендации, изложенные в информационном письме Банка России от 01.10.2020 № ИН-06-28/143, в части, не </w:t>
            </w:r>
            <w:r w:rsidRPr="002E75C8">
              <w:rPr>
                <w:rFonts w:ascii="Times New Roman" w:hAnsi="Times New Roman" w:cs="Times New Roman"/>
                <w:sz w:val="24"/>
                <w:szCs w:val="24"/>
              </w:rPr>
              <w:lastRenderedPageBreak/>
              <w:t>противоречащей требованиям законодательства Российской Федерации, регулирующим деятельность кредитных организаций</w:t>
            </w:r>
            <w:r w:rsidR="00262756">
              <w:rPr>
                <w:rStyle w:val="a6"/>
                <w:rFonts w:ascii="Times New Roman" w:hAnsi="Times New Roman" w:cs="Times New Roman"/>
                <w:sz w:val="24"/>
                <w:szCs w:val="24"/>
              </w:rPr>
              <w:footnoteReference w:id="13"/>
            </w:r>
            <w:r w:rsidRPr="002E75C8">
              <w:rPr>
                <w:rFonts w:ascii="Times New Roman" w:hAnsi="Times New Roman" w:cs="Times New Roman"/>
                <w:sz w:val="24"/>
                <w:szCs w:val="24"/>
              </w:rPr>
              <w:t>.</w:t>
            </w:r>
          </w:p>
          <w:p w:rsidR="004568B4" w:rsidRPr="002E75C8" w:rsidRDefault="004568B4" w:rsidP="004568B4">
            <w:pPr>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t>В частности, обращаем внимание, что с учетом статьи 11</w:t>
            </w:r>
            <w:r w:rsidRPr="002E75C8">
              <w:rPr>
                <w:rFonts w:ascii="Times New Roman" w:hAnsi="Times New Roman" w:cs="Times New Roman"/>
                <w:sz w:val="24"/>
                <w:szCs w:val="24"/>
                <w:vertAlign w:val="superscript"/>
              </w:rPr>
              <w:t>1-2</w:t>
            </w:r>
            <w:r w:rsidRPr="002E75C8">
              <w:rPr>
                <w:rFonts w:ascii="Times New Roman" w:hAnsi="Times New Roman" w:cs="Times New Roman"/>
                <w:sz w:val="24"/>
                <w:szCs w:val="24"/>
              </w:rPr>
              <w:t xml:space="preserve"> Федерального закона «О банках и банковской деятельности», в соответствии с которой кредитная организация обязана создать систему управления рисками и капиталом и систему внутреннего контроля в соответствии с требованиями Банка России, информационное письмо в части рекомендаций по созданию единой системы управления рисками и внутреннего контроля к кредитным организациям не может применяться.</w:t>
            </w:r>
          </w:p>
          <w:p w:rsidR="004568B4" w:rsidRPr="00D923F3" w:rsidRDefault="004568B4" w:rsidP="004568B4">
            <w:pPr>
              <w:spacing w:after="0" w:line="240" w:lineRule="auto"/>
              <w:ind w:firstLine="187"/>
              <w:jc w:val="both"/>
              <w:rPr>
                <w:rFonts w:ascii="Times New Roman" w:hAnsi="Times New Roman" w:cs="Times New Roman"/>
                <w:sz w:val="24"/>
                <w:szCs w:val="24"/>
              </w:rPr>
            </w:pPr>
            <w:r w:rsidRPr="002E75C8">
              <w:rPr>
                <w:rFonts w:ascii="Times New Roman" w:hAnsi="Times New Roman" w:cs="Times New Roman"/>
                <w:sz w:val="24"/>
                <w:szCs w:val="24"/>
              </w:rPr>
              <w:t>С учетом изложенного внесение соответствующих изменений в Положение № 242-П и Указание 3624-У Банком России не планируется.</w:t>
            </w:r>
            <w:r>
              <w:rPr>
                <w:rFonts w:ascii="Times New Roman" w:eastAsia="Times New Roman" w:hAnsi="Times New Roman" w:cs="Times New Roman"/>
                <w:sz w:val="24"/>
                <w:szCs w:val="24"/>
                <w:lang w:eastAsia="ru-RU"/>
              </w:rPr>
              <w:t xml:space="preserve"> </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6412" w:type="dxa"/>
          </w:tcPr>
          <w:p w:rsidR="004568B4" w:rsidRPr="00A12662" w:rsidRDefault="004568B4" w:rsidP="004568B4">
            <w:pPr>
              <w:tabs>
                <w:tab w:val="left" w:pos="993"/>
              </w:tabs>
              <w:spacing w:after="0" w:line="240" w:lineRule="auto"/>
              <w:ind w:firstLine="175"/>
              <w:contextualSpacing/>
              <w:jc w:val="both"/>
              <w:rPr>
                <w:rFonts w:ascii="Times New Roman" w:eastAsia="Times New Roman" w:hAnsi="Times New Roman" w:cs="Times New Roman"/>
                <w:sz w:val="24"/>
                <w:szCs w:val="24"/>
                <w:lang w:eastAsia="ru-RU"/>
              </w:rPr>
            </w:pPr>
            <w:r w:rsidRPr="00A12662">
              <w:rPr>
                <w:rFonts w:ascii="Times New Roman" w:eastAsia="Times New Roman" w:hAnsi="Times New Roman" w:cs="Times New Roman"/>
                <w:sz w:val="24"/>
                <w:szCs w:val="24"/>
                <w:lang w:eastAsia="ru-RU"/>
              </w:rPr>
              <w:t xml:space="preserve">Правомерно ли возложение на подразделения СВК обязанностей, прямо не предусмотренных Положением </w:t>
            </w:r>
            <w:r w:rsidR="00A57B04">
              <w:rPr>
                <w:rFonts w:ascii="Times New Roman" w:eastAsia="Times New Roman" w:hAnsi="Times New Roman" w:cs="Times New Roman"/>
                <w:sz w:val="24"/>
                <w:szCs w:val="24"/>
                <w:lang w:eastAsia="ru-RU"/>
              </w:rPr>
              <w:br/>
            </w:r>
            <w:r w:rsidRPr="00A12662">
              <w:rPr>
                <w:rFonts w:ascii="Times New Roman" w:eastAsia="Times New Roman" w:hAnsi="Times New Roman" w:cs="Times New Roman"/>
                <w:sz w:val="24"/>
                <w:szCs w:val="24"/>
                <w:lang w:eastAsia="ru-RU"/>
              </w:rPr>
              <w:t>№ 242-П, например:</w:t>
            </w:r>
          </w:p>
          <w:p w:rsidR="004568B4" w:rsidRPr="00A12662" w:rsidRDefault="004568B4" w:rsidP="004568B4">
            <w:pPr>
              <w:spacing w:after="0" w:line="240" w:lineRule="auto"/>
              <w:ind w:firstLine="175"/>
              <w:jc w:val="both"/>
              <w:rPr>
                <w:rFonts w:ascii="Times New Roman" w:eastAsia="Times New Roman" w:hAnsi="Times New Roman" w:cs="Times New Roman"/>
                <w:sz w:val="24"/>
                <w:szCs w:val="24"/>
                <w:lang w:eastAsia="ru-RU"/>
              </w:rPr>
            </w:pPr>
            <w:r w:rsidRPr="00A12662">
              <w:rPr>
                <w:rFonts w:ascii="Times New Roman" w:eastAsia="Times New Roman" w:hAnsi="Times New Roman" w:cs="Times New Roman"/>
                <w:sz w:val="24"/>
                <w:szCs w:val="24"/>
                <w:lang w:eastAsia="ru-RU"/>
              </w:rPr>
              <w:t>- допустимо ли обязывать сотрудников СВК, курирующих комплаенс-риски, проводить проверки различных структурных подразделений банка, особенно, если они не связаны с управлением регуляторным риском, то есть выполнять обязанности, возложенные на СВА;</w:t>
            </w:r>
          </w:p>
          <w:p w:rsidR="004568B4" w:rsidRPr="00D923F3" w:rsidRDefault="004568B4" w:rsidP="004568B4">
            <w:pPr>
              <w:spacing w:after="0" w:line="240" w:lineRule="auto"/>
              <w:ind w:firstLine="175"/>
              <w:jc w:val="both"/>
              <w:rPr>
                <w:rFonts w:ascii="Times New Roman" w:eastAsia="Calibri" w:hAnsi="Times New Roman" w:cs="Times New Roman"/>
                <w:sz w:val="24"/>
                <w:szCs w:val="24"/>
                <w:lang w:bidi="ru-RU"/>
              </w:rPr>
            </w:pPr>
            <w:r w:rsidRPr="00A12662">
              <w:rPr>
                <w:rFonts w:ascii="Times New Roman" w:eastAsia="Times New Roman" w:hAnsi="Times New Roman" w:cs="Times New Roman"/>
                <w:sz w:val="24"/>
                <w:szCs w:val="24"/>
                <w:lang w:eastAsia="ru-RU"/>
              </w:rPr>
              <w:t xml:space="preserve">- требуется ли ведение по банку единого журнала всех рисков, либо достаточно ведения регистров каждым </w:t>
            </w:r>
            <w:r w:rsidRPr="00A12662">
              <w:rPr>
                <w:rFonts w:ascii="Times New Roman" w:eastAsia="Times New Roman" w:hAnsi="Times New Roman" w:cs="Times New Roman"/>
                <w:sz w:val="24"/>
                <w:szCs w:val="24"/>
                <w:lang w:eastAsia="ru-RU"/>
              </w:rPr>
              <w:lastRenderedPageBreak/>
              <w:t>ответственным подразделением, управляющим тем или иным видом риска?</w:t>
            </w:r>
          </w:p>
        </w:tc>
        <w:tc>
          <w:tcPr>
            <w:tcW w:w="7950" w:type="dxa"/>
          </w:tcPr>
          <w:p w:rsidR="004568B4" w:rsidRDefault="004568B4" w:rsidP="004568B4">
            <w:pPr>
              <w:spacing w:after="0" w:line="240" w:lineRule="auto"/>
              <w:ind w:firstLine="18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 вопросу о функционале СВК. </w:t>
            </w:r>
          </w:p>
          <w:p w:rsidR="004568B4" w:rsidRPr="007B28F6" w:rsidRDefault="004568B4" w:rsidP="004568B4">
            <w:pPr>
              <w:spacing w:after="0" w:line="240" w:lineRule="auto"/>
              <w:ind w:firstLine="187"/>
              <w:jc w:val="both"/>
              <w:rPr>
                <w:rFonts w:ascii="Times New Roman" w:eastAsia="Calibri" w:hAnsi="Times New Roman" w:cs="Times New Roman"/>
                <w:sz w:val="24"/>
                <w:szCs w:val="24"/>
              </w:rPr>
            </w:pPr>
            <w:r w:rsidRPr="007B28F6">
              <w:rPr>
                <w:rFonts w:ascii="Times New Roman" w:eastAsia="Calibri" w:hAnsi="Times New Roman" w:cs="Times New Roman"/>
                <w:sz w:val="24"/>
                <w:szCs w:val="24"/>
              </w:rPr>
              <w:lastRenderedPageBreak/>
              <w:t>С учетом пункта 4</w:t>
            </w:r>
            <w:r w:rsidRPr="007B28F6">
              <w:rPr>
                <w:rFonts w:ascii="Times New Roman" w:eastAsia="Calibri" w:hAnsi="Times New Roman" w:cs="Times New Roman"/>
                <w:sz w:val="24"/>
                <w:szCs w:val="24"/>
                <w:vertAlign w:val="superscript"/>
              </w:rPr>
              <w:t>1</w:t>
            </w:r>
            <w:r w:rsidRPr="007B28F6">
              <w:rPr>
                <w:rFonts w:ascii="Times New Roman" w:eastAsia="Calibri" w:hAnsi="Times New Roman" w:cs="Times New Roman"/>
                <w:sz w:val="24"/>
                <w:szCs w:val="24"/>
              </w:rPr>
              <w:t>.1 Положения № 242-П</w:t>
            </w:r>
            <w:r w:rsidRPr="007B28F6">
              <w:rPr>
                <w:rFonts w:ascii="Times New Roman" w:eastAsia="Calibri" w:hAnsi="Times New Roman" w:cs="Times New Roman"/>
                <w:sz w:val="24"/>
                <w:szCs w:val="24"/>
                <w:vertAlign w:val="superscript"/>
              </w:rPr>
              <w:footnoteReference w:id="14"/>
            </w:r>
            <w:r w:rsidRPr="007B28F6">
              <w:rPr>
                <w:rFonts w:ascii="Times New Roman" w:eastAsia="Calibri" w:hAnsi="Times New Roman" w:cs="Times New Roman"/>
                <w:sz w:val="24"/>
                <w:szCs w:val="24"/>
              </w:rPr>
              <w:t xml:space="preserve"> кредитная организация не вправе во внутренних документах устанавливать функции СВК, не связанные с управлением регуляторным риском. </w:t>
            </w:r>
          </w:p>
          <w:p w:rsidR="004568B4" w:rsidRPr="007B28F6" w:rsidRDefault="004568B4" w:rsidP="004568B4">
            <w:pPr>
              <w:spacing w:after="0" w:line="240" w:lineRule="auto"/>
              <w:ind w:firstLine="187"/>
              <w:jc w:val="both"/>
              <w:rPr>
                <w:rFonts w:ascii="Times New Roman" w:eastAsia="Calibri" w:hAnsi="Times New Roman" w:cs="Times New Roman"/>
                <w:sz w:val="24"/>
                <w:szCs w:val="24"/>
              </w:rPr>
            </w:pPr>
            <w:r w:rsidRPr="007B28F6">
              <w:rPr>
                <w:rFonts w:ascii="Times New Roman" w:eastAsia="Calibri" w:hAnsi="Times New Roman" w:cs="Times New Roman"/>
                <w:sz w:val="24"/>
                <w:szCs w:val="24"/>
              </w:rPr>
              <w:t>Поскольку в соответствии с пунктами 4.1.1, 4.1.8</w:t>
            </w:r>
            <w:r w:rsidR="00262756">
              <w:rPr>
                <w:rFonts w:ascii="Times New Roman" w:eastAsia="Calibri" w:hAnsi="Times New Roman" w:cs="Times New Roman"/>
                <w:sz w:val="24"/>
                <w:szCs w:val="24"/>
              </w:rPr>
              <w:t xml:space="preserve"> </w:t>
            </w:r>
            <w:r w:rsidRPr="007B28F6">
              <w:rPr>
                <w:rFonts w:ascii="Times New Roman" w:eastAsia="Calibri" w:hAnsi="Times New Roman" w:cs="Times New Roman"/>
                <w:sz w:val="24"/>
                <w:szCs w:val="24"/>
              </w:rPr>
              <w:t>Положения № 242-П СВА осуществляет проверку и оценку эффективности системы внутреннего контроля, а также деятельности СВК, возложение на СВК функций, отнесенных к функциям СВА, недопустимо.</w:t>
            </w:r>
          </w:p>
          <w:p w:rsidR="004568B4" w:rsidRDefault="004568B4" w:rsidP="004568B4">
            <w:pPr>
              <w:spacing w:after="0" w:line="240" w:lineRule="auto"/>
              <w:ind w:firstLine="187"/>
              <w:jc w:val="both"/>
              <w:rPr>
                <w:rFonts w:ascii="Times New Roman" w:eastAsia="Calibri" w:hAnsi="Times New Roman" w:cs="Times New Roman"/>
                <w:sz w:val="24"/>
                <w:szCs w:val="24"/>
              </w:rPr>
            </w:pPr>
            <w:r w:rsidRPr="007B28F6">
              <w:rPr>
                <w:rFonts w:ascii="Times New Roman" w:eastAsia="Calibri" w:hAnsi="Times New Roman" w:cs="Times New Roman"/>
                <w:sz w:val="24"/>
                <w:szCs w:val="24"/>
              </w:rPr>
              <w:t>Одновременно отмечаем, что осуществление СВК своих функций посредством проведения проверок является нехарактерным элементом ее деятельности. Вместе с тем, соответствующие методы осуществления СВК своих функций, если они связаны с управлением регуляторным риском, допускаются и не противоречат требованиям Положения № 242-П, и с учетом норм абзаца четвертого пункта 4</w:t>
            </w:r>
            <w:r w:rsidRPr="007B28F6">
              <w:rPr>
                <w:rFonts w:ascii="Times New Roman" w:eastAsia="Calibri" w:hAnsi="Times New Roman" w:cs="Times New Roman"/>
                <w:sz w:val="24"/>
                <w:szCs w:val="24"/>
                <w:vertAlign w:val="superscript"/>
              </w:rPr>
              <w:t>1</w:t>
            </w:r>
            <w:r w:rsidRPr="007B28F6">
              <w:rPr>
                <w:rFonts w:ascii="Times New Roman" w:eastAsia="Calibri" w:hAnsi="Times New Roman" w:cs="Times New Roman"/>
                <w:sz w:val="24"/>
                <w:szCs w:val="24"/>
              </w:rPr>
              <w:t>.2, пункта 4</w:t>
            </w:r>
            <w:r w:rsidRPr="007B28F6">
              <w:rPr>
                <w:rFonts w:ascii="Times New Roman" w:eastAsia="Calibri" w:hAnsi="Times New Roman" w:cs="Times New Roman"/>
                <w:sz w:val="24"/>
                <w:szCs w:val="24"/>
                <w:vertAlign w:val="superscript"/>
              </w:rPr>
              <w:t>1</w:t>
            </w:r>
            <w:r w:rsidRPr="007B28F6">
              <w:rPr>
                <w:rFonts w:ascii="Times New Roman" w:eastAsia="Calibri" w:hAnsi="Times New Roman" w:cs="Times New Roman"/>
                <w:sz w:val="24"/>
                <w:szCs w:val="24"/>
              </w:rPr>
              <w:t xml:space="preserve">.3 Положения </w:t>
            </w:r>
            <w:r w:rsidR="00123482">
              <w:rPr>
                <w:rFonts w:ascii="Times New Roman" w:eastAsia="Calibri" w:hAnsi="Times New Roman" w:cs="Times New Roman"/>
                <w:sz w:val="24"/>
                <w:szCs w:val="24"/>
              </w:rPr>
              <w:br/>
            </w:r>
            <w:r w:rsidRPr="007B28F6">
              <w:rPr>
                <w:rFonts w:ascii="Times New Roman" w:eastAsia="Calibri" w:hAnsi="Times New Roman" w:cs="Times New Roman"/>
                <w:sz w:val="24"/>
                <w:szCs w:val="24"/>
              </w:rPr>
              <w:t>№ 242-П определяются кредитной организацией самостоятельно во внутреннем документе, регулирующем деятельность СВК.</w:t>
            </w:r>
          </w:p>
          <w:p w:rsidR="004568B4" w:rsidRDefault="004568B4" w:rsidP="004568B4">
            <w:pPr>
              <w:spacing w:after="0" w:line="240" w:lineRule="auto"/>
              <w:ind w:firstLine="187"/>
              <w:jc w:val="both"/>
              <w:rPr>
                <w:rFonts w:ascii="Times New Roman" w:eastAsia="Calibri" w:hAnsi="Times New Roman" w:cs="Times New Roman"/>
                <w:sz w:val="24"/>
                <w:szCs w:val="24"/>
              </w:rPr>
            </w:pPr>
            <w:r>
              <w:rPr>
                <w:rFonts w:ascii="Times New Roman" w:eastAsia="Calibri" w:hAnsi="Times New Roman" w:cs="Times New Roman"/>
                <w:sz w:val="24"/>
                <w:szCs w:val="24"/>
              </w:rPr>
              <w:t>По вопросу об организации учета рисков.</w:t>
            </w:r>
          </w:p>
          <w:p w:rsidR="004568B4" w:rsidRDefault="004568B4" w:rsidP="004568B4">
            <w:pPr>
              <w:autoSpaceDE w:val="0"/>
              <w:autoSpaceDN w:val="0"/>
              <w:adjustRightInd w:val="0"/>
              <w:spacing w:after="0" w:line="240" w:lineRule="auto"/>
              <w:ind w:firstLine="18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Требования о ведении </w:t>
            </w:r>
            <w:r w:rsidRPr="00A12662">
              <w:rPr>
                <w:rFonts w:ascii="Times New Roman" w:eastAsia="Times New Roman" w:hAnsi="Times New Roman" w:cs="Times New Roman"/>
                <w:sz w:val="24"/>
                <w:szCs w:val="24"/>
                <w:lang w:eastAsia="ru-RU"/>
              </w:rPr>
              <w:t>единого журнала всех рисков</w:t>
            </w:r>
            <w:r>
              <w:rPr>
                <w:rFonts w:ascii="Times New Roman" w:eastAsia="Times New Roman" w:hAnsi="Times New Roman" w:cs="Times New Roman"/>
                <w:sz w:val="24"/>
                <w:szCs w:val="24"/>
                <w:lang w:eastAsia="ru-RU"/>
              </w:rPr>
              <w:t xml:space="preserve"> нет.</w:t>
            </w:r>
            <w:r>
              <w:rPr>
                <w:rFonts w:ascii="Times New Roman" w:eastAsia="Times New Roman" w:hAnsi="Times New Roman" w:cs="Times New Roman"/>
                <w:color w:val="000000"/>
                <w:sz w:val="24"/>
                <w:szCs w:val="24"/>
                <w:lang w:eastAsia="ru-RU"/>
              </w:rPr>
              <w:t xml:space="preserve"> </w:t>
            </w:r>
          </w:p>
          <w:p w:rsidR="004568B4" w:rsidRDefault="00123482" w:rsidP="004568B4">
            <w:pPr>
              <w:autoSpaceDE w:val="0"/>
              <w:autoSpaceDN w:val="0"/>
              <w:adjustRightInd w:val="0"/>
              <w:spacing w:after="0" w:line="240" w:lineRule="auto"/>
              <w:ind w:firstLine="18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Согласно пункту 4</w:t>
            </w:r>
            <w:r w:rsidR="004568B4" w:rsidRPr="00123482">
              <w:rPr>
                <w:rFonts w:ascii="Times New Roman" w:eastAsia="Times New Roman" w:hAnsi="Times New Roman" w:cs="Times New Roman"/>
                <w:color w:val="000000"/>
                <w:sz w:val="24"/>
                <w:szCs w:val="24"/>
                <w:vertAlign w:val="superscript"/>
                <w:lang w:eastAsia="ru-RU"/>
              </w:rPr>
              <w:t>1</w:t>
            </w:r>
            <w:r w:rsidR="004568B4">
              <w:rPr>
                <w:rFonts w:ascii="Times New Roman" w:eastAsia="Times New Roman" w:hAnsi="Times New Roman" w:cs="Times New Roman"/>
                <w:color w:val="000000"/>
                <w:sz w:val="24"/>
                <w:szCs w:val="24"/>
                <w:lang w:eastAsia="ru-RU"/>
              </w:rPr>
              <w:t xml:space="preserve">.1 Положения № 242-П СВК ведет </w:t>
            </w:r>
            <w:r w:rsidR="004568B4">
              <w:rPr>
                <w:rFonts w:ascii="Times New Roman" w:hAnsi="Times New Roman" w:cs="Times New Roman"/>
                <w:sz w:val="24"/>
                <w:szCs w:val="24"/>
              </w:rPr>
              <w:t xml:space="preserve">учет событий, связанных с регуляторным риском, определение вероятности их </w:t>
            </w:r>
            <w:r w:rsidR="004568B4">
              <w:rPr>
                <w:rFonts w:ascii="Times New Roman" w:hAnsi="Times New Roman" w:cs="Times New Roman"/>
                <w:sz w:val="24"/>
                <w:szCs w:val="24"/>
              </w:rPr>
              <w:lastRenderedPageBreak/>
              <w:t xml:space="preserve">возникновения и количественную оценку возможных последствий. Порядок осуществления учета определяется кредитной организацией. </w:t>
            </w:r>
          </w:p>
          <w:p w:rsidR="004568B4" w:rsidRDefault="004568B4" w:rsidP="004568B4">
            <w:pPr>
              <w:spacing w:after="0" w:line="240" w:lineRule="auto"/>
              <w:ind w:firstLine="18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соответствии с пункта</w:t>
            </w:r>
            <w:r w:rsidRPr="007B28F6">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и</w:t>
            </w:r>
            <w:r w:rsidRPr="007B28F6">
              <w:rPr>
                <w:rFonts w:ascii="Times New Roman" w:eastAsia="Times New Roman" w:hAnsi="Times New Roman" w:cs="Times New Roman"/>
                <w:color w:val="000000"/>
                <w:sz w:val="24"/>
                <w:szCs w:val="24"/>
                <w:lang w:eastAsia="ru-RU"/>
              </w:rPr>
              <w:t xml:space="preserve"> 6.9</w:t>
            </w:r>
            <w:r>
              <w:rPr>
                <w:rFonts w:ascii="Times New Roman" w:eastAsia="Times New Roman" w:hAnsi="Times New Roman" w:cs="Times New Roman"/>
                <w:color w:val="000000"/>
                <w:sz w:val="24"/>
                <w:szCs w:val="24"/>
                <w:lang w:eastAsia="ru-RU"/>
              </w:rPr>
              <w:t xml:space="preserve"> и 6.10</w:t>
            </w:r>
            <w:r w:rsidRPr="007B28F6">
              <w:rPr>
                <w:rFonts w:ascii="Times New Roman" w:eastAsia="Times New Roman" w:hAnsi="Times New Roman" w:cs="Times New Roman"/>
                <w:color w:val="000000"/>
                <w:sz w:val="24"/>
                <w:szCs w:val="24"/>
                <w:lang w:eastAsia="ru-RU"/>
              </w:rPr>
              <w:t xml:space="preserve"> Положения № 716-П</w:t>
            </w:r>
            <w:r w:rsidRPr="00744C37">
              <w:rPr>
                <w:rFonts w:ascii="Times New Roman" w:eastAsia="Calibri" w:hAnsi="Times New Roman" w:cs="Times New Roman"/>
                <w:sz w:val="24"/>
                <w:szCs w:val="24"/>
                <w:vertAlign w:val="superscript"/>
              </w:rPr>
              <w:footnoteReference w:id="15"/>
            </w:r>
            <w:r w:rsidRPr="007B28F6">
              <w:rPr>
                <w:rFonts w:ascii="Times New Roman" w:eastAsia="Times New Roman" w:hAnsi="Times New Roman" w:cs="Times New Roman"/>
                <w:color w:val="000000"/>
                <w:sz w:val="24"/>
                <w:szCs w:val="24"/>
                <w:lang w:eastAsia="ru-RU"/>
              </w:rPr>
              <w:t xml:space="preserve"> кредитная организация ведет учет потерь от реализации событий всех видов операционного риска</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событий регуляторного риска и других нефинансовых рисков с прямыми потерями, связанными с реализацией операционного риска</w:t>
            </w:r>
            <w:r w:rsidRPr="007B28F6">
              <w:rPr>
                <w:rFonts w:ascii="Times New Roman" w:eastAsia="Times New Roman" w:hAnsi="Times New Roman" w:cs="Times New Roman"/>
                <w:color w:val="000000"/>
                <w:sz w:val="24"/>
                <w:szCs w:val="24"/>
                <w:lang w:eastAsia="ru-RU"/>
              </w:rPr>
              <w:t xml:space="preserve"> в составе общей базы событий либо раздельно. При этом</w:t>
            </w:r>
            <w:r>
              <w:rPr>
                <w:rFonts w:ascii="Times New Roman" w:eastAsia="Times New Roman" w:hAnsi="Times New Roman" w:cs="Times New Roman"/>
                <w:color w:val="000000"/>
                <w:sz w:val="24"/>
                <w:szCs w:val="24"/>
                <w:lang w:eastAsia="ru-RU"/>
              </w:rPr>
              <w:t xml:space="preserve"> в отношении операционного риска обеспечивается единый подход </w:t>
            </w:r>
            <w:r>
              <w:rPr>
                <w:rFonts w:ascii="Times New Roman" w:hAnsi="Times New Roman" w:cs="Times New Roman"/>
                <w:sz w:val="24"/>
                <w:szCs w:val="24"/>
              </w:rPr>
              <w:t>к идентификации, оценке, а также классификации</w:t>
            </w:r>
            <w:r>
              <w:rPr>
                <w:rFonts w:ascii="Times New Roman" w:eastAsia="Times New Roman" w:hAnsi="Times New Roman" w:cs="Times New Roman"/>
                <w:color w:val="000000"/>
                <w:sz w:val="24"/>
                <w:szCs w:val="24"/>
                <w:lang w:eastAsia="ru-RU"/>
              </w:rPr>
              <w:t xml:space="preserve"> событий операционного риска </w:t>
            </w:r>
            <w:r w:rsidRPr="007B28F6">
              <w:rPr>
                <w:rFonts w:ascii="Times New Roman" w:eastAsia="Times New Roman" w:hAnsi="Times New Roman" w:cs="Times New Roman"/>
                <w:color w:val="000000"/>
                <w:sz w:val="24"/>
                <w:szCs w:val="24"/>
                <w:lang w:eastAsia="ru-RU"/>
              </w:rPr>
              <w:t>в соответствии с главами 2 и 3 Положения № 716-П, исключающий дубл</w:t>
            </w:r>
            <w:r>
              <w:rPr>
                <w:rFonts w:ascii="Times New Roman" w:eastAsia="Times New Roman" w:hAnsi="Times New Roman" w:cs="Times New Roman"/>
                <w:color w:val="000000"/>
                <w:sz w:val="24"/>
                <w:szCs w:val="24"/>
                <w:lang w:eastAsia="ru-RU"/>
              </w:rPr>
              <w:t>ирование и пропуски информации.</w:t>
            </w:r>
          </w:p>
          <w:p w:rsidR="004568B4" w:rsidRDefault="004568B4" w:rsidP="004568B4">
            <w:pPr>
              <w:spacing w:after="0" w:line="240" w:lineRule="auto"/>
              <w:ind w:firstLine="187"/>
              <w:jc w:val="both"/>
              <w:rPr>
                <w:rFonts w:ascii="Times New Roman" w:eastAsia="Times New Roman" w:hAnsi="Times New Roman" w:cs="Times New Roman"/>
                <w:color w:val="000000"/>
                <w:sz w:val="24"/>
                <w:szCs w:val="24"/>
                <w:lang w:eastAsia="ru-RU"/>
              </w:rPr>
            </w:pPr>
            <w:r w:rsidRPr="007B28F6">
              <w:rPr>
                <w:rFonts w:ascii="Times New Roman" w:eastAsia="Times New Roman" w:hAnsi="Times New Roman" w:cs="Times New Roman"/>
                <w:color w:val="000000"/>
                <w:sz w:val="24"/>
                <w:szCs w:val="24"/>
                <w:lang w:eastAsia="ru-RU"/>
              </w:rPr>
              <w:t xml:space="preserve">Порядок учета потерь от реализации событий </w:t>
            </w:r>
            <w:r>
              <w:rPr>
                <w:rFonts w:ascii="Times New Roman" w:eastAsia="Times New Roman" w:hAnsi="Times New Roman" w:cs="Times New Roman"/>
                <w:color w:val="000000"/>
                <w:sz w:val="24"/>
                <w:szCs w:val="24"/>
                <w:lang w:eastAsia="ru-RU"/>
              </w:rPr>
              <w:t xml:space="preserve">операционного риска </w:t>
            </w:r>
            <w:r w:rsidRPr="007B28F6">
              <w:rPr>
                <w:rFonts w:ascii="Times New Roman" w:eastAsia="Times New Roman" w:hAnsi="Times New Roman" w:cs="Times New Roman"/>
                <w:color w:val="000000"/>
                <w:sz w:val="24"/>
                <w:szCs w:val="24"/>
                <w:lang w:eastAsia="ru-RU"/>
              </w:rPr>
              <w:t>и возмещения по ним должен соответствовать требованиям пунктов 6.7–6.19</w:t>
            </w:r>
            <w:r>
              <w:rPr>
                <w:rFonts w:ascii="Times New Roman" w:eastAsia="Times New Roman" w:hAnsi="Times New Roman" w:cs="Times New Roman"/>
                <w:color w:val="000000"/>
                <w:sz w:val="24"/>
                <w:szCs w:val="24"/>
                <w:lang w:eastAsia="ru-RU"/>
              </w:rPr>
              <w:t xml:space="preserve"> </w:t>
            </w:r>
            <w:r w:rsidRPr="007B28F6">
              <w:rPr>
                <w:rFonts w:ascii="Times New Roman" w:eastAsia="Times New Roman" w:hAnsi="Times New Roman" w:cs="Times New Roman"/>
                <w:color w:val="000000"/>
                <w:sz w:val="24"/>
                <w:szCs w:val="24"/>
                <w:lang w:eastAsia="ru-RU"/>
              </w:rPr>
              <w:t>Положения № 716-П.</w:t>
            </w:r>
          </w:p>
          <w:p w:rsidR="004568B4" w:rsidRPr="00D923F3" w:rsidRDefault="004568B4" w:rsidP="004568B4">
            <w:pPr>
              <w:spacing w:after="0" w:line="240" w:lineRule="auto"/>
              <w:ind w:firstLine="187"/>
              <w:jc w:val="both"/>
              <w:rPr>
                <w:rFonts w:ascii="Times New Roman" w:hAnsi="Times New Roman" w:cs="Times New Roman"/>
                <w:sz w:val="24"/>
                <w:szCs w:val="24"/>
              </w:rPr>
            </w:pPr>
            <w:r w:rsidRPr="005A225C">
              <w:rPr>
                <w:rFonts w:ascii="Times New Roman" w:hAnsi="Times New Roman" w:cs="Times New Roman"/>
                <w:sz w:val="24"/>
                <w:szCs w:val="24"/>
              </w:rPr>
              <w:t>В соответствии с Указанием № 3624-У во внутренних документах кредитной организации должен быть закреплен перечень значимых для нее рисков, а также рисков, которые в сочетании с наиболее значимыми рисками могут привести к существенным потерям</w:t>
            </w:r>
            <w:r w:rsidR="00123482">
              <w:rPr>
                <w:rFonts w:ascii="Times New Roman" w:hAnsi="Times New Roman" w:cs="Times New Roman"/>
                <w:sz w:val="24"/>
                <w:szCs w:val="24"/>
              </w:rPr>
              <w:t>.</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6412" w:type="dxa"/>
          </w:tcPr>
          <w:p w:rsidR="004568B4" w:rsidRPr="00D923F3" w:rsidRDefault="004568B4" w:rsidP="004568B4">
            <w:pPr>
              <w:tabs>
                <w:tab w:val="left" w:pos="993"/>
              </w:tabs>
              <w:spacing w:after="0" w:line="240" w:lineRule="auto"/>
              <w:ind w:firstLine="175"/>
              <w:contextualSpacing/>
              <w:jc w:val="both"/>
              <w:rPr>
                <w:rFonts w:ascii="Times New Roman" w:eastAsia="Times New Roman" w:hAnsi="Times New Roman" w:cs="Times New Roman"/>
                <w:sz w:val="24"/>
                <w:szCs w:val="24"/>
                <w:lang w:eastAsia="ru-RU"/>
              </w:rPr>
            </w:pPr>
            <w:r w:rsidRPr="00A12662">
              <w:rPr>
                <w:rFonts w:ascii="Times New Roman" w:eastAsia="Times New Roman" w:hAnsi="Times New Roman" w:cs="Times New Roman"/>
                <w:sz w:val="24"/>
                <w:szCs w:val="24"/>
                <w:lang w:eastAsia="ru-RU"/>
              </w:rPr>
              <w:t>В пункте 3.6 Положения №590-П</w:t>
            </w:r>
            <w:r w:rsidR="00A57B04">
              <w:rPr>
                <w:rStyle w:val="a6"/>
                <w:rFonts w:ascii="Times New Roman" w:eastAsia="Times New Roman" w:hAnsi="Times New Roman" w:cs="Times New Roman"/>
                <w:sz w:val="24"/>
                <w:szCs w:val="24"/>
                <w:lang w:eastAsia="ru-RU"/>
              </w:rPr>
              <w:footnoteReference w:id="16"/>
            </w:r>
            <w:r w:rsidRPr="00A12662">
              <w:rPr>
                <w:rFonts w:ascii="Times New Roman" w:eastAsia="Times New Roman" w:hAnsi="Times New Roman" w:cs="Times New Roman"/>
                <w:sz w:val="24"/>
                <w:szCs w:val="24"/>
                <w:lang w:eastAsia="ru-RU"/>
              </w:rPr>
              <w:t xml:space="preserve"> установлены случаи, в которых кредитная организация осуществляет контроль за правильностью оценки ссуд и определения размера резервов </w:t>
            </w:r>
            <w:r w:rsidRPr="00A12662">
              <w:rPr>
                <w:rFonts w:ascii="Times New Roman" w:eastAsia="Times New Roman" w:hAnsi="Times New Roman" w:cs="Times New Roman"/>
                <w:sz w:val="24"/>
                <w:szCs w:val="24"/>
                <w:lang w:eastAsia="ru-RU"/>
              </w:rPr>
              <w:lastRenderedPageBreak/>
              <w:t xml:space="preserve">в рамках системы внутреннего контроля в первую очередь. При этом пунктом 2.3 Положения 590-П определено, что порядок осуществления контроля за правильностью оценки и определения размера резервов по ссудам, указанным в </w:t>
            </w:r>
            <w:hyperlink w:anchor="sub_36" w:history="1">
              <w:r w:rsidRPr="00A12662">
                <w:rPr>
                  <w:rFonts w:ascii="Times New Roman" w:eastAsia="Times New Roman" w:hAnsi="Times New Roman" w:cs="Times New Roman"/>
                  <w:sz w:val="24"/>
                  <w:szCs w:val="24"/>
                  <w:lang w:eastAsia="ru-RU"/>
                </w:rPr>
                <w:t>пункте 3.6</w:t>
              </w:r>
            </w:hyperlink>
            <w:r w:rsidRPr="00A12662">
              <w:rPr>
                <w:rFonts w:ascii="Times New Roman" w:eastAsia="Times New Roman" w:hAnsi="Times New Roman" w:cs="Times New Roman"/>
                <w:sz w:val="24"/>
                <w:szCs w:val="24"/>
                <w:lang w:eastAsia="ru-RU"/>
              </w:rPr>
              <w:t xml:space="preserve"> Положения, кредитная организация определяет самостоятельно и отражает во внутренних документах.</w:t>
            </w:r>
          </w:p>
          <w:p w:rsidR="004568B4" w:rsidRPr="00D923F3" w:rsidRDefault="004568B4" w:rsidP="004568B4">
            <w:pPr>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A12662">
              <w:rPr>
                <w:rFonts w:ascii="Times New Roman" w:eastAsia="Times New Roman" w:hAnsi="Times New Roman" w:cs="Times New Roman"/>
                <w:sz w:val="24"/>
                <w:szCs w:val="24"/>
                <w:lang w:eastAsia="ru-RU"/>
              </w:rPr>
              <w:t xml:space="preserve">Правильно ли Банк понимает, что в рамках системы внутреннего контроля с учетом масштабов своей деятельности, количества заемщиков и величины кредитного портфеля, допускается установить контроль за правильностью оценки ссуд и определения размера резервов, указанных в п. 3.6 Положения </w:t>
            </w:r>
            <w:r w:rsidRPr="00D923F3">
              <w:rPr>
                <w:rFonts w:ascii="Times New Roman" w:eastAsia="Times New Roman" w:hAnsi="Times New Roman" w:cs="Times New Roman"/>
                <w:sz w:val="24"/>
                <w:szCs w:val="24"/>
                <w:lang w:eastAsia="ru-RU"/>
              </w:rPr>
              <w:t>№</w:t>
            </w:r>
            <w:r w:rsidRPr="00A12662">
              <w:rPr>
                <w:rFonts w:ascii="Times New Roman" w:eastAsia="Times New Roman" w:hAnsi="Times New Roman" w:cs="Times New Roman"/>
                <w:sz w:val="24"/>
                <w:szCs w:val="24"/>
                <w:lang w:eastAsia="ru-RU"/>
              </w:rPr>
              <w:t xml:space="preserve">590-П, на </w:t>
            </w:r>
            <w:r w:rsidRPr="00A12662">
              <w:rPr>
                <w:rFonts w:ascii="Times New Roman" w:eastAsia="Times New Roman" w:hAnsi="Times New Roman" w:cs="Times New Roman"/>
                <w:b/>
                <w:bCs/>
                <w:sz w:val="24"/>
                <w:szCs w:val="24"/>
                <w:lang w:eastAsia="ru-RU"/>
              </w:rPr>
              <w:t>выборочной основе,</w:t>
            </w:r>
            <w:r w:rsidRPr="00A12662">
              <w:rPr>
                <w:rFonts w:ascii="Times New Roman" w:eastAsia="Times New Roman" w:hAnsi="Times New Roman" w:cs="Times New Roman"/>
                <w:sz w:val="24"/>
                <w:szCs w:val="24"/>
                <w:lang w:eastAsia="ru-RU"/>
              </w:rPr>
              <w:t xml:space="preserve"> обеспечивая при этом репрезентативность выборки?</w:t>
            </w:r>
          </w:p>
        </w:tc>
        <w:tc>
          <w:tcPr>
            <w:tcW w:w="7950" w:type="dxa"/>
          </w:tcPr>
          <w:p w:rsidR="00A84173" w:rsidRPr="003B109C" w:rsidRDefault="00A84173" w:rsidP="00A8417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lastRenderedPageBreak/>
              <w:t xml:space="preserve">Мнение банка некорректно. </w:t>
            </w:r>
          </w:p>
          <w:p w:rsidR="00A84173" w:rsidRPr="003B109C" w:rsidRDefault="00A84173" w:rsidP="00A8417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t xml:space="preserve">Банк должен определять (идентифицировать) риск по каждой ссуде, поименованной в пункте 3.6 Положения № 590-П. </w:t>
            </w:r>
          </w:p>
          <w:p w:rsidR="00A84173" w:rsidRPr="003B109C" w:rsidRDefault="00A84173" w:rsidP="00A84173">
            <w:pPr>
              <w:spacing w:after="0" w:line="240" w:lineRule="auto"/>
              <w:ind w:firstLine="317"/>
              <w:jc w:val="both"/>
              <w:rPr>
                <w:rFonts w:ascii="Times New Roman" w:hAnsi="Times New Roman" w:cs="Times New Roman"/>
                <w:color w:val="000000" w:themeColor="text1"/>
                <w:sz w:val="24"/>
                <w:szCs w:val="24"/>
              </w:rPr>
            </w:pPr>
            <w:r w:rsidRPr="003B109C">
              <w:rPr>
                <w:rFonts w:ascii="Times New Roman" w:hAnsi="Times New Roman" w:cs="Times New Roman"/>
                <w:color w:val="000000" w:themeColor="text1"/>
                <w:sz w:val="24"/>
                <w:szCs w:val="24"/>
              </w:rPr>
              <w:lastRenderedPageBreak/>
              <w:t xml:space="preserve">Пунктом 3.6 Положения № 590-П не предусмотрен выборочный характер оценки риска по таким ссудам. </w:t>
            </w:r>
          </w:p>
          <w:p w:rsidR="004568B4" w:rsidRPr="00D923F3" w:rsidRDefault="004568B4" w:rsidP="004568B4">
            <w:pPr>
              <w:spacing w:after="0" w:line="240" w:lineRule="auto"/>
              <w:ind w:firstLine="175"/>
              <w:jc w:val="both"/>
              <w:rPr>
                <w:rFonts w:ascii="Times New Roman" w:hAnsi="Times New Roman" w:cs="Times New Roman"/>
                <w:sz w:val="24"/>
                <w:szCs w:val="24"/>
              </w:rPr>
            </w:pPr>
          </w:p>
        </w:tc>
      </w:tr>
      <w:tr w:rsidR="004568B4" w:rsidRPr="00D923F3" w:rsidTr="00262756">
        <w:tc>
          <w:tcPr>
            <w:tcW w:w="15163" w:type="dxa"/>
            <w:gridSpan w:val="3"/>
            <w:shd w:val="clear" w:color="auto" w:fill="E2EFD9" w:themeFill="accent6" w:themeFillTint="33"/>
          </w:tcPr>
          <w:p w:rsidR="004568B4" w:rsidRPr="00A12662" w:rsidRDefault="004568B4" w:rsidP="004568B4">
            <w:pPr>
              <w:spacing w:after="0" w:line="240" w:lineRule="auto"/>
              <w:ind w:firstLine="175"/>
              <w:jc w:val="center"/>
              <w:rPr>
                <w:rFonts w:ascii="Times New Roman" w:eastAsia="Times New Roman" w:hAnsi="Times New Roman" w:cs="Times New Roman"/>
                <w:b/>
                <w:bCs/>
                <w:i/>
                <w:iCs/>
                <w:sz w:val="24"/>
                <w:szCs w:val="24"/>
                <w:lang w:eastAsia="ru-RU"/>
              </w:rPr>
            </w:pPr>
            <w:r w:rsidRPr="00A12662">
              <w:rPr>
                <w:rFonts w:ascii="Times New Roman" w:eastAsia="Times New Roman" w:hAnsi="Times New Roman" w:cs="Times New Roman"/>
                <w:b/>
                <w:bCs/>
                <w:i/>
                <w:iCs/>
                <w:sz w:val="24"/>
                <w:szCs w:val="24"/>
                <w:lang w:eastAsia="ru-RU"/>
              </w:rPr>
              <w:lastRenderedPageBreak/>
              <w:t>Планы восстановления финансовой устойчивости (планы ВФУ)</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412" w:type="dxa"/>
          </w:tcPr>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Предлагаем Банку России рассмотреть вопрос синхронизации сроков подачи ПВФУ с процедурами ВПОДК и циклами ежегодного-бизнес планирования кредитных организаций.</w:t>
            </w:r>
          </w:p>
        </w:tc>
        <w:tc>
          <w:tcPr>
            <w:tcW w:w="7950" w:type="dxa"/>
          </w:tcPr>
          <w:p w:rsidR="004568B4" w:rsidRPr="008B4DBD" w:rsidRDefault="004568B4" w:rsidP="004568B4">
            <w:pPr>
              <w:tabs>
                <w:tab w:val="left" w:pos="567"/>
                <w:tab w:val="left" w:pos="1134"/>
              </w:tabs>
              <w:spacing w:after="0" w:line="240" w:lineRule="auto"/>
              <w:ind w:firstLine="175"/>
              <w:jc w:val="both"/>
              <w:rPr>
                <w:rFonts w:ascii="Times New Roman" w:eastAsia="Times New Roman" w:hAnsi="Times New Roman" w:cs="Times New Roman"/>
                <w:sz w:val="24"/>
                <w:szCs w:val="24"/>
                <w:lang w:eastAsia="ru-RU"/>
              </w:rPr>
            </w:pPr>
            <w:r w:rsidRPr="008B4DBD">
              <w:rPr>
                <w:rFonts w:ascii="Times New Roman" w:eastAsia="Times New Roman" w:hAnsi="Times New Roman" w:cs="Times New Roman"/>
                <w:sz w:val="24"/>
                <w:szCs w:val="24"/>
                <w:lang w:eastAsia="ru-RU"/>
              </w:rPr>
              <w:t>Банк России исходит из того, что ПВФУ тесно взаимосвязан с процедурами ВПОДК и бизнес-планирования. При этом возможность синхронизации представления ПВФУ с указанными процедурами в отношении системно значимых кредитных организаций уже предусмотрена нормативными актами Банка России:</w:t>
            </w:r>
          </w:p>
          <w:p w:rsidR="004568B4" w:rsidRPr="008B4DBD" w:rsidRDefault="004568B4" w:rsidP="004568B4">
            <w:pPr>
              <w:tabs>
                <w:tab w:val="left" w:pos="567"/>
                <w:tab w:val="left" w:pos="1134"/>
              </w:tabs>
              <w:spacing w:after="0" w:line="240" w:lineRule="auto"/>
              <w:ind w:firstLine="175"/>
              <w:jc w:val="both"/>
              <w:rPr>
                <w:rFonts w:ascii="Times New Roman" w:eastAsia="Times New Roman" w:hAnsi="Times New Roman" w:cs="Times New Roman"/>
                <w:sz w:val="24"/>
                <w:szCs w:val="24"/>
                <w:lang w:eastAsia="ru-RU"/>
              </w:rPr>
            </w:pPr>
            <w:r w:rsidRPr="008B4DBD">
              <w:rPr>
                <w:rFonts w:ascii="Times New Roman" w:eastAsia="Times New Roman" w:hAnsi="Times New Roman" w:cs="Times New Roman"/>
                <w:sz w:val="24"/>
                <w:szCs w:val="24"/>
                <w:lang w:eastAsia="ru-RU"/>
              </w:rPr>
              <w:t>– ежегодно в конце года СЗКО утверждают бизнес-планы на следующий год, а также результаты стресс-тестирования;</w:t>
            </w:r>
          </w:p>
          <w:p w:rsidR="004568B4" w:rsidRPr="008B4DBD" w:rsidRDefault="004568B4" w:rsidP="004568B4">
            <w:pPr>
              <w:tabs>
                <w:tab w:val="left" w:pos="567"/>
                <w:tab w:val="left" w:pos="1134"/>
              </w:tabs>
              <w:spacing w:after="0" w:line="240" w:lineRule="auto"/>
              <w:ind w:firstLine="175"/>
              <w:jc w:val="both"/>
              <w:rPr>
                <w:rFonts w:ascii="Times New Roman" w:eastAsia="Times New Roman" w:hAnsi="Times New Roman" w:cs="Times New Roman"/>
                <w:sz w:val="24"/>
                <w:szCs w:val="24"/>
                <w:lang w:eastAsia="ru-RU"/>
              </w:rPr>
            </w:pPr>
            <w:r w:rsidRPr="008B4DBD">
              <w:rPr>
                <w:rFonts w:ascii="Times New Roman" w:eastAsia="Times New Roman" w:hAnsi="Times New Roman" w:cs="Times New Roman"/>
                <w:sz w:val="24"/>
                <w:szCs w:val="24"/>
                <w:lang w:eastAsia="ru-RU"/>
              </w:rPr>
              <w:lastRenderedPageBreak/>
              <w:t>– не позднее 1 июля следующего года СЗКО представляют в Банк Росс</w:t>
            </w:r>
            <w:r w:rsidR="00A57B04">
              <w:rPr>
                <w:rFonts w:ascii="Times New Roman" w:eastAsia="Times New Roman" w:hAnsi="Times New Roman" w:cs="Times New Roman"/>
                <w:sz w:val="24"/>
                <w:szCs w:val="24"/>
                <w:lang w:eastAsia="ru-RU"/>
              </w:rPr>
              <w:t>ии разработанный ПВФУ (пункт 2.2</w:t>
            </w:r>
            <w:r w:rsidRPr="008B4DBD">
              <w:rPr>
                <w:rFonts w:ascii="Times New Roman" w:eastAsia="Times New Roman" w:hAnsi="Times New Roman" w:cs="Times New Roman"/>
                <w:sz w:val="24"/>
                <w:szCs w:val="24"/>
                <w:lang w:eastAsia="ru-RU"/>
              </w:rPr>
              <w:t xml:space="preserve"> Положения</w:t>
            </w:r>
            <w:r>
              <w:rPr>
                <w:rFonts w:ascii="Times New Roman" w:eastAsia="Times New Roman" w:hAnsi="Times New Roman" w:cs="Times New Roman"/>
                <w:sz w:val="24"/>
                <w:szCs w:val="24"/>
                <w:lang w:eastAsia="ru-RU"/>
              </w:rPr>
              <w:t xml:space="preserve"> </w:t>
            </w:r>
            <w:r w:rsidRPr="008B4DBD">
              <w:rPr>
                <w:rFonts w:ascii="Times New Roman" w:eastAsia="Times New Roman" w:hAnsi="Times New Roman" w:cs="Times New Roman"/>
                <w:sz w:val="24"/>
                <w:szCs w:val="24"/>
                <w:lang w:eastAsia="ru-RU"/>
              </w:rPr>
              <w:t>№</w:t>
            </w:r>
            <w:r w:rsidRPr="008B4DBD">
              <w:rPr>
                <w:rFonts w:ascii="Times New Roman" w:eastAsia="Times New Roman" w:hAnsi="Times New Roman" w:cs="Times New Roman"/>
                <w:sz w:val="24"/>
                <w:szCs w:val="24"/>
                <w:lang w:val="en-US" w:eastAsia="ru-RU"/>
              </w:rPr>
              <w:t> </w:t>
            </w:r>
            <w:r w:rsidRPr="008B4DBD">
              <w:rPr>
                <w:rFonts w:ascii="Times New Roman" w:eastAsia="Times New Roman" w:hAnsi="Times New Roman" w:cs="Times New Roman"/>
                <w:sz w:val="24"/>
                <w:szCs w:val="24"/>
                <w:lang w:eastAsia="ru-RU"/>
              </w:rPr>
              <w:t>653-П</w:t>
            </w:r>
            <w:r w:rsidRPr="00D923F3">
              <w:rPr>
                <w:rStyle w:val="a6"/>
                <w:rFonts w:ascii="Times New Roman" w:eastAsia="Times New Roman" w:hAnsi="Times New Roman" w:cs="Times New Roman"/>
                <w:sz w:val="24"/>
                <w:szCs w:val="24"/>
                <w:lang w:eastAsia="ru-RU"/>
              </w:rPr>
              <w:footnoteReference w:id="17"/>
            </w:r>
            <w:r w:rsidRPr="008B4DBD">
              <w:rPr>
                <w:rFonts w:ascii="Times New Roman" w:eastAsia="Times New Roman" w:hAnsi="Times New Roman" w:cs="Times New Roman"/>
                <w:sz w:val="24"/>
                <w:szCs w:val="24"/>
                <w:lang w:eastAsia="ru-RU"/>
              </w:rPr>
              <w:t>).</w:t>
            </w:r>
          </w:p>
          <w:p w:rsidR="004568B4" w:rsidRDefault="004568B4" w:rsidP="004568B4">
            <w:pPr>
              <w:tabs>
                <w:tab w:val="left" w:pos="567"/>
                <w:tab w:val="left" w:pos="1134"/>
              </w:tabs>
              <w:spacing w:after="0" w:line="240" w:lineRule="auto"/>
              <w:ind w:firstLine="1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Банк России рекомендует </w:t>
            </w:r>
            <w:r w:rsidRPr="008B4DBD">
              <w:rPr>
                <w:rFonts w:ascii="Times New Roman" w:eastAsia="Times New Roman" w:hAnsi="Times New Roman" w:cs="Times New Roman"/>
                <w:sz w:val="24"/>
                <w:szCs w:val="24"/>
                <w:lang w:eastAsia="ru-RU"/>
              </w:rPr>
              <w:t>СЗКО не ждать окончания сроков представления указанных документов и</w:t>
            </w:r>
            <w:r>
              <w:rPr>
                <w:rFonts w:ascii="Times New Roman" w:eastAsia="Times New Roman" w:hAnsi="Times New Roman" w:cs="Times New Roman"/>
                <w:sz w:val="24"/>
                <w:szCs w:val="24"/>
                <w:lang w:eastAsia="ru-RU"/>
              </w:rPr>
              <w:t xml:space="preserve"> направлять</w:t>
            </w:r>
            <w:r w:rsidRPr="008B4DBD">
              <w:rPr>
                <w:rFonts w:ascii="Times New Roman" w:eastAsia="Times New Roman" w:hAnsi="Times New Roman" w:cs="Times New Roman"/>
                <w:sz w:val="24"/>
                <w:szCs w:val="24"/>
                <w:lang w:eastAsia="ru-RU"/>
              </w:rPr>
              <w:t xml:space="preserve"> документы в Банк России после их утверждения советом директоров (наблюдательным советом) кредитной организации.</w:t>
            </w:r>
            <w:r>
              <w:rPr>
                <w:rFonts w:ascii="Times New Roman" w:eastAsia="Times New Roman" w:hAnsi="Times New Roman" w:cs="Times New Roman"/>
                <w:sz w:val="24"/>
                <w:szCs w:val="24"/>
                <w:lang w:eastAsia="ru-RU"/>
              </w:rPr>
              <w:t xml:space="preserve"> Это позволит снизить необходимость в обновлении ПВФУ, в случае если других недостатков в отношении представленного плана Банком России не выявлено по результатам проведенной оценки. </w:t>
            </w:r>
          </w:p>
          <w:p w:rsidR="004568B4" w:rsidRPr="008B4DBD" w:rsidRDefault="004568B4" w:rsidP="004568B4">
            <w:pPr>
              <w:tabs>
                <w:tab w:val="left" w:pos="567"/>
                <w:tab w:val="left" w:pos="1134"/>
              </w:tabs>
              <w:spacing w:after="0" w:line="240" w:lineRule="auto"/>
              <w:ind w:firstLine="175"/>
              <w:jc w:val="both"/>
              <w:rPr>
                <w:rFonts w:ascii="Times New Roman" w:eastAsia="Times New Roman" w:hAnsi="Times New Roman" w:cs="Times New Roman"/>
                <w:sz w:val="24"/>
                <w:szCs w:val="24"/>
                <w:lang w:eastAsia="ru-RU"/>
              </w:rPr>
            </w:pPr>
            <w:r w:rsidRPr="008B4DBD">
              <w:rPr>
                <w:rFonts w:ascii="Times New Roman" w:eastAsia="Times New Roman" w:hAnsi="Times New Roman" w:cs="Times New Roman"/>
                <w:sz w:val="24"/>
                <w:szCs w:val="24"/>
                <w:lang w:eastAsia="ru-RU"/>
              </w:rPr>
              <w:t xml:space="preserve">Для кредитных организаций, не являющихся СЗКО, необходимость представления ПВФУ в Банк России возникает в случае направления Банком России требования о разработке и представлении ПВФУ в соответствии с пунктом 2.1 Положения № 653-П. Срок представления ПВФУ в указанном случае – не более 30 рабочих дней со дня получения требования Банка России. </w:t>
            </w:r>
          </w:p>
          <w:p w:rsidR="004568B4" w:rsidRPr="00D923F3" w:rsidRDefault="004568B4" w:rsidP="004568B4">
            <w:pPr>
              <w:tabs>
                <w:tab w:val="left" w:pos="567"/>
                <w:tab w:val="left" w:pos="1134"/>
              </w:tabs>
              <w:spacing w:after="0" w:line="240" w:lineRule="auto"/>
              <w:ind w:firstLine="175"/>
              <w:jc w:val="both"/>
              <w:rPr>
                <w:rFonts w:ascii="Times New Roman" w:hAnsi="Times New Roman" w:cs="Times New Roman"/>
                <w:sz w:val="24"/>
                <w:szCs w:val="24"/>
              </w:rPr>
            </w:pPr>
            <w:r w:rsidRPr="008B4DBD">
              <w:rPr>
                <w:rFonts w:ascii="Times New Roman" w:eastAsia="Times New Roman" w:hAnsi="Times New Roman" w:cs="Times New Roman"/>
                <w:sz w:val="24"/>
                <w:szCs w:val="24"/>
                <w:lang w:eastAsia="ru-RU"/>
              </w:rPr>
              <w:t xml:space="preserve">Одновременно сообщаем, что в настоящее время Банком России </w:t>
            </w:r>
            <w:r>
              <w:rPr>
                <w:rFonts w:ascii="Times New Roman" w:eastAsia="Times New Roman" w:hAnsi="Times New Roman" w:cs="Times New Roman"/>
                <w:sz w:val="24"/>
                <w:szCs w:val="24"/>
                <w:lang w:eastAsia="ru-RU"/>
              </w:rPr>
              <w:t>рассматривается возможность</w:t>
            </w:r>
            <w:r w:rsidRPr="008B4DBD">
              <w:rPr>
                <w:rFonts w:ascii="Times New Roman" w:eastAsia="Times New Roman" w:hAnsi="Times New Roman" w:cs="Times New Roman"/>
                <w:sz w:val="24"/>
                <w:szCs w:val="24"/>
                <w:lang w:eastAsia="ru-RU"/>
              </w:rPr>
              <w:t xml:space="preserve"> подготовк</w:t>
            </w:r>
            <w:r>
              <w:rPr>
                <w:rFonts w:ascii="Times New Roman" w:eastAsia="Times New Roman" w:hAnsi="Times New Roman" w:cs="Times New Roman"/>
                <w:sz w:val="24"/>
                <w:szCs w:val="24"/>
                <w:lang w:eastAsia="ru-RU"/>
              </w:rPr>
              <w:t>и</w:t>
            </w:r>
            <w:r w:rsidRPr="008B4DBD">
              <w:rPr>
                <w:rFonts w:ascii="Times New Roman" w:eastAsia="Times New Roman" w:hAnsi="Times New Roman" w:cs="Times New Roman"/>
                <w:sz w:val="24"/>
                <w:szCs w:val="24"/>
                <w:lang w:eastAsia="ru-RU"/>
              </w:rPr>
              <w:t xml:space="preserve"> изменений в Положение </w:t>
            </w:r>
            <w:r w:rsidR="00A57B04">
              <w:rPr>
                <w:rFonts w:ascii="Times New Roman" w:eastAsia="Times New Roman" w:hAnsi="Times New Roman" w:cs="Times New Roman"/>
                <w:sz w:val="24"/>
                <w:szCs w:val="24"/>
                <w:lang w:eastAsia="ru-RU"/>
              </w:rPr>
              <w:br/>
            </w:r>
            <w:r w:rsidRPr="008B4DBD">
              <w:rPr>
                <w:rFonts w:ascii="Times New Roman" w:eastAsia="Times New Roman" w:hAnsi="Times New Roman" w:cs="Times New Roman"/>
                <w:sz w:val="24"/>
                <w:szCs w:val="24"/>
                <w:lang w:eastAsia="ru-RU"/>
              </w:rPr>
              <w:t>№ 653-П, в том числе на предмет установления для кредитных организаций (не СЗКО) возможности продления срока представления ПВФУ в Банк России по мотивированному ходатайству кредитной организации.</w:t>
            </w:r>
          </w:p>
        </w:tc>
      </w:tr>
      <w:tr w:rsidR="004568B4" w:rsidRPr="00D923F3" w:rsidTr="00262756">
        <w:tc>
          <w:tcPr>
            <w:tcW w:w="801" w:type="dxa"/>
            <w:vMerge w:val="restart"/>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6412" w:type="dxa"/>
            <w:tcBorders>
              <w:bottom w:val="single" w:sz="4" w:space="0" w:color="auto"/>
            </w:tcBorders>
          </w:tcPr>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В рамках выработки единой лучшей практики применения Положения № 653-П предлагаем Банку России рассмотреть обобщения практики представленных системно значимыми кредитными организациями Планов ВФУ и довести до сведения иных кредитных организаций типичные ошибки и (или) недостатки, выявленные в рамках оценки ПВФУ Банком России</w:t>
            </w:r>
          </w:p>
        </w:tc>
        <w:tc>
          <w:tcPr>
            <w:tcW w:w="7950" w:type="dxa"/>
            <w:tcBorders>
              <w:bottom w:val="single" w:sz="4" w:space="0" w:color="auto"/>
            </w:tcBorders>
          </w:tcPr>
          <w:p w:rsidR="004568B4" w:rsidRDefault="004568B4" w:rsidP="004568B4">
            <w:pPr>
              <w:spacing w:after="0" w:line="240" w:lineRule="auto"/>
              <w:ind w:firstLine="175"/>
              <w:jc w:val="both"/>
              <w:rPr>
                <w:rFonts w:ascii="Times New Roman" w:hAnsi="Times New Roman" w:cs="Times New Roman"/>
                <w:sz w:val="24"/>
                <w:szCs w:val="24"/>
              </w:rPr>
            </w:pPr>
            <w:r w:rsidRPr="00D923F3">
              <w:rPr>
                <w:rFonts w:ascii="Times New Roman" w:hAnsi="Times New Roman" w:cs="Times New Roman"/>
                <w:sz w:val="24"/>
                <w:szCs w:val="24"/>
              </w:rPr>
              <w:t xml:space="preserve">В 1-2 кв. 2021 года Банк России планирует выпустить рекомендации для кредитных организаций по отдельным вопросам разработки ПВФУ, обобщающие в том числе практику проведения оценки Банком России ПВФУ кредитных организаций по результатам циклов оценки 2019-2020 годов. </w:t>
            </w:r>
          </w:p>
          <w:p w:rsidR="004568B4" w:rsidRDefault="004568B4" w:rsidP="004568B4">
            <w:pPr>
              <w:spacing w:after="0" w:line="240" w:lineRule="auto"/>
              <w:ind w:firstLine="175"/>
              <w:jc w:val="both"/>
              <w:rPr>
                <w:rFonts w:ascii="Times New Roman" w:hAnsi="Times New Roman" w:cs="Times New Roman"/>
                <w:sz w:val="24"/>
                <w:szCs w:val="24"/>
              </w:rPr>
            </w:pPr>
            <w:r w:rsidRPr="00D923F3">
              <w:rPr>
                <w:rFonts w:ascii="Times New Roman" w:hAnsi="Times New Roman" w:cs="Times New Roman"/>
                <w:sz w:val="24"/>
                <w:szCs w:val="24"/>
              </w:rPr>
              <w:t xml:space="preserve">Также в 2021 году Банк России </w:t>
            </w:r>
            <w:r>
              <w:rPr>
                <w:rFonts w:ascii="Times New Roman" w:hAnsi="Times New Roman" w:cs="Times New Roman"/>
                <w:sz w:val="24"/>
                <w:szCs w:val="24"/>
              </w:rPr>
              <w:t>рассматривает возможность</w:t>
            </w:r>
            <w:r w:rsidRPr="00D923F3">
              <w:rPr>
                <w:rFonts w:ascii="Times New Roman" w:hAnsi="Times New Roman" w:cs="Times New Roman"/>
                <w:sz w:val="24"/>
                <w:szCs w:val="24"/>
              </w:rPr>
              <w:t xml:space="preserve"> подготов</w:t>
            </w:r>
            <w:r>
              <w:rPr>
                <w:rFonts w:ascii="Times New Roman" w:hAnsi="Times New Roman" w:cs="Times New Roman"/>
                <w:sz w:val="24"/>
                <w:szCs w:val="24"/>
              </w:rPr>
              <w:t>ки</w:t>
            </w:r>
            <w:r w:rsidRPr="00D923F3">
              <w:rPr>
                <w:rFonts w:ascii="Times New Roman" w:hAnsi="Times New Roman" w:cs="Times New Roman"/>
                <w:sz w:val="24"/>
                <w:szCs w:val="24"/>
              </w:rPr>
              <w:t xml:space="preserve"> изменени</w:t>
            </w:r>
            <w:r>
              <w:rPr>
                <w:rFonts w:ascii="Times New Roman" w:hAnsi="Times New Roman" w:cs="Times New Roman"/>
                <w:sz w:val="24"/>
                <w:szCs w:val="24"/>
              </w:rPr>
              <w:t>й</w:t>
            </w:r>
            <w:r w:rsidRPr="00D923F3">
              <w:rPr>
                <w:rFonts w:ascii="Times New Roman" w:hAnsi="Times New Roman" w:cs="Times New Roman"/>
                <w:sz w:val="24"/>
                <w:szCs w:val="24"/>
              </w:rPr>
              <w:t xml:space="preserve"> в Положение </w:t>
            </w:r>
            <w:r w:rsidR="00262756">
              <w:rPr>
                <w:rFonts w:ascii="Times New Roman" w:hAnsi="Times New Roman" w:cs="Times New Roman"/>
                <w:sz w:val="24"/>
                <w:szCs w:val="24"/>
              </w:rPr>
              <w:t>№</w:t>
            </w:r>
            <w:r>
              <w:rPr>
                <w:rFonts w:ascii="Times New Roman" w:hAnsi="Times New Roman" w:cs="Times New Roman"/>
                <w:sz w:val="24"/>
                <w:szCs w:val="24"/>
                <w:lang w:val="en-US"/>
              </w:rPr>
              <w:t> </w:t>
            </w:r>
            <w:r w:rsidRPr="00D923F3">
              <w:rPr>
                <w:rFonts w:ascii="Times New Roman" w:hAnsi="Times New Roman" w:cs="Times New Roman"/>
                <w:sz w:val="24"/>
                <w:szCs w:val="24"/>
              </w:rPr>
              <w:t>653-П, направленны</w:t>
            </w:r>
            <w:r>
              <w:rPr>
                <w:rFonts w:ascii="Times New Roman" w:hAnsi="Times New Roman" w:cs="Times New Roman"/>
                <w:sz w:val="24"/>
                <w:szCs w:val="24"/>
              </w:rPr>
              <w:t>х</w:t>
            </w:r>
            <w:r w:rsidRPr="00D923F3">
              <w:rPr>
                <w:rFonts w:ascii="Times New Roman" w:hAnsi="Times New Roman" w:cs="Times New Roman"/>
                <w:sz w:val="24"/>
                <w:szCs w:val="24"/>
              </w:rPr>
              <w:t xml:space="preserve"> на обеспечение принципа пропорциональности при </w:t>
            </w:r>
            <w:r>
              <w:rPr>
                <w:rFonts w:ascii="Times New Roman" w:hAnsi="Times New Roman" w:cs="Times New Roman"/>
                <w:sz w:val="24"/>
                <w:szCs w:val="24"/>
              </w:rPr>
              <w:t>разработке</w:t>
            </w:r>
            <w:r w:rsidRPr="00D923F3">
              <w:rPr>
                <w:rFonts w:ascii="Times New Roman" w:hAnsi="Times New Roman" w:cs="Times New Roman"/>
                <w:sz w:val="24"/>
                <w:szCs w:val="24"/>
              </w:rPr>
              <w:t xml:space="preserve"> ПВФУ,</w:t>
            </w:r>
            <w:r>
              <w:rPr>
                <w:rFonts w:ascii="Times New Roman" w:hAnsi="Times New Roman" w:cs="Times New Roman"/>
                <w:sz w:val="24"/>
                <w:szCs w:val="24"/>
              </w:rPr>
              <w:t xml:space="preserve"> уточнение требований к стресс-сценариям и мероприятиям ПВФУ,</w:t>
            </w:r>
            <w:r w:rsidRPr="00D923F3">
              <w:rPr>
                <w:rFonts w:ascii="Times New Roman" w:hAnsi="Times New Roman" w:cs="Times New Roman"/>
                <w:sz w:val="24"/>
                <w:szCs w:val="24"/>
              </w:rPr>
              <w:t xml:space="preserve"> повышение интегрированности ПВФУ в систему текущего и антикризисного управления в кредитных организациях (банковских группах), а также повышение качества разрабатываемых кредитными организациями ПВФУ.</w:t>
            </w:r>
          </w:p>
          <w:p w:rsidR="004568B4" w:rsidRPr="00D923F3" w:rsidRDefault="004568B4" w:rsidP="00A57B0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Также отмечаем, что Банк России </w:t>
            </w:r>
            <w:r w:rsidRPr="008A01B6">
              <w:rPr>
                <w:rFonts w:ascii="Times New Roman" w:hAnsi="Times New Roman" w:cs="Times New Roman"/>
                <w:sz w:val="24"/>
                <w:szCs w:val="24"/>
              </w:rPr>
              <w:t xml:space="preserve">в </w:t>
            </w:r>
            <w:r>
              <w:rPr>
                <w:rFonts w:ascii="Times New Roman" w:hAnsi="Times New Roman" w:cs="Times New Roman"/>
                <w:sz w:val="24"/>
                <w:szCs w:val="24"/>
                <w:lang w:val="en-US"/>
              </w:rPr>
              <w:t>III</w:t>
            </w:r>
            <w:r w:rsidRPr="008A01B6">
              <w:rPr>
                <w:rFonts w:ascii="Times New Roman" w:hAnsi="Times New Roman" w:cs="Times New Roman"/>
                <w:sz w:val="24"/>
                <w:szCs w:val="24"/>
              </w:rPr>
              <w:t xml:space="preserve"> </w:t>
            </w:r>
            <w:r>
              <w:rPr>
                <w:rFonts w:ascii="Times New Roman" w:hAnsi="Times New Roman" w:cs="Times New Roman"/>
                <w:sz w:val="24"/>
                <w:szCs w:val="24"/>
              </w:rPr>
              <w:t>квартале</w:t>
            </w:r>
            <w:r w:rsidRPr="008A01B6">
              <w:rPr>
                <w:rFonts w:ascii="Times New Roman" w:hAnsi="Times New Roman" w:cs="Times New Roman"/>
                <w:sz w:val="24"/>
                <w:szCs w:val="24"/>
              </w:rPr>
              <w:t xml:space="preserve"> 2019 </w:t>
            </w:r>
            <w:r>
              <w:rPr>
                <w:rFonts w:ascii="Times New Roman" w:hAnsi="Times New Roman" w:cs="Times New Roman"/>
                <w:sz w:val="24"/>
                <w:szCs w:val="24"/>
              </w:rPr>
              <w:t xml:space="preserve">года </w:t>
            </w:r>
            <w:r w:rsidRPr="008A01B6">
              <w:rPr>
                <w:rFonts w:ascii="Times New Roman" w:hAnsi="Times New Roman" w:cs="Times New Roman"/>
                <w:sz w:val="24"/>
                <w:szCs w:val="24"/>
              </w:rPr>
              <w:t>направл</w:t>
            </w:r>
            <w:r>
              <w:rPr>
                <w:rFonts w:ascii="Times New Roman" w:hAnsi="Times New Roman" w:cs="Times New Roman"/>
                <w:sz w:val="24"/>
                <w:szCs w:val="24"/>
              </w:rPr>
              <w:t>ял</w:t>
            </w:r>
            <w:r w:rsidRPr="008A01B6">
              <w:rPr>
                <w:rFonts w:ascii="Times New Roman" w:hAnsi="Times New Roman" w:cs="Times New Roman"/>
                <w:sz w:val="24"/>
                <w:szCs w:val="24"/>
              </w:rPr>
              <w:t xml:space="preserve"> обзор основных недостатков в адрес СЗКО, которые в соответствии с частью 4 статьи 57 Федерального закона от 10.07.2002 № 86-ФЗ</w:t>
            </w:r>
            <w:r w:rsidR="00A57B04">
              <w:rPr>
                <w:rFonts w:ascii="Times New Roman" w:hAnsi="Times New Roman" w:cs="Times New Roman"/>
                <w:sz w:val="24"/>
                <w:szCs w:val="24"/>
              </w:rPr>
              <w:t xml:space="preserve"> </w:t>
            </w:r>
            <w:r w:rsidRPr="008A01B6">
              <w:rPr>
                <w:rFonts w:ascii="Times New Roman" w:hAnsi="Times New Roman" w:cs="Times New Roman"/>
                <w:sz w:val="24"/>
                <w:szCs w:val="24"/>
              </w:rPr>
              <w:t>«О Центральном банке Российской Федерации (Банке</w:t>
            </w:r>
            <w:r>
              <w:rPr>
                <w:rFonts w:ascii="Times New Roman" w:hAnsi="Times New Roman" w:cs="Times New Roman"/>
                <w:sz w:val="24"/>
                <w:szCs w:val="24"/>
              </w:rPr>
              <w:t xml:space="preserve"> </w:t>
            </w:r>
            <w:r w:rsidRPr="008A01B6">
              <w:rPr>
                <w:rFonts w:ascii="Times New Roman" w:hAnsi="Times New Roman" w:cs="Times New Roman"/>
                <w:sz w:val="24"/>
                <w:szCs w:val="24"/>
              </w:rPr>
              <w:t>России)»</w:t>
            </w:r>
            <w:r w:rsidR="00A57B04">
              <w:rPr>
                <w:rFonts w:ascii="Times New Roman" w:hAnsi="Times New Roman" w:cs="Times New Roman"/>
                <w:sz w:val="24"/>
                <w:szCs w:val="24"/>
              </w:rPr>
              <w:t xml:space="preserve"> (далее – Федеральный закон №86-ФЗ)</w:t>
            </w:r>
            <w:r w:rsidRPr="008A01B6">
              <w:rPr>
                <w:rFonts w:ascii="Times New Roman" w:hAnsi="Times New Roman" w:cs="Times New Roman"/>
                <w:sz w:val="24"/>
                <w:szCs w:val="24"/>
              </w:rPr>
              <w:t xml:space="preserve"> и пунктом 2.2 Положения</w:t>
            </w:r>
            <w:r w:rsidR="00A57B04">
              <w:rPr>
                <w:rFonts w:ascii="Times New Roman" w:hAnsi="Times New Roman" w:cs="Times New Roman"/>
                <w:sz w:val="24"/>
                <w:szCs w:val="24"/>
              </w:rPr>
              <w:t xml:space="preserve"> </w:t>
            </w:r>
            <w:r w:rsidRPr="008A01B6">
              <w:rPr>
                <w:rFonts w:ascii="Times New Roman" w:hAnsi="Times New Roman" w:cs="Times New Roman"/>
                <w:sz w:val="24"/>
                <w:szCs w:val="24"/>
              </w:rPr>
              <w:t>№ 653-П</w:t>
            </w:r>
            <w:r>
              <w:rPr>
                <w:rFonts w:ascii="Times New Roman" w:hAnsi="Times New Roman" w:cs="Times New Roman"/>
                <w:sz w:val="24"/>
                <w:szCs w:val="24"/>
              </w:rPr>
              <w:t xml:space="preserve"> </w:t>
            </w:r>
            <w:r w:rsidRPr="008A01B6">
              <w:rPr>
                <w:rFonts w:ascii="Times New Roman" w:hAnsi="Times New Roman" w:cs="Times New Roman"/>
                <w:sz w:val="24"/>
                <w:szCs w:val="24"/>
              </w:rPr>
              <w:t>обязательном порядке составляют и представляют ПВФУ в Банк России.</w:t>
            </w:r>
            <w:r>
              <w:rPr>
                <w:rFonts w:ascii="Times New Roman" w:hAnsi="Times New Roman" w:cs="Times New Roman"/>
                <w:sz w:val="24"/>
                <w:szCs w:val="24"/>
              </w:rPr>
              <w:t xml:space="preserve"> </w:t>
            </w:r>
            <w:r w:rsidRPr="008A01B6">
              <w:rPr>
                <w:rFonts w:ascii="Times New Roman" w:hAnsi="Times New Roman" w:cs="Times New Roman"/>
                <w:sz w:val="24"/>
                <w:szCs w:val="24"/>
              </w:rPr>
              <w:t>Указанная практика будет продолжена.</w:t>
            </w:r>
          </w:p>
        </w:tc>
      </w:tr>
      <w:tr w:rsidR="004568B4" w:rsidRPr="00D923F3" w:rsidTr="00262756">
        <w:tc>
          <w:tcPr>
            <w:tcW w:w="801" w:type="dxa"/>
            <w:vMerge/>
          </w:tcPr>
          <w:p w:rsidR="004568B4" w:rsidRPr="00D923F3" w:rsidRDefault="004568B4" w:rsidP="004568B4">
            <w:pPr>
              <w:spacing w:after="0" w:line="240" w:lineRule="auto"/>
              <w:jc w:val="center"/>
              <w:rPr>
                <w:rFonts w:ascii="Times New Roman" w:hAnsi="Times New Roman" w:cs="Times New Roman"/>
                <w:sz w:val="24"/>
                <w:szCs w:val="24"/>
              </w:rPr>
            </w:pPr>
          </w:p>
        </w:tc>
        <w:tc>
          <w:tcPr>
            <w:tcW w:w="6412" w:type="dxa"/>
            <w:tcBorders>
              <w:bottom w:val="nil"/>
            </w:tcBorders>
          </w:tcPr>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Кроме того, в части применения Положения № 653-П кредитными организациями, не являющимися системно значимыми, просим уточнить:</w:t>
            </w:r>
          </w:p>
        </w:tc>
        <w:tc>
          <w:tcPr>
            <w:tcW w:w="7950" w:type="dxa"/>
            <w:tcBorders>
              <w:bottom w:val="nil"/>
            </w:tcBorders>
          </w:tcPr>
          <w:p w:rsidR="004568B4" w:rsidRPr="00D923F3" w:rsidRDefault="004568B4" w:rsidP="004568B4">
            <w:pPr>
              <w:pStyle w:val="a4"/>
              <w:tabs>
                <w:tab w:val="left" w:pos="567"/>
                <w:tab w:val="left" w:pos="993"/>
              </w:tabs>
              <w:ind w:left="0" w:firstLine="175"/>
              <w:jc w:val="both"/>
              <w:rPr>
                <w:rFonts w:ascii="Times New Roman" w:hAnsi="Times New Roman" w:cs="Times New Roman"/>
                <w:sz w:val="24"/>
                <w:szCs w:val="24"/>
              </w:rPr>
            </w:pPr>
            <w:r w:rsidRPr="00D923F3">
              <w:rPr>
                <w:rFonts w:ascii="Times New Roman" w:hAnsi="Times New Roman" w:cs="Times New Roman"/>
                <w:sz w:val="24"/>
                <w:szCs w:val="24"/>
              </w:rPr>
              <w:t xml:space="preserve"> </w:t>
            </w:r>
          </w:p>
        </w:tc>
      </w:tr>
      <w:tr w:rsidR="004568B4" w:rsidRPr="00D923F3" w:rsidTr="00262756">
        <w:trPr>
          <w:trHeight w:val="567"/>
        </w:trPr>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6412" w:type="dxa"/>
            <w:tcBorders>
              <w:top w:val="nil"/>
              <w:bottom w:val="nil"/>
            </w:tcBorders>
          </w:tcPr>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 xml:space="preserve">1) В соответствии с п.2.1 Положения № 653-П кредитные организации представляют в Банк России ПВФУ в срок не позднее 30 рабочих дней с даты получения требования о разработке и представлении ПВФУ. В целях выполнения указанного пункта Положения Банка России № 653-П кредитной организации, которая не является системно значимой, при получении соответствующего требования Банка России следует представить действующий (при </w:t>
            </w:r>
            <w:r w:rsidRPr="00D923F3">
              <w:rPr>
                <w:rFonts w:ascii="Times New Roman" w:eastAsia="Calibri" w:hAnsi="Times New Roman" w:cs="Times New Roman"/>
                <w:sz w:val="24"/>
                <w:szCs w:val="24"/>
                <w:lang w:bidi="ru-RU"/>
              </w:rPr>
              <w:lastRenderedPageBreak/>
              <w:t>наличии) на момент запроса Банка России ПВФУ или необходимо его актуализировать в соответствии с данными финансовой отчетности на ближайшую отчетную дату?</w:t>
            </w:r>
          </w:p>
        </w:tc>
        <w:tc>
          <w:tcPr>
            <w:tcW w:w="7950" w:type="dxa"/>
            <w:tcBorders>
              <w:top w:val="nil"/>
              <w:bottom w:val="nil"/>
            </w:tcBorders>
          </w:tcPr>
          <w:p w:rsidR="004568B4" w:rsidRPr="00D923F3" w:rsidRDefault="004568B4" w:rsidP="004568B4">
            <w:pPr>
              <w:pStyle w:val="a4"/>
              <w:tabs>
                <w:tab w:val="left" w:pos="567"/>
                <w:tab w:val="left" w:pos="993"/>
              </w:tabs>
              <w:ind w:left="0" w:firstLine="175"/>
              <w:jc w:val="both"/>
              <w:rPr>
                <w:rFonts w:ascii="Times New Roman" w:hAnsi="Times New Roman" w:cs="Times New Roman"/>
                <w:sz w:val="24"/>
                <w:szCs w:val="24"/>
              </w:rPr>
            </w:pPr>
            <w:r w:rsidRPr="00D923F3">
              <w:rPr>
                <w:rFonts w:ascii="Times New Roman" w:hAnsi="Times New Roman" w:cs="Times New Roman"/>
                <w:sz w:val="24"/>
                <w:szCs w:val="24"/>
              </w:rPr>
              <w:lastRenderedPageBreak/>
              <w:t>Несмотря на то, что Положение № 653-П содержит требование к анализу финансового состояния в рамках ПВФУ (</w:t>
            </w:r>
            <w:r>
              <w:rPr>
                <w:rFonts w:ascii="Times New Roman" w:hAnsi="Times New Roman" w:cs="Times New Roman"/>
                <w:sz w:val="24"/>
                <w:szCs w:val="24"/>
              </w:rPr>
              <w:t>анализ</w:t>
            </w:r>
            <w:r w:rsidRPr="00D923F3">
              <w:rPr>
                <w:rFonts w:ascii="Times New Roman" w:hAnsi="Times New Roman" w:cs="Times New Roman"/>
                <w:sz w:val="24"/>
                <w:szCs w:val="24"/>
              </w:rPr>
              <w:t xml:space="preserve"> должен быть актуален на отчетную дату, предшествующую дате утверждения ПВФУ), Банк России при проведении оценки ПВФУ в первую очередь уделяет внимание проработке в ПВФУ ключевых элементов таких как:</w:t>
            </w:r>
          </w:p>
          <w:p w:rsidR="004568B4" w:rsidRDefault="004568B4" w:rsidP="004568B4">
            <w:pPr>
              <w:pStyle w:val="a4"/>
              <w:numPr>
                <w:ilvl w:val="0"/>
                <w:numId w:val="17"/>
              </w:numPr>
              <w:tabs>
                <w:tab w:val="left" w:pos="567"/>
                <w:tab w:val="left" w:pos="993"/>
              </w:tabs>
              <w:ind w:left="0" w:firstLine="175"/>
              <w:jc w:val="both"/>
              <w:rPr>
                <w:rFonts w:ascii="Times New Roman" w:hAnsi="Times New Roman" w:cs="Times New Roman"/>
                <w:sz w:val="24"/>
                <w:szCs w:val="24"/>
              </w:rPr>
            </w:pPr>
            <w:r>
              <w:rPr>
                <w:rFonts w:ascii="Times New Roman" w:hAnsi="Times New Roman" w:cs="Times New Roman"/>
                <w:sz w:val="24"/>
                <w:szCs w:val="24"/>
              </w:rPr>
              <w:t>бизнес-план (базовый план развития);</w:t>
            </w:r>
          </w:p>
          <w:p w:rsidR="004568B4" w:rsidRPr="00D923F3" w:rsidRDefault="004568B4" w:rsidP="004568B4">
            <w:pPr>
              <w:pStyle w:val="a4"/>
              <w:numPr>
                <w:ilvl w:val="0"/>
                <w:numId w:val="17"/>
              </w:numPr>
              <w:tabs>
                <w:tab w:val="left" w:pos="567"/>
                <w:tab w:val="left" w:pos="993"/>
              </w:tabs>
              <w:ind w:left="0" w:firstLine="175"/>
              <w:jc w:val="both"/>
              <w:rPr>
                <w:rFonts w:ascii="Times New Roman" w:hAnsi="Times New Roman" w:cs="Times New Roman"/>
                <w:sz w:val="24"/>
                <w:szCs w:val="24"/>
              </w:rPr>
            </w:pPr>
            <w:r w:rsidRPr="00D923F3">
              <w:rPr>
                <w:rFonts w:ascii="Times New Roman" w:hAnsi="Times New Roman" w:cs="Times New Roman"/>
                <w:sz w:val="24"/>
                <w:szCs w:val="24"/>
              </w:rPr>
              <w:t xml:space="preserve">стресс-сценарии; </w:t>
            </w:r>
          </w:p>
          <w:p w:rsidR="004568B4" w:rsidRPr="00D923F3" w:rsidRDefault="004568B4" w:rsidP="004568B4">
            <w:pPr>
              <w:pStyle w:val="a4"/>
              <w:numPr>
                <w:ilvl w:val="0"/>
                <w:numId w:val="17"/>
              </w:numPr>
              <w:tabs>
                <w:tab w:val="left" w:pos="567"/>
                <w:tab w:val="left" w:pos="993"/>
              </w:tabs>
              <w:ind w:left="0" w:firstLine="175"/>
              <w:jc w:val="both"/>
              <w:rPr>
                <w:rFonts w:ascii="Times New Roman" w:hAnsi="Times New Roman" w:cs="Times New Roman"/>
                <w:sz w:val="24"/>
                <w:szCs w:val="24"/>
              </w:rPr>
            </w:pPr>
            <w:r w:rsidRPr="00D923F3">
              <w:rPr>
                <w:rFonts w:ascii="Times New Roman" w:hAnsi="Times New Roman" w:cs="Times New Roman"/>
                <w:sz w:val="24"/>
                <w:szCs w:val="24"/>
              </w:rPr>
              <w:lastRenderedPageBreak/>
              <w:t>мероприятия ПВФУ;</w:t>
            </w:r>
          </w:p>
          <w:p w:rsidR="004568B4" w:rsidRPr="00D923F3" w:rsidRDefault="004568B4" w:rsidP="004568B4">
            <w:pPr>
              <w:pStyle w:val="a4"/>
              <w:numPr>
                <w:ilvl w:val="0"/>
                <w:numId w:val="17"/>
              </w:numPr>
              <w:tabs>
                <w:tab w:val="left" w:pos="567"/>
                <w:tab w:val="left" w:pos="993"/>
              </w:tabs>
              <w:ind w:left="0" w:firstLine="175"/>
              <w:jc w:val="both"/>
              <w:rPr>
                <w:rFonts w:ascii="Times New Roman" w:hAnsi="Times New Roman" w:cs="Times New Roman"/>
                <w:sz w:val="24"/>
                <w:szCs w:val="24"/>
              </w:rPr>
            </w:pPr>
            <w:r w:rsidRPr="00D923F3">
              <w:rPr>
                <w:rFonts w:ascii="Times New Roman" w:hAnsi="Times New Roman" w:cs="Times New Roman"/>
                <w:sz w:val="24"/>
                <w:szCs w:val="24"/>
              </w:rPr>
              <w:t>индикаторы реализации мероприятий ПВФУ.</w:t>
            </w:r>
          </w:p>
          <w:p w:rsidR="004568B4" w:rsidRPr="00D923F3" w:rsidRDefault="004568B4" w:rsidP="004568B4">
            <w:pPr>
              <w:pStyle w:val="a4"/>
              <w:tabs>
                <w:tab w:val="left" w:pos="567"/>
                <w:tab w:val="left" w:pos="993"/>
              </w:tabs>
              <w:ind w:left="0" w:firstLine="175"/>
              <w:jc w:val="both"/>
              <w:rPr>
                <w:rFonts w:ascii="Times New Roman" w:hAnsi="Times New Roman" w:cs="Times New Roman"/>
                <w:sz w:val="24"/>
                <w:szCs w:val="24"/>
              </w:rPr>
            </w:pPr>
            <w:r w:rsidRPr="00D923F3">
              <w:rPr>
                <w:rFonts w:ascii="Times New Roman" w:hAnsi="Times New Roman" w:cs="Times New Roman"/>
                <w:sz w:val="24"/>
                <w:szCs w:val="24"/>
              </w:rPr>
              <w:t xml:space="preserve">Указанные элементы являются </w:t>
            </w:r>
            <w:r>
              <w:rPr>
                <w:rFonts w:ascii="Times New Roman" w:hAnsi="Times New Roman" w:cs="Times New Roman"/>
                <w:sz w:val="24"/>
                <w:szCs w:val="24"/>
              </w:rPr>
              <w:t xml:space="preserve">одними из </w:t>
            </w:r>
            <w:r w:rsidRPr="00D923F3">
              <w:rPr>
                <w:rFonts w:ascii="Times New Roman" w:hAnsi="Times New Roman" w:cs="Times New Roman"/>
                <w:sz w:val="24"/>
                <w:szCs w:val="24"/>
              </w:rPr>
              <w:t>основны</w:t>
            </w:r>
            <w:r>
              <w:rPr>
                <w:rFonts w:ascii="Times New Roman" w:hAnsi="Times New Roman" w:cs="Times New Roman"/>
                <w:sz w:val="24"/>
                <w:szCs w:val="24"/>
              </w:rPr>
              <w:t>х</w:t>
            </w:r>
            <w:r w:rsidRPr="00D923F3">
              <w:rPr>
                <w:rFonts w:ascii="Times New Roman" w:hAnsi="Times New Roman" w:cs="Times New Roman"/>
                <w:sz w:val="24"/>
                <w:szCs w:val="24"/>
              </w:rPr>
              <w:t xml:space="preserve"> составляющи</w:t>
            </w:r>
            <w:r>
              <w:rPr>
                <w:rFonts w:ascii="Times New Roman" w:hAnsi="Times New Roman" w:cs="Times New Roman"/>
                <w:sz w:val="24"/>
                <w:szCs w:val="24"/>
              </w:rPr>
              <w:t>х</w:t>
            </w:r>
            <w:r w:rsidRPr="00D923F3">
              <w:rPr>
                <w:rFonts w:ascii="Times New Roman" w:hAnsi="Times New Roman" w:cs="Times New Roman"/>
                <w:sz w:val="24"/>
                <w:szCs w:val="24"/>
              </w:rPr>
              <w:t>, обеспечивающи</w:t>
            </w:r>
            <w:r>
              <w:rPr>
                <w:rFonts w:ascii="Times New Roman" w:hAnsi="Times New Roman" w:cs="Times New Roman"/>
                <w:sz w:val="24"/>
                <w:szCs w:val="24"/>
              </w:rPr>
              <w:t>х</w:t>
            </w:r>
            <w:r w:rsidRPr="00D923F3">
              <w:rPr>
                <w:rFonts w:ascii="Times New Roman" w:hAnsi="Times New Roman" w:cs="Times New Roman"/>
                <w:sz w:val="24"/>
                <w:szCs w:val="24"/>
              </w:rPr>
              <w:t xml:space="preserve"> выстраивание в кредитной организации конкретного механизма действий при ухудшении ее финансового состояния (потере финансовой устойчивости), поэтому Банк России осуществляет </w:t>
            </w:r>
            <w:r>
              <w:rPr>
                <w:rFonts w:ascii="Times New Roman" w:hAnsi="Times New Roman" w:cs="Times New Roman"/>
                <w:sz w:val="24"/>
                <w:szCs w:val="24"/>
              </w:rPr>
              <w:t>оценку ПВФУ</w:t>
            </w:r>
            <w:r w:rsidRPr="00D923F3">
              <w:rPr>
                <w:rFonts w:ascii="Times New Roman" w:hAnsi="Times New Roman" w:cs="Times New Roman"/>
                <w:sz w:val="24"/>
                <w:szCs w:val="24"/>
              </w:rPr>
              <w:t xml:space="preserve"> на предмет их актуальности, соответстви</w:t>
            </w:r>
            <w:r>
              <w:rPr>
                <w:rFonts w:ascii="Times New Roman" w:hAnsi="Times New Roman" w:cs="Times New Roman"/>
                <w:sz w:val="24"/>
                <w:szCs w:val="24"/>
              </w:rPr>
              <w:t>ю</w:t>
            </w:r>
            <w:r w:rsidRPr="00D923F3">
              <w:rPr>
                <w:rFonts w:ascii="Times New Roman" w:hAnsi="Times New Roman" w:cs="Times New Roman"/>
                <w:sz w:val="24"/>
                <w:szCs w:val="24"/>
              </w:rPr>
              <w:t xml:space="preserve"> характеру и масштабу деятельности КО,</w:t>
            </w:r>
            <w:r>
              <w:rPr>
                <w:rFonts w:ascii="Times New Roman" w:hAnsi="Times New Roman" w:cs="Times New Roman"/>
                <w:sz w:val="24"/>
                <w:szCs w:val="24"/>
              </w:rPr>
              <w:t xml:space="preserve"> </w:t>
            </w:r>
            <w:r w:rsidRPr="00D923F3">
              <w:rPr>
                <w:rFonts w:ascii="Times New Roman" w:hAnsi="Times New Roman" w:cs="Times New Roman"/>
                <w:sz w:val="24"/>
                <w:szCs w:val="24"/>
              </w:rPr>
              <w:t>уровню и сочетанию принимаемых КО рисков</w:t>
            </w:r>
            <w:r>
              <w:rPr>
                <w:rFonts w:ascii="Times New Roman" w:hAnsi="Times New Roman" w:cs="Times New Roman"/>
                <w:sz w:val="24"/>
                <w:szCs w:val="24"/>
              </w:rPr>
              <w:t>,</w:t>
            </w:r>
            <w:r w:rsidRPr="00D923F3">
              <w:rPr>
                <w:rFonts w:ascii="Times New Roman" w:hAnsi="Times New Roman" w:cs="Times New Roman"/>
                <w:sz w:val="24"/>
                <w:szCs w:val="24"/>
              </w:rPr>
              <w:t xml:space="preserve"> </w:t>
            </w:r>
            <w:r>
              <w:rPr>
                <w:rFonts w:ascii="Times New Roman" w:hAnsi="Times New Roman" w:cs="Times New Roman"/>
                <w:sz w:val="24"/>
                <w:szCs w:val="24"/>
              </w:rPr>
              <w:t xml:space="preserve">фактической </w:t>
            </w:r>
            <w:r w:rsidRPr="00D923F3">
              <w:rPr>
                <w:rFonts w:ascii="Times New Roman" w:hAnsi="Times New Roman" w:cs="Times New Roman"/>
                <w:sz w:val="24"/>
                <w:szCs w:val="24"/>
              </w:rPr>
              <w:t>направленности на поддержание непрерывности дея</w:t>
            </w:r>
            <w:r>
              <w:rPr>
                <w:rFonts w:ascii="Times New Roman" w:hAnsi="Times New Roman" w:cs="Times New Roman"/>
                <w:sz w:val="24"/>
                <w:szCs w:val="24"/>
              </w:rPr>
              <w:t>тельности кредитной организации</w:t>
            </w:r>
            <w:r w:rsidRPr="00D923F3">
              <w:rPr>
                <w:rFonts w:ascii="Times New Roman" w:hAnsi="Times New Roman" w:cs="Times New Roman"/>
                <w:sz w:val="24"/>
                <w:szCs w:val="24"/>
              </w:rPr>
              <w:t xml:space="preserve">. </w:t>
            </w:r>
          </w:p>
          <w:p w:rsidR="004568B4" w:rsidRPr="00D923F3" w:rsidRDefault="004568B4" w:rsidP="004568B4">
            <w:pPr>
              <w:spacing w:after="0" w:line="240" w:lineRule="auto"/>
              <w:ind w:firstLine="175"/>
              <w:jc w:val="both"/>
              <w:rPr>
                <w:rFonts w:ascii="Times New Roman" w:hAnsi="Times New Roman" w:cs="Times New Roman"/>
                <w:sz w:val="24"/>
                <w:szCs w:val="24"/>
              </w:rPr>
            </w:pPr>
            <w:r w:rsidRPr="00D923F3">
              <w:rPr>
                <w:rFonts w:ascii="Times New Roman" w:hAnsi="Times New Roman" w:cs="Times New Roman"/>
                <w:sz w:val="24"/>
                <w:szCs w:val="24"/>
              </w:rPr>
              <w:t>При этом пункт 1.5 Положения № 653-П не содержит в качестве основания для актуализации ПВФУ направление Банком России требования о представлении ПВФУ в Банк России. Таким образом, кредитная организация может при направлении Банком России указанного требования представить уже действующий ПВФУ (при его наличии), если он является актуальным в соответствии с требованиями пункта 1.5 Положения № 653-П, прежде всего в части указанных</w:t>
            </w:r>
            <w:r>
              <w:rPr>
                <w:rFonts w:ascii="Times New Roman" w:hAnsi="Times New Roman" w:cs="Times New Roman"/>
                <w:sz w:val="24"/>
                <w:szCs w:val="24"/>
              </w:rPr>
              <w:t xml:space="preserve"> выше</w:t>
            </w:r>
            <w:r w:rsidRPr="00D923F3">
              <w:rPr>
                <w:rFonts w:ascii="Times New Roman" w:hAnsi="Times New Roman" w:cs="Times New Roman"/>
                <w:sz w:val="24"/>
                <w:szCs w:val="24"/>
              </w:rPr>
              <w:t xml:space="preserve"> ключевых элементов ПВФУ.</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6412" w:type="dxa"/>
            <w:tcBorders>
              <w:top w:val="nil"/>
            </w:tcBorders>
          </w:tcPr>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 xml:space="preserve">2) Распространяется ли требование п. 2.5 Положения </w:t>
            </w:r>
            <w:r w:rsidR="00A57B04">
              <w:rPr>
                <w:rFonts w:ascii="Times New Roman" w:eastAsia="Calibri" w:hAnsi="Times New Roman" w:cs="Times New Roman"/>
                <w:sz w:val="24"/>
                <w:szCs w:val="24"/>
                <w:lang w:bidi="ru-RU"/>
              </w:rPr>
              <w:br/>
            </w:r>
            <w:r w:rsidRPr="00D923F3">
              <w:rPr>
                <w:rFonts w:ascii="Times New Roman" w:eastAsia="Calibri" w:hAnsi="Times New Roman" w:cs="Times New Roman"/>
                <w:sz w:val="24"/>
                <w:szCs w:val="24"/>
                <w:lang w:bidi="ru-RU"/>
              </w:rPr>
              <w:t>№ 653-П о представлении для оценки в Банк России новой редакции ПВФУ для кредитных организаций, которые не являются системно значимыми, разрабатывают ПВФУ на плановой основе и не получали требования от Банка России, предусмотренного п.2.1 Положения № 653-П, о разработке ПВФУ?</w:t>
            </w:r>
          </w:p>
        </w:tc>
        <w:tc>
          <w:tcPr>
            <w:tcW w:w="7950" w:type="dxa"/>
            <w:tcBorders>
              <w:top w:val="nil"/>
            </w:tcBorders>
          </w:tcPr>
          <w:p w:rsidR="004568B4" w:rsidRPr="00D923F3" w:rsidRDefault="004568B4" w:rsidP="004568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ПВФУ, разработанный КО без получения соответствующего требования Банка России, рекомендуется также поддерживать в актуальном состоянии для повышения эффективности механизма ПВФУ в целом. При этом необходимость представления в Банк России в соответствии с </w:t>
            </w:r>
            <w:r w:rsidRPr="00800A0C">
              <w:rPr>
                <w:rFonts w:ascii="Times New Roman" w:hAnsi="Times New Roman" w:cs="Times New Roman"/>
                <w:sz w:val="24"/>
                <w:szCs w:val="24"/>
              </w:rPr>
              <w:t>2.5 Положения №653-П</w:t>
            </w:r>
            <w:r>
              <w:rPr>
                <w:rFonts w:ascii="Times New Roman" w:hAnsi="Times New Roman" w:cs="Times New Roman"/>
                <w:sz w:val="24"/>
                <w:szCs w:val="24"/>
              </w:rPr>
              <w:t xml:space="preserve"> изменений в виде новой редакции ПВФУ отсутствует.</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412" w:type="dxa"/>
          </w:tcPr>
          <w:p w:rsidR="004568B4" w:rsidRPr="00D923F3" w:rsidRDefault="004568B4" w:rsidP="004568B4">
            <w:pPr>
              <w:spacing w:after="0" w:line="240" w:lineRule="auto"/>
              <w:ind w:firstLine="175"/>
              <w:contextualSpacing/>
              <w:jc w:val="both"/>
              <w:rPr>
                <w:rFonts w:ascii="Times New Roman" w:eastAsia="Calibri" w:hAnsi="Times New Roman" w:cs="Times New Roman"/>
                <w:sz w:val="24"/>
                <w:szCs w:val="24"/>
              </w:rPr>
            </w:pPr>
            <w:r w:rsidRPr="00D923F3">
              <w:rPr>
                <w:rFonts w:ascii="Times New Roman" w:eastAsia="Calibri" w:hAnsi="Times New Roman" w:cs="Times New Roman"/>
                <w:sz w:val="24"/>
                <w:szCs w:val="24"/>
              </w:rPr>
              <w:t xml:space="preserve">Предлагаем ввести </w:t>
            </w:r>
            <w:r w:rsidRPr="00D923F3">
              <w:rPr>
                <w:rFonts w:ascii="Times New Roman" w:eastAsia="Times New Roman" w:hAnsi="Times New Roman" w:cs="Times New Roman"/>
                <w:bCs/>
                <w:sz w:val="24"/>
                <w:szCs w:val="24"/>
                <w:lang w:eastAsia="ar-SA"/>
              </w:rPr>
              <w:t xml:space="preserve">изменения в ст. 57 </w:t>
            </w:r>
            <w:r w:rsidR="00A57B04">
              <w:rPr>
                <w:rFonts w:ascii="Times New Roman" w:eastAsia="Times New Roman" w:hAnsi="Times New Roman" w:cs="Times New Roman"/>
                <w:bCs/>
                <w:sz w:val="24"/>
                <w:szCs w:val="24"/>
                <w:lang w:eastAsia="ar-SA"/>
              </w:rPr>
              <w:t>Федерального з</w:t>
            </w:r>
            <w:r w:rsidRPr="00D923F3">
              <w:rPr>
                <w:rFonts w:ascii="Times New Roman" w:eastAsia="Times New Roman" w:hAnsi="Times New Roman" w:cs="Times New Roman"/>
                <w:bCs/>
                <w:sz w:val="24"/>
                <w:szCs w:val="24"/>
                <w:lang w:eastAsia="ar-SA"/>
              </w:rPr>
              <w:t>акона №</w:t>
            </w:r>
            <w:r w:rsidRPr="00D923F3">
              <w:rPr>
                <w:rFonts w:ascii="Times New Roman" w:eastAsia="Times New Roman" w:hAnsi="Times New Roman" w:cs="Times New Roman"/>
                <w:bCs/>
                <w:sz w:val="24"/>
                <w:szCs w:val="24"/>
                <w:lang w:val="en-US" w:eastAsia="ar-SA"/>
              </w:rPr>
              <w:t> </w:t>
            </w:r>
            <w:r w:rsidRPr="00D923F3">
              <w:rPr>
                <w:rFonts w:ascii="Times New Roman" w:eastAsia="Times New Roman" w:hAnsi="Times New Roman" w:cs="Times New Roman"/>
                <w:bCs/>
                <w:sz w:val="24"/>
                <w:szCs w:val="24"/>
                <w:lang w:eastAsia="ar-SA"/>
              </w:rPr>
              <w:t>86-ФЗ</w:t>
            </w:r>
            <w:r w:rsidRPr="00D923F3">
              <w:rPr>
                <w:rFonts w:ascii="Times New Roman" w:eastAsia="Calibri" w:hAnsi="Times New Roman" w:cs="Times New Roman"/>
                <w:sz w:val="24"/>
                <w:szCs w:val="24"/>
              </w:rPr>
              <w:t xml:space="preserve"> и Положение №</w:t>
            </w:r>
            <w:r w:rsidRPr="00D923F3">
              <w:rPr>
                <w:rFonts w:ascii="Times New Roman" w:eastAsia="Calibri" w:hAnsi="Times New Roman" w:cs="Times New Roman"/>
                <w:sz w:val="24"/>
                <w:szCs w:val="24"/>
                <w:lang w:val="en-US"/>
              </w:rPr>
              <w:t> </w:t>
            </w:r>
            <w:r w:rsidRPr="00D923F3">
              <w:rPr>
                <w:rFonts w:ascii="Times New Roman" w:eastAsia="Calibri" w:hAnsi="Times New Roman" w:cs="Times New Roman"/>
                <w:sz w:val="24"/>
                <w:szCs w:val="24"/>
              </w:rPr>
              <w:t xml:space="preserve">653-П, </w:t>
            </w:r>
            <w:r w:rsidRPr="00D923F3">
              <w:rPr>
                <w:rFonts w:ascii="Times New Roman" w:eastAsia="Calibri" w:hAnsi="Times New Roman" w:cs="Times New Roman"/>
                <w:b/>
                <w:bCs/>
                <w:sz w:val="24"/>
                <w:szCs w:val="24"/>
              </w:rPr>
              <w:t>исключив банки с базовой</w:t>
            </w:r>
            <w:r w:rsidRPr="00D923F3">
              <w:rPr>
                <w:rFonts w:ascii="Times New Roman" w:eastAsia="Calibri" w:hAnsi="Times New Roman" w:cs="Times New Roman"/>
                <w:sz w:val="24"/>
                <w:szCs w:val="24"/>
              </w:rPr>
              <w:t xml:space="preserve"> лицензией из списка кредитных организаций, у </w:t>
            </w:r>
            <w:r w:rsidRPr="00D923F3">
              <w:rPr>
                <w:rFonts w:ascii="Times New Roman" w:eastAsia="Calibri" w:hAnsi="Times New Roman" w:cs="Times New Roman"/>
                <w:sz w:val="24"/>
                <w:szCs w:val="24"/>
              </w:rPr>
              <w:lastRenderedPageBreak/>
              <w:t xml:space="preserve">которых ЦБ РФ вправе запрашивать представления </w:t>
            </w:r>
            <w:r w:rsidRPr="00D923F3">
              <w:rPr>
                <w:rFonts w:ascii="Times New Roman" w:eastAsia="Calibri" w:hAnsi="Times New Roman" w:cs="Times New Roman"/>
                <w:bCs/>
                <w:sz w:val="24"/>
                <w:szCs w:val="24"/>
              </w:rPr>
              <w:t>планов восстановления финансовой устойчивости.</w:t>
            </w:r>
          </w:p>
          <w:p w:rsidR="004568B4" w:rsidRPr="00D923F3" w:rsidRDefault="004568B4" w:rsidP="00A57B04">
            <w:pPr>
              <w:spacing w:after="0" w:line="240" w:lineRule="auto"/>
              <w:ind w:firstLine="175"/>
              <w:jc w:val="both"/>
              <w:rPr>
                <w:rFonts w:ascii="Times New Roman" w:eastAsia="Calibri" w:hAnsi="Times New Roman" w:cs="Times New Roman"/>
                <w:sz w:val="24"/>
                <w:szCs w:val="24"/>
                <w:lang w:bidi="ru-RU"/>
              </w:rPr>
            </w:pPr>
            <w:r w:rsidRPr="00D923F3">
              <w:rPr>
                <w:rFonts w:ascii="Times New Roman" w:eastAsia="Times New Roman" w:hAnsi="Times New Roman" w:cs="Times New Roman"/>
                <w:sz w:val="24"/>
                <w:szCs w:val="24"/>
                <w:lang w:eastAsia="ru-RU"/>
              </w:rPr>
              <w:t>Учитывая невысокую долю в активах банковского сектора, формируемую банками с базовой лицензией (около 5%), наличие такого дополнительного инструмента поддержания их финансовой устойчивости представляется избыточным и создает большую дополнительную регуляторную нагрузку на малые банки. Кроме Бизнес-плана, Плана ОНиВД, ежегодная разработка и ежеквартальная актуализация Плана ВФУ требует огромных трудозатрат без очевидного экономического эффекта. Отсутствие четких критериев оценки Плана ВФУ позволяет ЦБ РФ предъявлять непомерно высокие требования к его содержанию (включая проведение динамического агрегированного стресс-тестирования, не применяемого малыми банками в обычной практике согласно Указанию №</w:t>
            </w:r>
            <w:r w:rsidRPr="00D923F3">
              <w:rPr>
                <w:rFonts w:ascii="Times New Roman" w:eastAsia="Times New Roman" w:hAnsi="Times New Roman" w:cs="Times New Roman"/>
                <w:sz w:val="24"/>
                <w:szCs w:val="24"/>
                <w:lang w:val="en-US" w:eastAsia="ru-RU"/>
              </w:rPr>
              <w:t> </w:t>
            </w:r>
            <w:r w:rsidRPr="00D923F3">
              <w:rPr>
                <w:rFonts w:ascii="Times New Roman" w:eastAsia="Times New Roman" w:hAnsi="Times New Roman" w:cs="Times New Roman"/>
                <w:sz w:val="24"/>
                <w:szCs w:val="24"/>
                <w:lang w:eastAsia="ru-RU"/>
              </w:rPr>
              <w:t>3624-У) и применять меры воздействия, что не способствует упрочению финансового состояния банков.</w:t>
            </w:r>
          </w:p>
        </w:tc>
        <w:tc>
          <w:tcPr>
            <w:tcW w:w="7950" w:type="dxa"/>
          </w:tcPr>
          <w:p w:rsidR="004568B4" w:rsidRDefault="004568B4" w:rsidP="004568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В</w:t>
            </w:r>
            <w:r w:rsidRPr="00D7312C">
              <w:rPr>
                <w:rFonts w:ascii="Times New Roman" w:hAnsi="Times New Roman" w:cs="Times New Roman"/>
                <w:sz w:val="24"/>
                <w:szCs w:val="24"/>
              </w:rPr>
              <w:t xml:space="preserve"> 2021 году </w:t>
            </w:r>
            <w:r w:rsidRPr="00B90078">
              <w:rPr>
                <w:rFonts w:ascii="Times New Roman" w:hAnsi="Times New Roman" w:cs="Times New Roman"/>
                <w:sz w:val="24"/>
                <w:szCs w:val="24"/>
              </w:rPr>
              <w:t>Банк России рассматривает возможность подготовки изменений в Положение № 653-П,</w:t>
            </w:r>
            <w:r>
              <w:rPr>
                <w:rFonts w:ascii="Times New Roman" w:hAnsi="Times New Roman" w:cs="Times New Roman"/>
                <w:sz w:val="24"/>
                <w:szCs w:val="24"/>
              </w:rPr>
              <w:t xml:space="preserve"> </w:t>
            </w:r>
            <w:r w:rsidRPr="00B90078">
              <w:rPr>
                <w:rFonts w:ascii="Times New Roman" w:hAnsi="Times New Roman" w:cs="Times New Roman"/>
                <w:sz w:val="24"/>
                <w:szCs w:val="24"/>
              </w:rPr>
              <w:t>направленных на обеспечение принципа</w:t>
            </w:r>
            <w:r>
              <w:rPr>
                <w:rFonts w:ascii="Times New Roman" w:hAnsi="Times New Roman" w:cs="Times New Roman"/>
                <w:sz w:val="24"/>
                <w:szCs w:val="24"/>
              </w:rPr>
              <w:t xml:space="preserve"> </w:t>
            </w:r>
            <w:r w:rsidRPr="00B90078">
              <w:rPr>
                <w:rFonts w:ascii="Times New Roman" w:hAnsi="Times New Roman" w:cs="Times New Roman"/>
                <w:sz w:val="24"/>
                <w:szCs w:val="24"/>
              </w:rPr>
              <w:t xml:space="preserve">пропорциональности при подготовке разработке ПВФУ, уточнение требований к стресс-сценариям и мероприятиям ПВФУ, </w:t>
            </w:r>
            <w:r w:rsidRPr="00B90078">
              <w:rPr>
                <w:rFonts w:ascii="Times New Roman" w:hAnsi="Times New Roman" w:cs="Times New Roman"/>
                <w:sz w:val="24"/>
                <w:szCs w:val="24"/>
              </w:rPr>
              <w:lastRenderedPageBreak/>
              <w:t>повышение интегрированности ПВФУ в систему текущего и антикризисного управления в кредитных организациях (банковских группах), а также повышение качества разрабатываемых кредитными организациями ПВФУ.</w:t>
            </w:r>
            <w:r>
              <w:rPr>
                <w:rFonts w:ascii="Times New Roman" w:hAnsi="Times New Roman" w:cs="Times New Roman"/>
                <w:sz w:val="24"/>
                <w:szCs w:val="24"/>
              </w:rPr>
              <w:t xml:space="preserve"> </w:t>
            </w:r>
          </w:p>
          <w:p w:rsidR="004568B4" w:rsidRPr="00D923F3" w:rsidRDefault="004568B4" w:rsidP="004568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 xml:space="preserve">Относительно методик стресс-тестирования, используемых кредитных организациями в ПВФУ, отмечаем, что Банк России не предъявляет требований, по каким методикам кредитные организации осуществляют свои расчеты. Вместе с тем при проведении оценки ПВФУ Банк России указывает кредитным организациям на необходимость представления в ПВФУ поквартальных результатов стресс-тестов, включая до и после реализации мероприятий ПВФУ (результаты могут основываться на экспертных оценках). Такое представление информации в ПВФУ призвано обеспечить прозрачность и понимание ключевых элементов ПВФУ как кредитными организациями, так и для надзорным органом. </w:t>
            </w:r>
          </w:p>
          <w:p w:rsidR="004568B4" w:rsidRDefault="004568B4" w:rsidP="004568B4">
            <w:pPr>
              <w:spacing w:after="0" w:line="240" w:lineRule="auto"/>
              <w:ind w:firstLine="175"/>
              <w:jc w:val="both"/>
              <w:rPr>
                <w:rFonts w:ascii="Times New Roman" w:hAnsi="Times New Roman" w:cs="Times New Roman"/>
                <w:sz w:val="24"/>
                <w:szCs w:val="24"/>
              </w:rPr>
            </w:pPr>
            <w:r w:rsidRPr="00D923F3">
              <w:rPr>
                <w:rFonts w:ascii="Times New Roman" w:hAnsi="Times New Roman" w:cs="Times New Roman"/>
                <w:sz w:val="24"/>
                <w:szCs w:val="24"/>
              </w:rPr>
              <w:t>При этом отмечаем, что Положением № 653-П не установлена обязанность ежеквартальной актуализации ПВФУ кредитными организациями. В случае если в деятельности кредитной организации событий, влияющих на реализацию мероприятий по восстановлению финансовой устойчивости, предусмотренных ПВФУ, не происходило, актуализация плана может проводиться на ежегодной основе.</w:t>
            </w:r>
          </w:p>
          <w:p w:rsidR="004568B4" w:rsidRPr="00D923F3" w:rsidRDefault="004568B4" w:rsidP="004568B4">
            <w:pPr>
              <w:spacing w:after="0" w:line="240" w:lineRule="auto"/>
              <w:ind w:firstLine="175"/>
              <w:jc w:val="both"/>
              <w:rPr>
                <w:rFonts w:ascii="Times New Roman" w:hAnsi="Times New Roman" w:cs="Times New Roman"/>
                <w:sz w:val="24"/>
                <w:szCs w:val="24"/>
              </w:rPr>
            </w:pPr>
            <w:r w:rsidRPr="00D923F3">
              <w:rPr>
                <w:rFonts w:ascii="Times New Roman" w:hAnsi="Times New Roman" w:cs="Times New Roman"/>
                <w:sz w:val="24"/>
                <w:szCs w:val="24"/>
              </w:rPr>
              <w:t xml:space="preserve">В отношении внесения изменений в статью 57 Федерального закона </w:t>
            </w:r>
            <w:r w:rsidR="00A57B04">
              <w:rPr>
                <w:rFonts w:ascii="Times New Roman" w:hAnsi="Times New Roman" w:cs="Times New Roman"/>
                <w:sz w:val="24"/>
                <w:szCs w:val="24"/>
              </w:rPr>
              <w:br/>
            </w:r>
            <w:r w:rsidRPr="00D923F3">
              <w:rPr>
                <w:rFonts w:ascii="Times New Roman" w:hAnsi="Times New Roman" w:cs="Times New Roman"/>
                <w:sz w:val="24"/>
                <w:szCs w:val="24"/>
              </w:rPr>
              <w:t xml:space="preserve">№ 86-ФЗ, направленных на исключение ББЛ из числа кредитных организаций, которым может быть направлено требование о разработке и представлении ПВФУ, отмечаем следующее. Положения статьи 57 Федерального закона № 86-ФЗ и положения статьи 24 Федерального закона </w:t>
            </w:r>
            <w:r w:rsidR="00A57B04">
              <w:rPr>
                <w:rFonts w:ascii="Times New Roman" w:hAnsi="Times New Roman" w:cs="Times New Roman"/>
                <w:sz w:val="24"/>
                <w:szCs w:val="24"/>
              </w:rPr>
              <w:t>«О банках и банковской деятельности»</w:t>
            </w:r>
            <w:r w:rsidRPr="00D923F3">
              <w:rPr>
                <w:rFonts w:ascii="Times New Roman" w:hAnsi="Times New Roman" w:cs="Times New Roman"/>
                <w:sz w:val="24"/>
                <w:szCs w:val="24"/>
              </w:rPr>
              <w:t xml:space="preserve"> направлены на обеспечение выстраивания в кредитных организациях эффективных механизмов самооздоровления, обеспечение финансовой надежности кредитных организаций, а также защиту интересов их кредиторов и вкладчиков.</w:t>
            </w:r>
          </w:p>
          <w:p w:rsidR="004568B4" w:rsidRPr="00D923F3" w:rsidRDefault="004568B4" w:rsidP="004568B4">
            <w:pPr>
              <w:spacing w:after="0" w:line="240" w:lineRule="auto"/>
              <w:ind w:firstLine="175"/>
              <w:jc w:val="both"/>
              <w:rPr>
                <w:rFonts w:ascii="Times New Roman" w:hAnsi="Times New Roman" w:cs="Times New Roman"/>
                <w:sz w:val="24"/>
                <w:szCs w:val="24"/>
              </w:rPr>
            </w:pPr>
            <w:r w:rsidRPr="00D923F3">
              <w:rPr>
                <w:rFonts w:ascii="Times New Roman" w:hAnsi="Times New Roman" w:cs="Times New Roman"/>
                <w:sz w:val="24"/>
                <w:szCs w:val="24"/>
              </w:rPr>
              <w:lastRenderedPageBreak/>
              <w:t>Также отмечаем, что в число ББЛ входят в том числе банки, в деятельности которых имеются факторы региональной, отраслевой или социальной значимости. С учетом изложенного внесение предложенных изменений в законодательство представляется нецелесообразным.</w:t>
            </w:r>
          </w:p>
        </w:tc>
      </w:tr>
      <w:tr w:rsidR="004568B4" w:rsidRPr="00D923F3" w:rsidTr="00262756">
        <w:tc>
          <w:tcPr>
            <w:tcW w:w="15163" w:type="dxa"/>
            <w:gridSpan w:val="3"/>
            <w:shd w:val="clear" w:color="auto" w:fill="E2EFD9" w:themeFill="accent6" w:themeFillTint="33"/>
          </w:tcPr>
          <w:p w:rsidR="004568B4" w:rsidRPr="00D923F3" w:rsidRDefault="004568B4" w:rsidP="004568B4">
            <w:pPr>
              <w:spacing w:after="0" w:line="240" w:lineRule="auto"/>
              <w:ind w:firstLine="175"/>
              <w:jc w:val="center"/>
              <w:rPr>
                <w:rFonts w:ascii="Times New Roman" w:hAnsi="Times New Roman" w:cs="Times New Roman"/>
                <w:b/>
                <w:i/>
                <w:sz w:val="24"/>
                <w:szCs w:val="24"/>
              </w:rPr>
            </w:pPr>
            <w:r w:rsidRPr="00D923F3">
              <w:rPr>
                <w:rFonts w:ascii="Times New Roman" w:hAnsi="Times New Roman" w:cs="Times New Roman"/>
                <w:b/>
                <w:i/>
                <w:sz w:val="24"/>
                <w:szCs w:val="24"/>
              </w:rPr>
              <w:lastRenderedPageBreak/>
              <w:t>Банковское сопровождение</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412" w:type="dxa"/>
          </w:tcPr>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С 2014 года в Российской Федерации действует и регулируется нормативными правовыми актами такой механизм как «Банковское сопровождение контрактов».</w:t>
            </w:r>
          </w:p>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 xml:space="preserve">В части реализации указанного механизма и его применения для федеральных и региональных (муниципальных) заказчиков, в законодательство Российской Федерации включены соответствующие термины и порядок применения банковского сопровождения контрактов (статья </w:t>
            </w:r>
            <w:r>
              <w:rPr>
                <w:rFonts w:ascii="Times New Roman" w:eastAsia="Calibri" w:hAnsi="Times New Roman" w:cs="Times New Roman"/>
                <w:sz w:val="24"/>
                <w:szCs w:val="24"/>
                <w:lang w:bidi="ru-RU"/>
              </w:rPr>
              <w:t xml:space="preserve">35 Федерального закона </w:t>
            </w:r>
            <w:r>
              <w:rPr>
                <w:rFonts w:ascii="Times New Roman" w:eastAsia="Calibri" w:hAnsi="Times New Roman" w:cs="Times New Roman"/>
                <w:sz w:val="24"/>
                <w:szCs w:val="24"/>
                <w:lang w:bidi="ru-RU"/>
              </w:rPr>
              <w:br/>
              <w:t>№ 44-Ф</w:t>
            </w:r>
            <w:r w:rsidR="00A57B04">
              <w:rPr>
                <w:rStyle w:val="a6"/>
                <w:rFonts w:ascii="Times New Roman" w:eastAsia="Calibri" w:hAnsi="Times New Roman" w:cs="Times New Roman"/>
                <w:sz w:val="24"/>
                <w:szCs w:val="24"/>
                <w:lang w:bidi="ru-RU"/>
              </w:rPr>
              <w:footnoteReference w:id="18"/>
            </w:r>
            <w:r>
              <w:rPr>
                <w:rFonts w:ascii="Times New Roman" w:eastAsia="Calibri" w:hAnsi="Times New Roman" w:cs="Times New Roman"/>
                <w:sz w:val="24"/>
                <w:szCs w:val="24"/>
                <w:lang w:bidi="ru-RU"/>
              </w:rPr>
              <w:t xml:space="preserve"> и Постановление № 963</w:t>
            </w:r>
            <w:r w:rsidR="00A57B04">
              <w:rPr>
                <w:rStyle w:val="a6"/>
                <w:rFonts w:ascii="Times New Roman" w:eastAsia="Calibri" w:hAnsi="Times New Roman" w:cs="Times New Roman"/>
                <w:sz w:val="24"/>
                <w:szCs w:val="24"/>
                <w:lang w:bidi="ru-RU"/>
              </w:rPr>
              <w:footnoteReference w:id="19"/>
            </w:r>
            <w:r w:rsidRPr="00D923F3">
              <w:rPr>
                <w:rFonts w:ascii="Times New Roman" w:eastAsia="Calibri" w:hAnsi="Times New Roman" w:cs="Times New Roman"/>
                <w:sz w:val="24"/>
                <w:szCs w:val="24"/>
                <w:lang w:bidi="ru-RU"/>
              </w:rPr>
              <w:t>).</w:t>
            </w:r>
          </w:p>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В соответствии с указанными актами Правительства Российской Федерации при осуществлении расходования средств федерального и регионального (муниципального) бюджета, заказчик вправе применять банковское сопровождение (с соблюдением требований начальной (минимальной) цены контракта:</w:t>
            </w:r>
          </w:p>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 в отношении банковского сопровождения контракта, заключающегося в проведении мониторинга расчетов в рамках исполнения контракта;</w:t>
            </w:r>
          </w:p>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 xml:space="preserve">Одновременно с этим, ежегодно, Минфином России </w:t>
            </w:r>
            <w:r w:rsidRPr="00D923F3">
              <w:rPr>
                <w:rFonts w:ascii="Times New Roman" w:eastAsia="Calibri" w:hAnsi="Times New Roman" w:cs="Times New Roman"/>
                <w:sz w:val="24"/>
                <w:szCs w:val="24"/>
                <w:lang w:bidi="ru-RU"/>
              </w:rPr>
              <w:lastRenderedPageBreak/>
              <w:t>вводятся дополнительные ограничения на использование банковского сопровождения, путем регламентирования обязательного использования Казначейского сопровождения в Федеральном законе «О федеральном бюджете» на соответствующие годы.</w:t>
            </w:r>
          </w:p>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Таким образом, сложилась практика двойного фильтрования контрактов (по направлениям и по объемам), заключаемых федеральными и региональными (муниципальными) органами исполнительной власти, при определении случаев применения банковского сопровождения контрактов.</w:t>
            </w:r>
          </w:p>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С учетом изложенного предлагается рассмотреть возможность вынесения на обсуждение совместно с Минфином России предложения о внесении изменений в Постановление № 963, предусматривающих снятие ограничении по начальной (максимальной) цене контракта для использования механизма банковского сопровождения контрактов, а также закрепить конкретные направления расходования федерального и регионального (муниципального) бюджета, к которым применяется банковское сопровождение контрактов.</w:t>
            </w:r>
          </w:p>
        </w:tc>
        <w:tc>
          <w:tcPr>
            <w:tcW w:w="7950" w:type="dxa"/>
            <w:vMerge w:val="restart"/>
          </w:tcPr>
          <w:p w:rsidR="004568B4" w:rsidRPr="00986237" w:rsidRDefault="004568B4" w:rsidP="004568B4">
            <w:pPr>
              <w:pStyle w:val="a7"/>
              <w:ind w:firstLine="187"/>
              <w:jc w:val="both"/>
              <w:rPr>
                <w:rFonts w:ascii="Times New Roman" w:hAnsi="Times New Roman" w:cs="Times New Roman"/>
                <w:sz w:val="24"/>
                <w:szCs w:val="24"/>
                <w:lang w:eastAsia="x-none"/>
              </w:rPr>
            </w:pPr>
            <w:r w:rsidRPr="00986237">
              <w:rPr>
                <w:rFonts w:ascii="Times New Roman" w:hAnsi="Times New Roman" w:cs="Times New Roman"/>
                <w:color w:val="000000"/>
                <w:sz w:val="24"/>
                <w:szCs w:val="24"/>
              </w:rPr>
              <w:lastRenderedPageBreak/>
              <w:t xml:space="preserve">Указанные вопросы не относятся к компетенции Банка России. </w:t>
            </w:r>
            <w:r w:rsidRPr="00986237">
              <w:rPr>
                <w:rFonts w:ascii="Times New Roman" w:hAnsi="Times New Roman" w:cs="Times New Roman"/>
                <w:sz w:val="24"/>
                <w:szCs w:val="24"/>
                <w:lang w:eastAsia="x-none"/>
              </w:rPr>
              <w:t>Федеральным органом исполнительной власти, осуществляющим функции нормативно-правового регулирования в сфере осуществления закупок для обеспечения государственных нужд, является Минфин России</w:t>
            </w:r>
            <w:r w:rsidRPr="00986237">
              <w:rPr>
                <w:rFonts w:ascii="Times New Roman" w:hAnsi="Times New Roman" w:cs="Times New Roman"/>
                <w:sz w:val="24"/>
                <w:szCs w:val="24"/>
                <w:vertAlign w:val="superscript"/>
                <w:lang w:eastAsia="x-none"/>
              </w:rPr>
              <w:footnoteRef/>
            </w:r>
            <w:r w:rsidRPr="00986237">
              <w:rPr>
                <w:rFonts w:ascii="Times New Roman" w:hAnsi="Times New Roman" w:cs="Times New Roman"/>
                <w:sz w:val="24"/>
                <w:szCs w:val="24"/>
                <w:lang w:eastAsia="x-none"/>
              </w:rPr>
              <w:t>.</w:t>
            </w:r>
          </w:p>
          <w:p w:rsidR="004568B4" w:rsidRDefault="004568B4" w:rsidP="004568B4">
            <w:pPr>
              <w:pStyle w:val="af7"/>
              <w:spacing w:after="0"/>
            </w:pPr>
          </w:p>
          <w:p w:rsidR="004568B4" w:rsidRPr="00D923F3" w:rsidRDefault="004568B4" w:rsidP="004568B4">
            <w:pPr>
              <w:spacing w:after="0" w:line="240" w:lineRule="auto"/>
              <w:ind w:firstLine="187"/>
              <w:jc w:val="both"/>
              <w:rPr>
                <w:rFonts w:ascii="Times New Roman" w:hAnsi="Times New Roman" w:cs="Times New Roman"/>
                <w:sz w:val="24"/>
                <w:szCs w:val="24"/>
              </w:rPr>
            </w:pP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412" w:type="dxa"/>
          </w:tcPr>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 xml:space="preserve">В настоящее время основным типом счета, используемым банками в рамках оказания услуги по расширенному банковском сопровождению контрактов (РБСК), является расчётный счет. В то же время имеется практика применения в данных целях такого вида счета, как «залоговый». В отдельных случаях статус залогового счета позволяет достаточно эффективно реализовать условия РБСК несмотря на то, что данная практика законодательством и ведомственными нормативными </w:t>
            </w:r>
            <w:r w:rsidRPr="00D923F3">
              <w:rPr>
                <w:rFonts w:ascii="Times New Roman" w:eastAsia="Calibri" w:hAnsi="Times New Roman" w:cs="Times New Roman"/>
                <w:sz w:val="24"/>
                <w:szCs w:val="24"/>
                <w:lang w:bidi="ru-RU"/>
              </w:rPr>
              <w:lastRenderedPageBreak/>
              <w:t>актами практически не регулируется. Есть ли в планах ЦБ РФ мероприятия по актуализации законодательства/нормативных актов, регулирующих операции с залоговыми счетами и механизмы их использования в РБСК в целях защиты интересов государственного заказчика при исполнении государственного контракта?</w:t>
            </w:r>
          </w:p>
        </w:tc>
        <w:tc>
          <w:tcPr>
            <w:tcW w:w="7950" w:type="dxa"/>
            <w:vMerge/>
          </w:tcPr>
          <w:p w:rsidR="004568B4" w:rsidRPr="00D923F3" w:rsidRDefault="004568B4" w:rsidP="004568B4">
            <w:pPr>
              <w:spacing w:after="0" w:line="240" w:lineRule="auto"/>
              <w:ind w:firstLine="175"/>
              <w:rPr>
                <w:rFonts w:ascii="Times New Roman" w:hAnsi="Times New Roman" w:cs="Times New Roman"/>
                <w:sz w:val="24"/>
                <w:szCs w:val="24"/>
              </w:rPr>
            </w:pPr>
          </w:p>
        </w:tc>
      </w:tr>
      <w:tr w:rsidR="004568B4" w:rsidRPr="00D923F3" w:rsidTr="00262756">
        <w:tc>
          <w:tcPr>
            <w:tcW w:w="15163" w:type="dxa"/>
            <w:gridSpan w:val="3"/>
            <w:shd w:val="clear" w:color="auto" w:fill="E2EFD9" w:themeFill="accent6" w:themeFillTint="33"/>
          </w:tcPr>
          <w:p w:rsidR="004568B4" w:rsidRPr="00D923F3" w:rsidRDefault="004568B4" w:rsidP="004568B4">
            <w:pPr>
              <w:spacing w:after="0" w:line="240" w:lineRule="auto"/>
              <w:ind w:firstLine="175"/>
              <w:jc w:val="center"/>
              <w:rPr>
                <w:rFonts w:ascii="Times New Roman" w:hAnsi="Times New Roman" w:cs="Times New Roman"/>
                <w:sz w:val="24"/>
                <w:szCs w:val="24"/>
              </w:rPr>
            </w:pPr>
            <w:r w:rsidRPr="00D923F3">
              <w:rPr>
                <w:rFonts w:ascii="Times New Roman" w:eastAsia="Times New Roman" w:hAnsi="Times New Roman" w:cs="Times New Roman"/>
                <w:b/>
                <w:i/>
                <w:iCs/>
                <w:sz w:val="24"/>
                <w:szCs w:val="24"/>
                <w:lang w:eastAsia="ru-RU"/>
              </w:rPr>
              <w:t>Иные вопросы и предложения, в том числе надзорного характера</w:t>
            </w:r>
          </w:p>
        </w:tc>
      </w:tr>
      <w:tr w:rsidR="004568B4" w:rsidRPr="00D923F3" w:rsidTr="00262756">
        <w:tc>
          <w:tcPr>
            <w:tcW w:w="801" w:type="dxa"/>
            <w:tcBorders>
              <w:bottom w:val="single" w:sz="4" w:space="0" w:color="auto"/>
            </w:tcBorders>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412" w:type="dxa"/>
            <w:tcBorders>
              <w:bottom w:val="single" w:sz="4" w:space="0" w:color="auto"/>
            </w:tcBorders>
          </w:tcPr>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В связи с направлением Ассоциацией банков России в адрес Банка России предложений для разработки Стратегии развития банков с базовой лицензией, просим Вас проинформировать о статусе рассмотрения предложений банков и перспектив дальнейшей работы регулятора в данном направлении.</w:t>
            </w:r>
          </w:p>
        </w:tc>
        <w:tc>
          <w:tcPr>
            <w:tcW w:w="7950" w:type="dxa"/>
            <w:tcBorders>
              <w:bottom w:val="single" w:sz="4" w:space="0" w:color="auto"/>
            </w:tcBorders>
          </w:tcPr>
          <w:p w:rsidR="004568B4" w:rsidRPr="00867717" w:rsidRDefault="004568B4" w:rsidP="004568B4">
            <w:pPr>
              <w:spacing w:after="0" w:line="240" w:lineRule="auto"/>
              <w:ind w:firstLine="187"/>
              <w:jc w:val="both"/>
              <w:rPr>
                <w:rFonts w:ascii="Times New Roman" w:eastAsia="Calibri" w:hAnsi="Times New Roman" w:cs="Times New Roman"/>
                <w:sz w:val="24"/>
                <w:szCs w:val="24"/>
              </w:rPr>
            </w:pPr>
            <w:r w:rsidRPr="00867717">
              <w:rPr>
                <w:rFonts w:ascii="Times New Roman" w:eastAsia="Calibri" w:hAnsi="Times New Roman" w:cs="Times New Roman"/>
                <w:sz w:val="24"/>
                <w:szCs w:val="24"/>
              </w:rPr>
              <w:t xml:space="preserve">Авторы Стратегии предлагают значительно расширить правоспособность банков с базовой лицензией, фактически изменяя тем самым сущность такого банка. </w:t>
            </w:r>
          </w:p>
          <w:p w:rsidR="004568B4" w:rsidRDefault="004568B4" w:rsidP="004568B4">
            <w:pPr>
              <w:spacing w:after="0" w:line="240" w:lineRule="auto"/>
              <w:ind w:firstLine="187"/>
              <w:jc w:val="both"/>
              <w:rPr>
                <w:rFonts w:ascii="Times New Roman" w:eastAsia="Calibri" w:hAnsi="Times New Roman" w:cs="Times New Roman"/>
                <w:sz w:val="24"/>
                <w:szCs w:val="24"/>
              </w:rPr>
            </w:pPr>
            <w:r w:rsidRPr="00867717">
              <w:rPr>
                <w:rFonts w:ascii="Times New Roman" w:eastAsia="Calibri" w:hAnsi="Times New Roman" w:cs="Times New Roman"/>
                <w:sz w:val="24"/>
                <w:szCs w:val="24"/>
              </w:rPr>
              <w:t>Принципиально важно для Банка России продолжение реализации концепции пропорционального регулирования банковской деятельности. Вместе с тем Банк России исходит из ранее заложенных основ такого подхода. В частности, при конструировании норм, регламентирующих деятельность банков с базовой лицензией, их общий смысл заключается в выделении небольших банков для обеспечения потребности в финансовых услугах регионов с предоставлением им регулятивных послаблений, одновременно с превентивным сокращением рисков в их деятельности. Это оправданно с точки зрения обеспечения финансовой устойчивости банков с небольшим запасом прочности и интересов их кредиторов и вкладчиков.</w:t>
            </w:r>
          </w:p>
          <w:p w:rsidR="004568B4" w:rsidRPr="00867717" w:rsidRDefault="004568B4" w:rsidP="004568B4">
            <w:pPr>
              <w:spacing w:after="0" w:line="240" w:lineRule="auto"/>
              <w:ind w:firstLine="187"/>
              <w:jc w:val="both"/>
              <w:rPr>
                <w:rFonts w:ascii="Times New Roman" w:eastAsia="Calibri" w:hAnsi="Times New Roman" w:cs="Times New Roman"/>
                <w:sz w:val="24"/>
                <w:szCs w:val="24"/>
              </w:rPr>
            </w:pPr>
            <w:r w:rsidRPr="00A56B53">
              <w:rPr>
                <w:rFonts w:ascii="Times New Roman" w:eastAsia="Calibri" w:hAnsi="Times New Roman" w:cs="Times New Roman"/>
                <w:sz w:val="24"/>
                <w:szCs w:val="24"/>
              </w:rPr>
              <w:t>В связи с этим изменения в регулирование банков с базовой лицензией возможны путем его тонкой (точечной) настройки.</w:t>
            </w:r>
            <w:r>
              <w:rPr>
                <w:rFonts w:ascii="Times New Roman" w:eastAsia="Calibri" w:hAnsi="Times New Roman" w:cs="Times New Roman"/>
                <w:sz w:val="24"/>
                <w:szCs w:val="24"/>
              </w:rPr>
              <w:t xml:space="preserve"> </w:t>
            </w:r>
          </w:p>
          <w:p w:rsidR="004568B4" w:rsidRPr="00867717" w:rsidRDefault="004568B4" w:rsidP="004568B4">
            <w:pPr>
              <w:spacing w:after="0" w:line="240" w:lineRule="auto"/>
              <w:ind w:firstLine="187"/>
              <w:jc w:val="both"/>
              <w:rPr>
                <w:rFonts w:ascii="Times New Roman" w:eastAsia="Calibri" w:hAnsi="Times New Roman" w:cs="Times New Roman"/>
                <w:sz w:val="24"/>
                <w:szCs w:val="24"/>
              </w:rPr>
            </w:pPr>
            <w:r w:rsidRPr="00867717">
              <w:rPr>
                <w:rFonts w:ascii="Times New Roman" w:eastAsia="Calibri" w:hAnsi="Times New Roman" w:cs="Times New Roman"/>
                <w:sz w:val="24"/>
                <w:szCs w:val="24"/>
              </w:rPr>
              <w:t xml:space="preserve">Одной из мер по развитию регулирования в 2020 году стало исключение для банков с базовой лицензией применения повышенного коэффициента 2,0 по требованиям к «непрофильным» заемщикам при расчете нормативов концентрации (то есть исключено разделение заемщиков на «профильных» и «непрофильных»), а по вопросам оптимизации регуляторной нагрузки и </w:t>
            </w:r>
            <w:r w:rsidRPr="00867717">
              <w:rPr>
                <w:rFonts w:ascii="Times New Roman" w:eastAsia="Calibri" w:hAnsi="Times New Roman" w:cs="Times New Roman"/>
                <w:sz w:val="24"/>
                <w:szCs w:val="24"/>
              </w:rPr>
              <w:lastRenderedPageBreak/>
              <w:t>отчетности в Банке России созданы профильные рабочие группы. Кроме того, Правительством РФ по согласованию с Банком России в целях допуска кредитных организаций к выдаче банковских гарантий для обеспечения заявок и исполнения госконтрактов пересмотрены требования к уровню кредитного рейтинга в сторону их снижения (до значения «В-»).</w:t>
            </w:r>
          </w:p>
          <w:p w:rsidR="004568B4" w:rsidRPr="00262756" w:rsidRDefault="004568B4" w:rsidP="004568B4">
            <w:pPr>
              <w:spacing w:after="0" w:line="240" w:lineRule="auto"/>
              <w:ind w:firstLine="187"/>
              <w:jc w:val="both"/>
              <w:rPr>
                <w:rFonts w:ascii="Times New Roman" w:eastAsia="Calibri" w:hAnsi="Times New Roman" w:cs="Times New Roman"/>
                <w:sz w:val="10"/>
                <w:szCs w:val="10"/>
              </w:rPr>
            </w:pPr>
          </w:p>
          <w:p w:rsidR="004568B4" w:rsidRPr="00867717" w:rsidRDefault="004568B4" w:rsidP="004568B4">
            <w:pPr>
              <w:spacing w:after="0" w:line="240" w:lineRule="auto"/>
              <w:ind w:firstLine="187"/>
              <w:jc w:val="both"/>
              <w:rPr>
                <w:rFonts w:ascii="Times New Roman" w:eastAsia="Calibri" w:hAnsi="Times New Roman" w:cs="Times New Roman"/>
                <w:sz w:val="24"/>
                <w:szCs w:val="24"/>
              </w:rPr>
            </w:pPr>
            <w:r w:rsidRPr="00867717">
              <w:rPr>
                <w:rFonts w:ascii="Times New Roman" w:eastAsia="Calibri" w:hAnsi="Times New Roman" w:cs="Times New Roman"/>
                <w:sz w:val="24"/>
                <w:szCs w:val="24"/>
              </w:rPr>
              <w:t xml:space="preserve">Вытекающее из Стратегии совмещение правоспособности банка с универсальной лицензией с действующими послаблениями банка с базовой лицензией нивелирует концепцию пропорционального регулирования и поэтому не поддерживается. </w:t>
            </w:r>
          </w:p>
          <w:p w:rsidR="004568B4" w:rsidRPr="00262756" w:rsidRDefault="004568B4" w:rsidP="004568B4">
            <w:pPr>
              <w:spacing w:after="0" w:line="240" w:lineRule="auto"/>
              <w:ind w:firstLine="187"/>
              <w:jc w:val="both"/>
              <w:rPr>
                <w:rFonts w:ascii="Times New Roman" w:eastAsia="Calibri" w:hAnsi="Times New Roman" w:cs="Times New Roman"/>
                <w:sz w:val="10"/>
                <w:szCs w:val="10"/>
              </w:rPr>
            </w:pPr>
          </w:p>
          <w:p w:rsidR="004568B4" w:rsidRPr="00D923F3" w:rsidRDefault="004568B4" w:rsidP="000E4E93">
            <w:pPr>
              <w:spacing w:after="0" w:line="240" w:lineRule="auto"/>
              <w:ind w:firstLine="187"/>
              <w:jc w:val="both"/>
              <w:rPr>
                <w:rFonts w:ascii="Times New Roman" w:hAnsi="Times New Roman" w:cs="Times New Roman"/>
                <w:sz w:val="24"/>
                <w:szCs w:val="24"/>
              </w:rPr>
            </w:pPr>
            <w:r w:rsidRPr="00A56B53">
              <w:rPr>
                <w:rFonts w:ascii="Times New Roman" w:eastAsia="Calibri" w:hAnsi="Times New Roman" w:cs="Times New Roman"/>
                <w:i/>
                <w:sz w:val="24"/>
                <w:szCs w:val="24"/>
              </w:rPr>
              <w:t xml:space="preserve">Содержательные комментарии Банка России </w:t>
            </w:r>
            <w:r w:rsidR="000E4E93">
              <w:rPr>
                <w:rFonts w:ascii="Times New Roman" w:eastAsia="Calibri" w:hAnsi="Times New Roman" w:cs="Times New Roman"/>
                <w:i/>
                <w:sz w:val="24"/>
                <w:szCs w:val="24"/>
              </w:rPr>
              <w:t xml:space="preserve">направлены </w:t>
            </w:r>
            <w:r w:rsidRPr="00A56B53">
              <w:rPr>
                <w:rFonts w:ascii="Times New Roman" w:eastAsia="Calibri" w:hAnsi="Times New Roman" w:cs="Times New Roman"/>
                <w:i/>
                <w:sz w:val="24"/>
                <w:szCs w:val="24"/>
              </w:rPr>
              <w:t xml:space="preserve">в Ассоциацию «Россия» </w:t>
            </w:r>
            <w:r w:rsidR="000E4E93">
              <w:rPr>
                <w:rFonts w:ascii="Times New Roman" w:eastAsia="Calibri" w:hAnsi="Times New Roman" w:cs="Times New Roman"/>
                <w:i/>
                <w:sz w:val="24"/>
                <w:szCs w:val="24"/>
              </w:rPr>
              <w:t xml:space="preserve">письмом от </w:t>
            </w:r>
            <w:r w:rsidR="000E4E93" w:rsidRPr="000E4E93">
              <w:rPr>
                <w:rFonts w:ascii="Times New Roman" w:eastAsia="Calibri" w:hAnsi="Times New Roman" w:cs="Times New Roman"/>
                <w:i/>
                <w:sz w:val="24"/>
                <w:szCs w:val="24"/>
              </w:rPr>
              <w:t>17.02.2021 №03-41/1351</w:t>
            </w:r>
            <w:r w:rsidR="000E4E93">
              <w:rPr>
                <w:rFonts w:ascii="Times New Roman" w:eastAsia="Calibri" w:hAnsi="Times New Roman" w:cs="Times New Roman"/>
                <w:i/>
                <w:sz w:val="24"/>
                <w:szCs w:val="24"/>
              </w:rPr>
              <w:t>.</w:t>
            </w:r>
          </w:p>
        </w:tc>
      </w:tr>
      <w:tr w:rsidR="004568B4" w:rsidRPr="00D923F3" w:rsidTr="00262756">
        <w:tc>
          <w:tcPr>
            <w:tcW w:w="801" w:type="dxa"/>
            <w:tcBorders>
              <w:bottom w:val="nil"/>
              <w:right w:val="single" w:sz="4" w:space="0" w:color="auto"/>
            </w:tcBorders>
          </w:tcPr>
          <w:p w:rsidR="004568B4"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6412" w:type="dxa"/>
            <w:tcBorders>
              <w:left w:val="single" w:sz="4" w:space="0" w:color="auto"/>
              <w:bottom w:val="nil"/>
              <w:right w:val="single" w:sz="4" w:space="0" w:color="auto"/>
            </w:tcBorders>
          </w:tcPr>
          <w:p w:rsidR="004568B4" w:rsidRPr="00384D24" w:rsidRDefault="004568B4" w:rsidP="004568B4">
            <w:pPr>
              <w:tabs>
                <w:tab w:val="left" w:pos="851"/>
                <w:tab w:val="left" w:pos="1134"/>
              </w:tabs>
              <w:spacing w:after="0" w:line="240" w:lineRule="auto"/>
              <w:ind w:firstLine="204"/>
              <w:contextualSpacing/>
              <w:jc w:val="both"/>
              <w:rPr>
                <w:rFonts w:ascii="Times New Roman" w:hAnsi="Times New Roman" w:cs="Times New Roman"/>
                <w:sz w:val="24"/>
                <w:szCs w:val="24"/>
              </w:rPr>
            </w:pPr>
            <w:r w:rsidRPr="00384D24">
              <w:rPr>
                <w:rFonts w:ascii="Times New Roman" w:hAnsi="Times New Roman" w:cs="Times New Roman"/>
                <w:sz w:val="24"/>
                <w:szCs w:val="24"/>
              </w:rPr>
              <w:t xml:space="preserve">Просим </w:t>
            </w:r>
            <w:r w:rsidRPr="00384D24">
              <w:rPr>
                <w:rFonts w:ascii="Times New Roman" w:hAnsi="Times New Roman" w:cs="Times New Roman"/>
                <w:b/>
                <w:bCs/>
                <w:sz w:val="24"/>
                <w:szCs w:val="24"/>
              </w:rPr>
              <w:t>рассмотреть нижеследующую проблему, которая является общей для региональных банков, и порекомендовать им порядок действий для уменьшения количества споров и рисков существенного снижения капитала из-за негативного влияния изменения стоимости недвижимого имущества и (или) внести корректировки в надзорную практику</w:t>
            </w:r>
            <w:r w:rsidRPr="00384D24">
              <w:rPr>
                <w:rFonts w:ascii="Times New Roman" w:hAnsi="Times New Roman" w:cs="Times New Roman"/>
                <w:sz w:val="24"/>
                <w:szCs w:val="24"/>
              </w:rPr>
              <w:t xml:space="preserve"> (при этом Ассоциация в 2020 году неоднократно</w:t>
            </w:r>
            <w:r w:rsidRPr="00384D24">
              <w:rPr>
                <w:rStyle w:val="a6"/>
                <w:rFonts w:ascii="Times New Roman" w:hAnsi="Times New Roman" w:cs="Times New Roman"/>
                <w:sz w:val="24"/>
                <w:szCs w:val="24"/>
              </w:rPr>
              <w:footnoteReference w:id="20"/>
            </w:r>
            <w:r w:rsidRPr="00384D24">
              <w:rPr>
                <w:rFonts w:ascii="Times New Roman" w:hAnsi="Times New Roman" w:cs="Times New Roman"/>
                <w:sz w:val="24"/>
                <w:szCs w:val="24"/>
              </w:rPr>
              <w:t xml:space="preserve"> предлагала разрешить кредитным организациям отражать поэтапно в течение всего 2021 года отрицательное влияние на пруденциальный капитал переоценки недвижимости по итогам 2020 года).</w:t>
            </w:r>
          </w:p>
          <w:p w:rsidR="004568B4" w:rsidRPr="00384D24" w:rsidRDefault="004568B4" w:rsidP="004568B4">
            <w:pPr>
              <w:spacing w:after="0" w:line="240" w:lineRule="auto"/>
              <w:ind w:firstLine="204"/>
              <w:jc w:val="both"/>
              <w:rPr>
                <w:rFonts w:ascii="Times New Roman" w:hAnsi="Times New Roman" w:cs="Times New Roman"/>
                <w:sz w:val="24"/>
                <w:szCs w:val="24"/>
              </w:rPr>
            </w:pPr>
            <w:r w:rsidRPr="00384D24">
              <w:rPr>
                <w:rFonts w:ascii="Times New Roman" w:hAnsi="Times New Roman" w:cs="Times New Roman"/>
                <w:sz w:val="24"/>
                <w:szCs w:val="24"/>
              </w:rPr>
              <w:lastRenderedPageBreak/>
              <w:t>Очень жаркие споры в последние 2-3 года возникают между Банком России и кредитными организациями из-за переоценки регулятором основных средств (недвижимости) банков, используемых ими в основной деятельности, что влечет очень существенное снижение капитала кредитных организаций. Нормами Банка России</w:t>
            </w:r>
            <w:r w:rsidRPr="00384D24">
              <w:rPr>
                <w:rStyle w:val="a6"/>
                <w:rFonts w:ascii="Times New Roman" w:hAnsi="Times New Roman" w:cs="Times New Roman"/>
                <w:sz w:val="24"/>
                <w:szCs w:val="24"/>
              </w:rPr>
              <w:footnoteReference w:id="21"/>
            </w:r>
            <w:r w:rsidRPr="00384D24">
              <w:rPr>
                <w:rFonts w:ascii="Times New Roman" w:hAnsi="Times New Roman" w:cs="Times New Roman"/>
                <w:sz w:val="24"/>
                <w:szCs w:val="24"/>
              </w:rPr>
              <w:t xml:space="preserve"> закреплена обязанность банкам самостоятельно проводить переоценку имущества, для чего последние привлекают оценочные компании и руководствуются сделанными ими отчетами, закономерно предполагая достоверность таких результатов. </w:t>
            </w:r>
          </w:p>
          <w:p w:rsidR="004568B4" w:rsidRPr="00384D24" w:rsidRDefault="004568B4" w:rsidP="004568B4">
            <w:pPr>
              <w:pStyle w:val="12"/>
              <w:shd w:val="clear" w:color="auto" w:fill="auto"/>
              <w:spacing w:after="0" w:line="240" w:lineRule="auto"/>
              <w:ind w:firstLine="204"/>
              <w:jc w:val="both"/>
              <w:rPr>
                <w:sz w:val="24"/>
                <w:szCs w:val="24"/>
              </w:rPr>
            </w:pPr>
            <w:r w:rsidRPr="00384D24">
              <w:rPr>
                <w:sz w:val="24"/>
                <w:szCs w:val="24"/>
              </w:rPr>
              <w:t xml:space="preserve">Как правило, оценка Банка России не совпадает со стоимостью имущества, отраженного на балансе кредитных организаций, и снижается в несколько раз. Конкретных пояснений произведенной оценки Банком России не представляется. Делается ссылка только на то, что стоимость </w:t>
            </w:r>
            <w:r w:rsidRPr="00384D24">
              <w:rPr>
                <w:sz w:val="24"/>
                <w:szCs w:val="24"/>
              </w:rPr>
              <w:lastRenderedPageBreak/>
              <w:t>имущества определяется в соответствии с МСФО 13 «Оценка справедливой стоимости» и оценка проведена с применением рыночного подхода, в рамках которого выбирались актуальные предложения о продаже объектов, сопоставимыми с объектами оценки по основным ценообразующим характеристикам: назначение, местоположение, площадь и другие факторы, влияющие на стоимость (состояние отделки и т.д.).</w:t>
            </w:r>
          </w:p>
          <w:p w:rsidR="004568B4" w:rsidRPr="00384D24" w:rsidRDefault="004568B4" w:rsidP="004568B4">
            <w:pPr>
              <w:widowControl w:val="0"/>
              <w:spacing w:after="0" w:line="240" w:lineRule="auto"/>
              <w:ind w:firstLine="204"/>
              <w:jc w:val="both"/>
              <w:rPr>
                <w:rFonts w:ascii="Times New Roman" w:hAnsi="Times New Roman" w:cs="Times New Roman"/>
                <w:sz w:val="24"/>
                <w:szCs w:val="24"/>
              </w:rPr>
            </w:pPr>
            <w:r w:rsidRPr="00384D24">
              <w:rPr>
                <w:rFonts w:ascii="Times New Roman" w:hAnsi="Times New Roman" w:cs="Times New Roman"/>
                <w:sz w:val="24"/>
                <w:szCs w:val="24"/>
              </w:rPr>
              <w:t>Исходя из оценки, проводимой Банком России, банки обязаны корректировать размер собственных средств (капитала). Это приводит к потере клиентской базы, снижению кредитной активности, в том числе малого и среднего бизнеса, убыточной деятельности. И в конечном итоге - к продолжению закрытия банков с базовой лицензией, что отрицательно влияет на банковский бизнес.</w:t>
            </w:r>
          </w:p>
          <w:p w:rsidR="004568B4" w:rsidRPr="00384D24" w:rsidRDefault="004568B4" w:rsidP="004568B4">
            <w:pPr>
              <w:spacing w:after="0" w:line="240" w:lineRule="auto"/>
              <w:ind w:firstLine="204"/>
              <w:jc w:val="both"/>
              <w:rPr>
                <w:rFonts w:ascii="Times New Roman" w:hAnsi="Times New Roman" w:cs="Times New Roman"/>
                <w:sz w:val="24"/>
                <w:szCs w:val="24"/>
              </w:rPr>
            </w:pPr>
            <w:r w:rsidRPr="00384D24">
              <w:rPr>
                <w:rFonts w:ascii="Times New Roman" w:hAnsi="Times New Roman" w:cs="Times New Roman"/>
                <w:sz w:val="24"/>
                <w:szCs w:val="24"/>
              </w:rPr>
              <w:t>В связи с чем малые банки выдвигают различные инициативы, в т.ч. по пересмотру подхода к учету основных средств:</w:t>
            </w:r>
          </w:p>
          <w:p w:rsidR="004568B4" w:rsidRPr="00430593" w:rsidRDefault="004568B4" w:rsidP="004568B4">
            <w:pPr>
              <w:spacing w:after="0" w:line="240" w:lineRule="auto"/>
              <w:ind w:firstLine="204"/>
              <w:jc w:val="both"/>
              <w:rPr>
                <w:rFonts w:ascii="Times New Roman" w:eastAsia="Times New Roman" w:hAnsi="Times New Roman" w:cs="Times New Roman"/>
                <w:sz w:val="24"/>
                <w:szCs w:val="24"/>
                <w:lang w:eastAsia="ru-RU"/>
              </w:rPr>
            </w:pPr>
            <w:r w:rsidRPr="00384D24">
              <w:rPr>
                <w:rFonts w:ascii="Times New Roman" w:eastAsia="Times New Roman" w:hAnsi="Times New Roman" w:cs="Times New Roman"/>
                <w:sz w:val="24"/>
                <w:szCs w:val="24"/>
                <w:lang w:eastAsia="ru-RU"/>
              </w:rPr>
              <w:t xml:space="preserve">А. </w:t>
            </w:r>
            <w:r w:rsidRPr="00430593">
              <w:rPr>
                <w:rFonts w:ascii="Times New Roman" w:eastAsia="Times New Roman" w:hAnsi="Times New Roman" w:cs="Times New Roman"/>
                <w:sz w:val="24"/>
                <w:szCs w:val="24"/>
                <w:lang w:eastAsia="ru-RU"/>
              </w:rPr>
              <w:t xml:space="preserve">Основные средства кредитных организаций учитывать по цене приобретения и дополнительно произведенных улучшений/реконструкций минус амортизация; </w:t>
            </w:r>
          </w:p>
          <w:p w:rsidR="004568B4" w:rsidRPr="00384D24" w:rsidRDefault="004568B4" w:rsidP="004568B4">
            <w:pPr>
              <w:spacing w:after="0" w:line="240" w:lineRule="auto"/>
              <w:ind w:firstLine="204"/>
              <w:jc w:val="both"/>
              <w:rPr>
                <w:rFonts w:ascii="Times New Roman" w:hAnsi="Times New Roman" w:cs="Times New Roman"/>
                <w:sz w:val="24"/>
                <w:szCs w:val="24"/>
                <w:lang w:bidi="ru-RU"/>
              </w:rPr>
            </w:pPr>
            <w:r w:rsidRPr="00384D24">
              <w:rPr>
                <w:rFonts w:ascii="Times New Roman" w:eastAsia="Times New Roman" w:hAnsi="Times New Roman" w:cs="Times New Roman"/>
                <w:sz w:val="24"/>
                <w:szCs w:val="24"/>
                <w:lang w:eastAsia="ru-RU"/>
              </w:rPr>
              <w:t>Б. Имущество, используемое банками в своей основной деятельности не переоценивать вовсе, зафиксировав его стоимость на докризисном уровне, скажем по состоянию на 01.01.2020 года, как это позволяли сделать недавние регуляторные послабления в период пандемии, с последующей корректировкой на норму амортизации;</w:t>
            </w:r>
          </w:p>
        </w:tc>
        <w:tc>
          <w:tcPr>
            <w:tcW w:w="7950" w:type="dxa"/>
            <w:tcBorders>
              <w:left w:val="single" w:sz="4" w:space="0" w:color="auto"/>
              <w:bottom w:val="nil"/>
            </w:tcBorders>
          </w:tcPr>
          <w:p w:rsidR="004568B4" w:rsidRPr="00F64907" w:rsidRDefault="004568B4" w:rsidP="004568B4">
            <w:pPr>
              <w:spacing w:after="0" w:line="240" w:lineRule="auto"/>
              <w:ind w:firstLine="204"/>
              <w:jc w:val="both"/>
              <w:rPr>
                <w:rFonts w:ascii="Times New Roman" w:hAnsi="Times New Roman" w:cs="Times New Roman"/>
                <w:iCs/>
                <w:sz w:val="24"/>
                <w:szCs w:val="24"/>
              </w:rPr>
            </w:pPr>
            <w:r w:rsidRPr="00F64907">
              <w:rPr>
                <w:rFonts w:ascii="Times New Roman" w:hAnsi="Times New Roman" w:cs="Times New Roman"/>
                <w:iCs/>
                <w:sz w:val="24"/>
                <w:szCs w:val="24"/>
              </w:rPr>
              <w:lastRenderedPageBreak/>
              <w:t xml:space="preserve">Согласно статье 20 Федерального закона от 06.12.2011 № 402-ФЗ </w:t>
            </w:r>
            <w:r w:rsidR="00262756">
              <w:rPr>
                <w:rFonts w:ascii="Times New Roman" w:hAnsi="Times New Roman" w:cs="Times New Roman"/>
                <w:iCs/>
                <w:sz w:val="24"/>
                <w:szCs w:val="24"/>
              </w:rPr>
              <w:br/>
            </w:r>
            <w:r w:rsidRPr="00F64907">
              <w:rPr>
                <w:rFonts w:ascii="Times New Roman" w:hAnsi="Times New Roman" w:cs="Times New Roman"/>
                <w:iCs/>
                <w:sz w:val="24"/>
                <w:szCs w:val="24"/>
              </w:rPr>
              <w:t>«О бухгалтерском учете» Положение № 448-П</w:t>
            </w:r>
            <w:r w:rsidR="00A57B04">
              <w:rPr>
                <w:rStyle w:val="a6"/>
                <w:rFonts w:ascii="Times New Roman" w:hAnsi="Times New Roman" w:cs="Times New Roman"/>
                <w:iCs/>
                <w:sz w:val="24"/>
                <w:szCs w:val="24"/>
              </w:rPr>
              <w:footnoteReference w:id="22"/>
            </w:r>
            <w:r w:rsidRPr="00F64907">
              <w:rPr>
                <w:rFonts w:ascii="Times New Roman" w:hAnsi="Times New Roman" w:cs="Times New Roman"/>
                <w:iCs/>
                <w:sz w:val="24"/>
                <w:szCs w:val="24"/>
              </w:rPr>
              <w:t xml:space="preserve"> основано на международных стандартах финансовой отчетности (далее – МСФО).</w:t>
            </w:r>
          </w:p>
          <w:p w:rsidR="004568B4" w:rsidRPr="00F64907" w:rsidRDefault="004568B4" w:rsidP="004568B4">
            <w:pPr>
              <w:spacing w:after="0" w:line="240" w:lineRule="auto"/>
              <w:ind w:firstLine="204"/>
              <w:jc w:val="both"/>
              <w:rPr>
                <w:rFonts w:ascii="Times New Roman" w:hAnsi="Times New Roman" w:cs="Times New Roman"/>
                <w:iCs/>
                <w:sz w:val="24"/>
                <w:szCs w:val="24"/>
              </w:rPr>
            </w:pPr>
            <w:r w:rsidRPr="00F64907">
              <w:rPr>
                <w:rFonts w:ascii="Times New Roman" w:hAnsi="Times New Roman" w:cs="Times New Roman"/>
                <w:iCs/>
                <w:sz w:val="24"/>
                <w:szCs w:val="24"/>
              </w:rPr>
              <w:t xml:space="preserve">В соответствии с пунктом 2.21 Положения № 448-П для последующей оценки основных средств кредитная организация применительно к группе однородных основных средств выбирает одну из двух моделей учета: по первоначальной стоимости за вычетом накопленной амортизации и накопленных убытков от обесценения либо по переоцененной стоимости. Выбранная модель учета для каждой группы однородных основных средств утверждается в учетной политике кредитной организации и применяется ко всем основным средствам, входящим в данную группу. </w:t>
            </w:r>
          </w:p>
          <w:p w:rsidR="004568B4" w:rsidRPr="00F64907" w:rsidRDefault="004568B4" w:rsidP="004568B4">
            <w:pPr>
              <w:spacing w:after="0" w:line="240" w:lineRule="auto"/>
              <w:ind w:firstLine="204"/>
              <w:jc w:val="both"/>
              <w:rPr>
                <w:rFonts w:ascii="Times New Roman" w:hAnsi="Times New Roman" w:cs="Times New Roman"/>
                <w:iCs/>
                <w:sz w:val="24"/>
                <w:szCs w:val="24"/>
              </w:rPr>
            </w:pPr>
            <w:r w:rsidRPr="00F64907">
              <w:rPr>
                <w:rFonts w:ascii="Times New Roman" w:hAnsi="Times New Roman" w:cs="Times New Roman"/>
                <w:iCs/>
                <w:sz w:val="24"/>
                <w:szCs w:val="24"/>
              </w:rPr>
              <w:t xml:space="preserve">Данный подход в полной мере соответствует пункту 29 МСФО (IAS) 16 «Основные средства» ((далее – МСФО (IAS) 16), согласно которому в </w:t>
            </w:r>
            <w:r w:rsidRPr="00F64907">
              <w:rPr>
                <w:rFonts w:ascii="Times New Roman" w:hAnsi="Times New Roman" w:cs="Times New Roman"/>
                <w:iCs/>
                <w:sz w:val="24"/>
                <w:szCs w:val="24"/>
              </w:rPr>
              <w:lastRenderedPageBreak/>
              <w:t>качестве своей учетной политики организация должна выбрать либо модель учета по первоначальной стоимости, либо модель учета по переоцененной стоимости, и применять выбранную политику ко всему классу основных средств.</w:t>
            </w:r>
          </w:p>
          <w:p w:rsidR="004568B4" w:rsidRPr="00F64907" w:rsidRDefault="004568B4" w:rsidP="004568B4">
            <w:pPr>
              <w:spacing w:after="0" w:line="240" w:lineRule="auto"/>
              <w:ind w:firstLine="204"/>
              <w:jc w:val="both"/>
              <w:rPr>
                <w:rFonts w:ascii="Times New Roman" w:hAnsi="Times New Roman" w:cs="Times New Roman"/>
                <w:iCs/>
                <w:sz w:val="24"/>
                <w:szCs w:val="24"/>
              </w:rPr>
            </w:pPr>
            <w:r w:rsidRPr="00F64907">
              <w:rPr>
                <w:rFonts w:ascii="Times New Roman" w:hAnsi="Times New Roman" w:cs="Times New Roman"/>
                <w:iCs/>
                <w:sz w:val="24"/>
                <w:szCs w:val="24"/>
              </w:rPr>
              <w:t>При выборе модели учета по переоцененной стоимости для группы однородных основных средств кредитная организация определяет периодичность проведения перео</w:t>
            </w:r>
            <w:r>
              <w:rPr>
                <w:rFonts w:ascii="Times New Roman" w:hAnsi="Times New Roman" w:cs="Times New Roman"/>
                <w:iCs/>
                <w:sz w:val="24"/>
                <w:szCs w:val="24"/>
              </w:rPr>
              <w:t>ценки в учетной политике (пункт</w:t>
            </w:r>
            <w:r w:rsidRPr="00F64907">
              <w:rPr>
                <w:rFonts w:ascii="Times New Roman" w:hAnsi="Times New Roman" w:cs="Times New Roman"/>
                <w:iCs/>
                <w:sz w:val="24"/>
                <w:szCs w:val="24"/>
              </w:rPr>
              <w:t xml:space="preserve"> 2.23 Положения № 448-П). При этом переоцененная стоимость должна отражать справедливую стоимость на конец отчетного года.</w:t>
            </w:r>
          </w:p>
          <w:p w:rsidR="004568B4" w:rsidRPr="00F64907" w:rsidRDefault="004568B4" w:rsidP="004568B4">
            <w:pPr>
              <w:spacing w:after="0" w:line="240" w:lineRule="auto"/>
              <w:ind w:firstLine="204"/>
              <w:jc w:val="both"/>
              <w:rPr>
                <w:rFonts w:ascii="Times New Roman" w:hAnsi="Times New Roman" w:cs="Times New Roman"/>
                <w:iCs/>
                <w:sz w:val="24"/>
                <w:szCs w:val="24"/>
              </w:rPr>
            </w:pPr>
            <w:r w:rsidRPr="00F64907">
              <w:rPr>
                <w:rFonts w:ascii="Times New Roman" w:hAnsi="Times New Roman" w:cs="Times New Roman"/>
                <w:iCs/>
                <w:sz w:val="24"/>
                <w:szCs w:val="24"/>
              </w:rPr>
              <w:t>Согласно пункту 31 МСФО (IAS) 16 переоценка объектов основных средств должна производиться с достаточной регулярностью, чтобы не допустить существенного отличия балансовой стоимости от той, которая была бы определена с использованием справедливой стоимости по состоянию на дату окончания отчетного периода.</w:t>
            </w:r>
          </w:p>
          <w:p w:rsidR="004568B4" w:rsidRPr="00F64907" w:rsidRDefault="004568B4" w:rsidP="004568B4">
            <w:pPr>
              <w:spacing w:after="0" w:line="240" w:lineRule="auto"/>
              <w:ind w:firstLine="204"/>
              <w:jc w:val="both"/>
              <w:rPr>
                <w:rFonts w:ascii="Times New Roman" w:hAnsi="Times New Roman" w:cs="Times New Roman"/>
                <w:iCs/>
                <w:sz w:val="24"/>
                <w:szCs w:val="24"/>
              </w:rPr>
            </w:pPr>
            <w:r w:rsidRPr="00F64907">
              <w:rPr>
                <w:rFonts w:ascii="Times New Roman" w:hAnsi="Times New Roman" w:cs="Times New Roman"/>
                <w:iCs/>
                <w:sz w:val="24"/>
                <w:szCs w:val="24"/>
              </w:rPr>
              <w:lastRenderedPageBreak/>
              <w:t>Частота проведения переоценки зависит от изменения справедливой стоимости переоцениваемых объектов основных средств. Если справедливая стоимость переоцененного актива существенно отличается от его балансовой стоимости, требуется дополнительная переоценка. Некоторые объекты основных средств характеризуются значительными и волатильными изменениями справедливой стоимости, что вызывает необходимость в проведении ежегодной переоценки. Проведение таких частых переоценок не требуется для объектов основных средств, справедливая стоимость которых подвергается лишь незначительным изменениям. В таких случаях необходимость переоценки может возникать только каждые 3 - 5 лет (пункт 34 МСФО (IAS) 16).</w:t>
            </w:r>
          </w:p>
          <w:p w:rsidR="004568B4" w:rsidRPr="00F64907" w:rsidRDefault="004568B4" w:rsidP="004568B4">
            <w:pPr>
              <w:spacing w:after="0" w:line="240" w:lineRule="auto"/>
              <w:ind w:firstLine="204"/>
              <w:jc w:val="both"/>
              <w:rPr>
                <w:rFonts w:ascii="Times New Roman" w:hAnsi="Times New Roman" w:cs="Times New Roman"/>
                <w:iCs/>
                <w:sz w:val="24"/>
                <w:szCs w:val="24"/>
              </w:rPr>
            </w:pPr>
            <w:r w:rsidRPr="00F64907">
              <w:rPr>
                <w:rFonts w:ascii="Times New Roman" w:hAnsi="Times New Roman" w:cs="Times New Roman"/>
                <w:iCs/>
                <w:sz w:val="24"/>
                <w:szCs w:val="24"/>
              </w:rPr>
              <w:t>Кредитная организация вправе в учетной политике определить периодичность проведения переоценки свыше одного отчетного года в отношении группы однородных основных средств, учитываемых по переоцененной стоимости, при соблюдении условий, изложенных в пункте 31 МСФО (IAS) 16.</w:t>
            </w:r>
          </w:p>
          <w:p w:rsidR="004568B4" w:rsidRPr="00384D24" w:rsidRDefault="004568B4" w:rsidP="004568B4">
            <w:pPr>
              <w:pStyle w:val="aa"/>
              <w:ind w:firstLine="204"/>
              <w:jc w:val="both"/>
              <w:rPr>
                <w:rFonts w:ascii="Times New Roman" w:hAnsi="Times New Roman"/>
                <w:iCs/>
                <w:sz w:val="24"/>
                <w:szCs w:val="24"/>
              </w:rPr>
            </w:pPr>
            <w:r w:rsidRPr="00F64907">
              <w:rPr>
                <w:rFonts w:ascii="Times New Roman" w:hAnsi="Times New Roman"/>
                <w:iCs/>
                <w:sz w:val="24"/>
                <w:szCs w:val="24"/>
              </w:rPr>
              <w:t>Принимая во внимание изложенное, а также то, что нормативные акты Банка России по бухгалтерскому учету устанавливают единые требования для всех кредитных организаций, инициативные предложения не поддерживаются</w:t>
            </w:r>
            <w:r w:rsidR="007669D4">
              <w:rPr>
                <w:rFonts w:ascii="Times New Roman" w:hAnsi="Times New Roman"/>
                <w:iCs/>
                <w:sz w:val="24"/>
                <w:szCs w:val="24"/>
              </w:rPr>
              <w:t>.</w:t>
            </w:r>
          </w:p>
        </w:tc>
      </w:tr>
      <w:tr w:rsidR="004568B4" w:rsidRPr="00D923F3" w:rsidTr="00262756">
        <w:tc>
          <w:tcPr>
            <w:tcW w:w="801" w:type="dxa"/>
            <w:tcBorders>
              <w:top w:val="nil"/>
              <w:bottom w:val="nil"/>
              <w:right w:val="single" w:sz="4" w:space="0" w:color="auto"/>
            </w:tcBorders>
          </w:tcPr>
          <w:p w:rsidR="004568B4" w:rsidRDefault="004568B4" w:rsidP="004568B4">
            <w:pPr>
              <w:spacing w:after="0" w:line="240" w:lineRule="auto"/>
              <w:jc w:val="center"/>
              <w:rPr>
                <w:rFonts w:ascii="Times New Roman" w:hAnsi="Times New Roman" w:cs="Times New Roman"/>
                <w:sz w:val="24"/>
                <w:szCs w:val="24"/>
              </w:rPr>
            </w:pPr>
          </w:p>
        </w:tc>
        <w:tc>
          <w:tcPr>
            <w:tcW w:w="6412" w:type="dxa"/>
            <w:tcBorders>
              <w:top w:val="nil"/>
              <w:left w:val="single" w:sz="4" w:space="0" w:color="auto"/>
              <w:bottom w:val="nil"/>
              <w:right w:val="single" w:sz="4" w:space="0" w:color="auto"/>
            </w:tcBorders>
          </w:tcPr>
          <w:p w:rsidR="004568B4" w:rsidRPr="00F64907" w:rsidRDefault="004568B4" w:rsidP="004568B4">
            <w:pPr>
              <w:tabs>
                <w:tab w:val="left" w:pos="851"/>
                <w:tab w:val="left" w:pos="1134"/>
              </w:tabs>
              <w:spacing w:after="0" w:line="240" w:lineRule="auto"/>
              <w:ind w:firstLine="204"/>
              <w:contextualSpacing/>
              <w:jc w:val="both"/>
              <w:rPr>
                <w:rFonts w:ascii="Times New Roman" w:hAnsi="Times New Roman" w:cs="Times New Roman"/>
                <w:sz w:val="24"/>
                <w:szCs w:val="24"/>
                <w:lang w:bidi="ru-RU"/>
              </w:rPr>
            </w:pPr>
            <w:r w:rsidRPr="00F64907">
              <w:rPr>
                <w:rFonts w:ascii="Times New Roman" w:hAnsi="Times New Roman" w:cs="Times New Roman"/>
                <w:iCs/>
                <w:sz w:val="24"/>
                <w:szCs w:val="24"/>
              </w:rPr>
              <w:t xml:space="preserve">В. Издать перечень аттестованных Банком России оценочных компаний, заказывая оценку у которых банки бы </w:t>
            </w:r>
            <w:r w:rsidRPr="00F64907">
              <w:rPr>
                <w:rFonts w:ascii="Times New Roman" w:hAnsi="Times New Roman" w:cs="Times New Roman"/>
                <w:iCs/>
                <w:sz w:val="24"/>
                <w:szCs w:val="24"/>
              </w:rPr>
              <w:lastRenderedPageBreak/>
              <w:t>уже не опасались за непринятие регулятором их результатов.</w:t>
            </w:r>
          </w:p>
        </w:tc>
        <w:tc>
          <w:tcPr>
            <w:tcW w:w="7950" w:type="dxa"/>
            <w:tcBorders>
              <w:top w:val="nil"/>
              <w:left w:val="single" w:sz="4" w:space="0" w:color="auto"/>
              <w:bottom w:val="nil"/>
            </w:tcBorders>
          </w:tcPr>
          <w:p w:rsidR="004568B4" w:rsidRPr="00F64907" w:rsidRDefault="004568B4" w:rsidP="004568B4">
            <w:pPr>
              <w:pStyle w:val="aa"/>
              <w:ind w:firstLine="204"/>
              <w:jc w:val="both"/>
              <w:rPr>
                <w:rFonts w:ascii="Times New Roman" w:hAnsi="Times New Roman"/>
                <w:iCs/>
                <w:sz w:val="24"/>
                <w:szCs w:val="24"/>
              </w:rPr>
            </w:pPr>
            <w:r w:rsidRPr="00F64907">
              <w:rPr>
                <w:rFonts w:ascii="Times New Roman" w:hAnsi="Times New Roman"/>
                <w:iCs/>
                <w:sz w:val="24"/>
                <w:szCs w:val="24"/>
              </w:rPr>
              <w:lastRenderedPageBreak/>
              <w:t xml:space="preserve">В настоящее время законодательством Российской Федерации Банк России не наделен полномочиями по изданию перечня независимых оценщиков (оценочных компаний), рекомендуемых для подтверждения </w:t>
            </w:r>
            <w:r w:rsidRPr="00F64907">
              <w:rPr>
                <w:rFonts w:ascii="Times New Roman" w:hAnsi="Times New Roman"/>
                <w:iCs/>
                <w:sz w:val="24"/>
                <w:szCs w:val="24"/>
              </w:rPr>
              <w:lastRenderedPageBreak/>
              <w:t>оценки активов кредитных организаций либо предметов залога, принятых кредитными организациями в качестве обеспечения по ссудам, а также не предусмотрена процедура аккредитации Банком России оценочных компаний</w:t>
            </w:r>
            <w:r w:rsidR="007669D4">
              <w:rPr>
                <w:rFonts w:ascii="Times New Roman" w:hAnsi="Times New Roman"/>
                <w:iCs/>
                <w:sz w:val="24"/>
                <w:szCs w:val="24"/>
              </w:rPr>
              <w:t>.</w:t>
            </w:r>
          </w:p>
        </w:tc>
      </w:tr>
      <w:tr w:rsidR="004568B4" w:rsidRPr="00D923F3" w:rsidTr="00262756">
        <w:tc>
          <w:tcPr>
            <w:tcW w:w="801" w:type="dxa"/>
            <w:tcBorders>
              <w:top w:val="nil"/>
              <w:right w:val="single" w:sz="4" w:space="0" w:color="auto"/>
            </w:tcBorders>
          </w:tcPr>
          <w:p w:rsidR="004568B4" w:rsidRDefault="004568B4" w:rsidP="004568B4">
            <w:pPr>
              <w:spacing w:after="0" w:line="240" w:lineRule="auto"/>
              <w:jc w:val="center"/>
              <w:rPr>
                <w:rFonts w:ascii="Times New Roman" w:hAnsi="Times New Roman" w:cs="Times New Roman"/>
                <w:sz w:val="24"/>
                <w:szCs w:val="24"/>
              </w:rPr>
            </w:pPr>
          </w:p>
        </w:tc>
        <w:tc>
          <w:tcPr>
            <w:tcW w:w="6412" w:type="dxa"/>
            <w:tcBorders>
              <w:top w:val="nil"/>
              <w:left w:val="single" w:sz="4" w:space="0" w:color="auto"/>
              <w:right w:val="single" w:sz="4" w:space="0" w:color="auto"/>
            </w:tcBorders>
          </w:tcPr>
          <w:p w:rsidR="004568B4" w:rsidRPr="00F64907" w:rsidRDefault="004568B4" w:rsidP="004568B4">
            <w:pPr>
              <w:spacing w:after="0" w:line="240" w:lineRule="auto"/>
              <w:ind w:firstLine="204"/>
              <w:jc w:val="both"/>
              <w:rPr>
                <w:rFonts w:ascii="Times New Roman" w:hAnsi="Times New Roman" w:cs="Times New Roman"/>
                <w:sz w:val="24"/>
                <w:szCs w:val="24"/>
              </w:rPr>
            </w:pPr>
            <w:r w:rsidRPr="00F64907">
              <w:rPr>
                <w:rFonts w:ascii="Times New Roman" w:hAnsi="Times New Roman" w:cs="Times New Roman"/>
                <w:sz w:val="24"/>
                <w:szCs w:val="24"/>
              </w:rPr>
              <w:t>Г. Доводить подробную информацию до банков, по проведенной оценке, чтобы они могли видеть причины снижения стоимости основных средств;</w:t>
            </w:r>
          </w:p>
          <w:p w:rsidR="004568B4" w:rsidRPr="00F64907" w:rsidRDefault="004568B4" w:rsidP="004568B4">
            <w:pPr>
              <w:spacing w:after="0" w:line="240" w:lineRule="auto"/>
              <w:ind w:firstLine="204"/>
              <w:jc w:val="both"/>
              <w:rPr>
                <w:rFonts w:ascii="Times New Roman" w:hAnsi="Times New Roman" w:cs="Times New Roman"/>
                <w:sz w:val="24"/>
                <w:szCs w:val="24"/>
                <w:lang w:bidi="ru-RU"/>
              </w:rPr>
            </w:pPr>
            <w:r w:rsidRPr="00F64907">
              <w:rPr>
                <w:rFonts w:ascii="Times New Roman" w:hAnsi="Times New Roman" w:cs="Times New Roman"/>
                <w:sz w:val="24"/>
                <w:szCs w:val="24"/>
              </w:rPr>
              <w:t>Д. Принимать решения по корректировке стоимости основных средств и капитала после предварительного обсуждения результатов переоценки основных средств с кредитными организациями.</w:t>
            </w:r>
            <w:r w:rsidRPr="00F64907">
              <w:rPr>
                <w:rStyle w:val="a6"/>
                <w:rFonts w:ascii="Times New Roman" w:hAnsi="Times New Roman" w:cs="Times New Roman"/>
                <w:sz w:val="24"/>
                <w:szCs w:val="24"/>
              </w:rPr>
              <w:footnoteReference w:id="23"/>
            </w:r>
          </w:p>
        </w:tc>
        <w:tc>
          <w:tcPr>
            <w:tcW w:w="7950" w:type="dxa"/>
            <w:tcBorders>
              <w:top w:val="nil"/>
              <w:left w:val="single" w:sz="4" w:space="0" w:color="auto"/>
            </w:tcBorders>
          </w:tcPr>
          <w:p w:rsidR="004568B4" w:rsidRPr="00F64907" w:rsidRDefault="004568B4" w:rsidP="004568B4">
            <w:pPr>
              <w:spacing w:after="0" w:line="240" w:lineRule="auto"/>
              <w:ind w:firstLine="204"/>
              <w:jc w:val="both"/>
              <w:rPr>
                <w:rFonts w:ascii="Times New Roman" w:hAnsi="Times New Roman" w:cs="Times New Roman"/>
                <w:iCs/>
                <w:sz w:val="24"/>
                <w:szCs w:val="24"/>
              </w:rPr>
            </w:pPr>
            <w:r w:rsidRPr="00F64907">
              <w:rPr>
                <w:rFonts w:ascii="Times New Roman" w:hAnsi="Times New Roman" w:cs="Times New Roman"/>
                <w:iCs/>
                <w:sz w:val="24"/>
                <w:szCs w:val="24"/>
              </w:rPr>
              <w:t xml:space="preserve">Согласно ч. 4 ст. 72 Федерального закона </w:t>
            </w:r>
            <w:r w:rsidR="00A57B04">
              <w:rPr>
                <w:rFonts w:ascii="Times New Roman" w:hAnsi="Times New Roman" w:cs="Times New Roman"/>
                <w:iCs/>
                <w:sz w:val="24"/>
                <w:szCs w:val="24"/>
              </w:rPr>
              <w:t>№86-ФЗ</w:t>
            </w:r>
            <w:r w:rsidRPr="00F64907">
              <w:rPr>
                <w:rFonts w:ascii="Times New Roman" w:hAnsi="Times New Roman" w:cs="Times New Roman"/>
                <w:iCs/>
                <w:sz w:val="24"/>
                <w:szCs w:val="24"/>
              </w:rPr>
              <w:t xml:space="preserve"> в целях определения размера собственных средств (капитала) кредитных организаций Банк России проводит оценку их активов. </w:t>
            </w:r>
          </w:p>
          <w:p w:rsidR="004568B4" w:rsidRPr="00F64907" w:rsidRDefault="004568B4" w:rsidP="004568B4">
            <w:pPr>
              <w:spacing w:after="0" w:line="240" w:lineRule="auto"/>
              <w:ind w:firstLine="204"/>
              <w:jc w:val="both"/>
              <w:rPr>
                <w:rFonts w:ascii="Times New Roman" w:hAnsi="Times New Roman" w:cs="Times New Roman"/>
                <w:iCs/>
                <w:sz w:val="24"/>
                <w:szCs w:val="24"/>
              </w:rPr>
            </w:pPr>
            <w:r w:rsidRPr="00F64907">
              <w:rPr>
                <w:rFonts w:ascii="Times New Roman" w:hAnsi="Times New Roman" w:cs="Times New Roman"/>
                <w:iCs/>
                <w:sz w:val="24"/>
                <w:szCs w:val="24"/>
              </w:rPr>
              <w:t xml:space="preserve">Кредитные организации отражают в своей бухгалтерской (финансовой) и иной отчетности размер собственных средств (капитала), определенный Банком России. </w:t>
            </w:r>
          </w:p>
          <w:p w:rsidR="004568B4" w:rsidRPr="00F64907" w:rsidRDefault="004568B4" w:rsidP="004568B4">
            <w:pPr>
              <w:spacing w:after="0" w:line="240" w:lineRule="auto"/>
              <w:ind w:firstLine="204"/>
              <w:jc w:val="both"/>
              <w:rPr>
                <w:rFonts w:ascii="Times New Roman" w:hAnsi="Times New Roman" w:cs="Times New Roman"/>
                <w:iCs/>
                <w:sz w:val="24"/>
                <w:szCs w:val="24"/>
              </w:rPr>
            </w:pPr>
            <w:r w:rsidRPr="00F64907">
              <w:rPr>
                <w:rFonts w:ascii="Times New Roman" w:hAnsi="Times New Roman" w:cs="Times New Roman"/>
                <w:iCs/>
                <w:sz w:val="24"/>
                <w:szCs w:val="24"/>
              </w:rPr>
              <w:t>Согласно п. 1.4 Положения № 448-П оценка справедливой стоимости основных средств осуществляется кредитными организациями в порядке, определенном Международным стандартом финансовой отчетности (IFRS) 13 «Оценка справедливой стоимости» (МСФО 13).</w:t>
            </w:r>
          </w:p>
          <w:p w:rsidR="004568B4" w:rsidRPr="00F64907" w:rsidRDefault="004568B4" w:rsidP="004568B4">
            <w:pPr>
              <w:pStyle w:val="aa"/>
              <w:ind w:firstLine="204"/>
              <w:jc w:val="both"/>
              <w:rPr>
                <w:rFonts w:ascii="Times New Roman" w:hAnsi="Times New Roman"/>
                <w:iCs/>
                <w:sz w:val="24"/>
                <w:szCs w:val="24"/>
              </w:rPr>
            </w:pPr>
            <w:r w:rsidRPr="00F64907">
              <w:rPr>
                <w:rFonts w:ascii="Times New Roman" w:hAnsi="Times New Roman"/>
                <w:iCs/>
                <w:sz w:val="24"/>
                <w:szCs w:val="24"/>
              </w:rPr>
              <w:t>В целях обеспечения единообразных подходов Банк России проводит оценку справедливой стоимости основных средств в соответствии с требованиями МСФО 13. Право Банка России самостоятельно проводить оценку активов кредитных организаций в соответствии с требованиями МСФО 13 подтверждается сложившейся судебной практикой.</w:t>
            </w:r>
          </w:p>
          <w:p w:rsidR="004568B4" w:rsidRPr="00F64907" w:rsidRDefault="004568B4" w:rsidP="004568B4">
            <w:pPr>
              <w:pStyle w:val="aa"/>
              <w:ind w:firstLine="204"/>
              <w:jc w:val="both"/>
              <w:rPr>
                <w:rFonts w:ascii="Times New Roman" w:hAnsi="Times New Roman"/>
                <w:iCs/>
                <w:sz w:val="24"/>
                <w:szCs w:val="24"/>
              </w:rPr>
            </w:pPr>
            <w:r w:rsidRPr="00F64907">
              <w:rPr>
                <w:rFonts w:ascii="Times New Roman" w:hAnsi="Times New Roman"/>
                <w:iCs/>
                <w:sz w:val="24"/>
                <w:szCs w:val="24"/>
              </w:rPr>
              <w:t xml:space="preserve">Отмечаем, что существенные различия (в несколько раз) между стоимостью имущества, определенной Банком России, и стоимостью </w:t>
            </w:r>
            <w:r w:rsidRPr="00F64907">
              <w:rPr>
                <w:rFonts w:ascii="Times New Roman" w:hAnsi="Times New Roman"/>
                <w:iCs/>
                <w:sz w:val="24"/>
                <w:szCs w:val="24"/>
              </w:rPr>
              <w:lastRenderedPageBreak/>
              <w:t>имущества, отраженной в бухгалтерском балансе кредитных организаций, фиксируются в исключительных случаях.</w:t>
            </w:r>
          </w:p>
          <w:p w:rsidR="004568B4" w:rsidRPr="00F64907" w:rsidRDefault="004568B4" w:rsidP="004568B4">
            <w:pPr>
              <w:pStyle w:val="aa"/>
              <w:ind w:firstLine="204"/>
              <w:jc w:val="both"/>
              <w:rPr>
                <w:rFonts w:ascii="Times New Roman" w:hAnsi="Times New Roman"/>
                <w:iCs/>
                <w:sz w:val="24"/>
                <w:szCs w:val="24"/>
              </w:rPr>
            </w:pPr>
            <w:r w:rsidRPr="00F64907">
              <w:rPr>
                <w:rFonts w:ascii="Times New Roman" w:hAnsi="Times New Roman"/>
                <w:iCs/>
                <w:sz w:val="24"/>
                <w:szCs w:val="24"/>
              </w:rPr>
              <w:t>В случае выявления отклонений в полученных результатах, Банком России проводятся рабочие совещания с кредитными организациями, на которых им подробно разъясняются используемые Банком России подходы к оценке, примененные корректировки и приводятся обоснования причин отклонений</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6412" w:type="dxa"/>
          </w:tcPr>
          <w:p w:rsidR="004568B4" w:rsidRPr="00D923F3" w:rsidRDefault="004568B4" w:rsidP="004568B4">
            <w:pPr>
              <w:tabs>
                <w:tab w:val="left" w:pos="993"/>
              </w:tabs>
              <w:autoSpaceDE w:val="0"/>
              <w:autoSpaceDN w:val="0"/>
              <w:adjustRightInd w:val="0"/>
              <w:spacing w:after="0" w:line="240" w:lineRule="auto"/>
              <w:ind w:firstLine="175"/>
              <w:contextualSpacing/>
              <w:jc w:val="both"/>
              <w:rPr>
                <w:rFonts w:ascii="Times New Roman" w:eastAsia="Calibri" w:hAnsi="Times New Roman" w:cs="Times New Roman"/>
                <w:color w:val="000000"/>
                <w:sz w:val="24"/>
                <w:szCs w:val="24"/>
              </w:rPr>
            </w:pPr>
            <w:r w:rsidRPr="00D923F3">
              <w:rPr>
                <w:rFonts w:ascii="Times New Roman" w:eastAsia="Calibri" w:hAnsi="Times New Roman" w:cs="Times New Roman"/>
                <w:color w:val="000000"/>
                <w:sz w:val="24"/>
                <w:szCs w:val="24"/>
              </w:rPr>
              <w:t xml:space="preserve">Согласно информационному письму </w:t>
            </w:r>
            <w:r w:rsidR="00A57B04">
              <w:rPr>
                <w:rFonts w:ascii="Times New Roman" w:eastAsia="Calibri" w:hAnsi="Times New Roman" w:cs="Times New Roman"/>
                <w:color w:val="000000"/>
                <w:sz w:val="24"/>
                <w:szCs w:val="24"/>
              </w:rPr>
              <w:t>Банка Росси</w:t>
            </w:r>
            <w:r w:rsidR="00A57B04">
              <w:rPr>
                <w:rFonts w:ascii="Times New Roman" w:eastAsia="Calibri" w:hAnsi="Times New Roman" w:cs="Times New Roman"/>
                <w:color w:val="000000"/>
                <w:sz w:val="24"/>
                <w:szCs w:val="24"/>
              </w:rPr>
              <w:br/>
            </w:r>
            <w:r w:rsidRPr="00D923F3">
              <w:rPr>
                <w:rFonts w:ascii="Times New Roman" w:eastAsia="Calibri" w:hAnsi="Times New Roman" w:cs="Times New Roman"/>
                <w:color w:val="000000"/>
                <w:sz w:val="24"/>
                <w:szCs w:val="24"/>
              </w:rPr>
              <w:t xml:space="preserve"> от 31.12.2020 № ИН-08-41/189, в случае, если платежи заемщика за дополнительные услуги в пользу кредитора и (или) третьих лиц относятся к платежам, установленным ч.4 ст.6 </w:t>
            </w:r>
            <w:r w:rsidR="00A57B04">
              <w:rPr>
                <w:rFonts w:ascii="Times New Roman" w:eastAsia="Calibri" w:hAnsi="Times New Roman" w:cs="Times New Roman"/>
                <w:color w:val="000000"/>
                <w:sz w:val="24"/>
                <w:szCs w:val="24"/>
              </w:rPr>
              <w:t>Федеральный з</w:t>
            </w:r>
            <w:r w:rsidRPr="00D923F3">
              <w:rPr>
                <w:rFonts w:ascii="Times New Roman" w:eastAsia="Calibri" w:hAnsi="Times New Roman" w:cs="Times New Roman"/>
                <w:color w:val="000000"/>
                <w:sz w:val="24"/>
                <w:szCs w:val="24"/>
              </w:rPr>
              <w:t>акон № 353-ФЗ, то такие платежи включаются кредитором в расчет ПСК отдельными платежами (потоками), независимо от того, за счет каких средств они уплачиваются заемщиком.</w:t>
            </w:r>
          </w:p>
          <w:p w:rsidR="004568B4" w:rsidRPr="00D923F3" w:rsidRDefault="004568B4" w:rsidP="004568B4">
            <w:pPr>
              <w:autoSpaceDE w:val="0"/>
              <w:autoSpaceDN w:val="0"/>
              <w:adjustRightInd w:val="0"/>
              <w:spacing w:after="0" w:line="240" w:lineRule="auto"/>
              <w:ind w:firstLine="175"/>
              <w:jc w:val="both"/>
              <w:rPr>
                <w:rFonts w:ascii="Times New Roman" w:eastAsia="Times New Roman" w:hAnsi="Times New Roman" w:cs="Times New Roman"/>
                <w:color w:val="000000"/>
                <w:sz w:val="24"/>
                <w:szCs w:val="24"/>
                <w:lang w:eastAsia="ru-RU"/>
              </w:rPr>
            </w:pPr>
            <w:r w:rsidRPr="00D923F3">
              <w:rPr>
                <w:rFonts w:ascii="Times New Roman" w:eastAsia="Times New Roman" w:hAnsi="Times New Roman" w:cs="Times New Roman"/>
                <w:color w:val="000000"/>
                <w:sz w:val="24"/>
                <w:szCs w:val="24"/>
                <w:lang w:eastAsia="ru-RU"/>
              </w:rPr>
              <w:t xml:space="preserve">Просим разъяснить, как понимать данное указание в отношении дополнительных (добровольных) страховых услуг, оказываемых третьими лицами, оплачиваемых по выбору заемщика за счет кредитных средств, если их получение заемщиком не следует из условий договора потребительского кредита, если в зависимости от заключения заемщиком договора добровольного страхования кредитором не предлагаются разные условия договора потребительского кредита, и если </w:t>
            </w:r>
            <w:r w:rsidRPr="00D923F3">
              <w:rPr>
                <w:rFonts w:ascii="Times New Roman" w:eastAsia="Times New Roman" w:hAnsi="Times New Roman" w:cs="Times New Roman"/>
                <w:color w:val="000000"/>
                <w:sz w:val="24"/>
                <w:szCs w:val="24"/>
                <w:lang w:eastAsia="ru-RU"/>
              </w:rPr>
              <w:lastRenderedPageBreak/>
              <w:t>выгодоприобретателем по договору добровольного страхования является сам заемщик.</w:t>
            </w:r>
          </w:p>
          <w:p w:rsidR="004568B4" w:rsidRPr="00D923F3" w:rsidRDefault="004568B4" w:rsidP="004568B4">
            <w:pPr>
              <w:tabs>
                <w:tab w:val="left" w:pos="993"/>
              </w:tabs>
              <w:spacing w:after="0" w:line="240" w:lineRule="auto"/>
              <w:ind w:firstLine="175"/>
              <w:jc w:val="both"/>
              <w:rPr>
                <w:rFonts w:ascii="Times New Roman" w:eastAsia="Calibri" w:hAnsi="Times New Roman" w:cs="Times New Roman"/>
                <w:sz w:val="24"/>
                <w:szCs w:val="24"/>
                <w:lang w:bidi="ru-RU"/>
              </w:rPr>
            </w:pPr>
            <w:r w:rsidRPr="00D923F3">
              <w:rPr>
                <w:rFonts w:ascii="Times New Roman" w:eastAsia="Times New Roman" w:hAnsi="Times New Roman" w:cs="Times New Roman"/>
                <w:color w:val="000000"/>
                <w:sz w:val="24"/>
                <w:szCs w:val="24"/>
                <w:lang w:eastAsia="ru-RU"/>
              </w:rPr>
              <w:t xml:space="preserve">Полагаем, что такие платежи в оплату дополнительных (добровольных) страховых услуг, если заемщиком было выражено волеизъявление на их оплату за счет кредитных средств, следует учитывать при расчете ПСК одним потоком (в составе платежей по погашению основной суммы долга по договору потребительского кредита (займа), т.к. отсутствуют основания для их учета отдельными потоками при расчете ПСК, предусмотренные пунктами 3,5-7 части 4 статьи 6 </w:t>
            </w:r>
            <w:r>
              <w:rPr>
                <w:rFonts w:ascii="Times New Roman" w:eastAsia="Times New Roman" w:hAnsi="Times New Roman" w:cs="Times New Roman"/>
                <w:color w:val="000000"/>
                <w:sz w:val="24"/>
                <w:szCs w:val="24"/>
                <w:lang w:eastAsia="ru-RU"/>
              </w:rPr>
              <w:t>Федерального з</w:t>
            </w:r>
            <w:r w:rsidRPr="00D923F3">
              <w:rPr>
                <w:rFonts w:ascii="Times New Roman" w:eastAsia="Times New Roman" w:hAnsi="Times New Roman" w:cs="Times New Roman"/>
                <w:color w:val="000000"/>
                <w:sz w:val="24"/>
                <w:szCs w:val="24"/>
                <w:lang w:eastAsia="ru-RU"/>
              </w:rPr>
              <w:t>акона № 353-ФЗ.</w:t>
            </w:r>
            <w:r w:rsidRPr="00D923F3">
              <w:rPr>
                <w:rFonts w:ascii="Times New Roman" w:eastAsia="Times New Roman" w:hAnsi="Times New Roman" w:cs="Times New Roman"/>
                <w:color w:val="000000"/>
                <w:sz w:val="24"/>
                <w:szCs w:val="24"/>
                <w:vertAlign w:val="superscript"/>
                <w:lang w:eastAsia="ru-RU"/>
              </w:rPr>
              <w:footnoteReference w:id="24"/>
            </w:r>
          </w:p>
        </w:tc>
        <w:tc>
          <w:tcPr>
            <w:tcW w:w="7950" w:type="dxa"/>
          </w:tcPr>
          <w:p w:rsidR="004568B4" w:rsidRPr="00824BD1" w:rsidRDefault="004568B4" w:rsidP="004568B4">
            <w:pPr>
              <w:spacing w:after="0" w:line="240" w:lineRule="auto"/>
              <w:ind w:firstLine="187"/>
              <w:jc w:val="both"/>
              <w:rPr>
                <w:rFonts w:ascii="Times New Roman" w:hAnsi="Times New Roman" w:cs="Times New Roman"/>
                <w:iCs/>
                <w:sz w:val="24"/>
                <w:szCs w:val="24"/>
              </w:rPr>
            </w:pPr>
            <w:r w:rsidRPr="00824BD1">
              <w:rPr>
                <w:rFonts w:ascii="Times New Roman" w:hAnsi="Times New Roman" w:cs="Times New Roman"/>
                <w:iCs/>
                <w:sz w:val="24"/>
                <w:szCs w:val="24"/>
              </w:rPr>
              <w:lastRenderedPageBreak/>
              <w:t xml:space="preserve">Разъяснения, изложенные в информационном письме Банка России от 31.12.2020 № ИН-08-41/189, </w:t>
            </w:r>
            <w:r>
              <w:rPr>
                <w:rFonts w:ascii="Times New Roman" w:hAnsi="Times New Roman" w:cs="Times New Roman"/>
                <w:iCs/>
                <w:sz w:val="24"/>
                <w:szCs w:val="24"/>
              </w:rPr>
              <w:t>направлены на доведение до сведения кредитных организаций особенностей включения в расчет полной стоимости потребительского кредита (займа) (далее – ПСК) платежей заемщика за дополнительные</w:t>
            </w:r>
            <w:r w:rsidRPr="00824BD1">
              <w:rPr>
                <w:rFonts w:ascii="Times New Roman" w:hAnsi="Times New Roman" w:cs="Times New Roman"/>
                <w:iCs/>
                <w:sz w:val="24"/>
                <w:szCs w:val="24"/>
              </w:rPr>
              <w:t xml:space="preserve"> услуг</w:t>
            </w:r>
            <w:r>
              <w:rPr>
                <w:rFonts w:ascii="Times New Roman" w:hAnsi="Times New Roman" w:cs="Times New Roman"/>
                <w:iCs/>
                <w:sz w:val="24"/>
                <w:szCs w:val="24"/>
              </w:rPr>
              <w:t>и</w:t>
            </w:r>
            <w:r w:rsidRPr="00824BD1">
              <w:rPr>
                <w:rFonts w:ascii="Times New Roman" w:hAnsi="Times New Roman" w:cs="Times New Roman"/>
                <w:iCs/>
                <w:sz w:val="24"/>
                <w:szCs w:val="24"/>
              </w:rPr>
              <w:t xml:space="preserve"> </w:t>
            </w:r>
            <w:r>
              <w:rPr>
                <w:rFonts w:ascii="Times New Roman" w:hAnsi="Times New Roman" w:cs="Times New Roman"/>
                <w:iCs/>
                <w:sz w:val="24"/>
                <w:szCs w:val="24"/>
              </w:rPr>
              <w:t xml:space="preserve">в пользу </w:t>
            </w:r>
            <w:r w:rsidRPr="00824BD1">
              <w:rPr>
                <w:rFonts w:ascii="Times New Roman" w:hAnsi="Times New Roman" w:cs="Times New Roman"/>
                <w:iCs/>
                <w:sz w:val="24"/>
                <w:szCs w:val="24"/>
              </w:rPr>
              <w:t>кредитора и (или) третьих лиц</w:t>
            </w:r>
            <w:r w:rsidRPr="008A7F54">
              <w:rPr>
                <w:rFonts w:ascii="Times New Roman" w:hAnsi="Times New Roman" w:cs="Times New Roman"/>
                <w:iCs/>
                <w:sz w:val="24"/>
                <w:szCs w:val="24"/>
              </w:rPr>
              <w:t xml:space="preserve">, </w:t>
            </w:r>
            <w:r>
              <w:rPr>
                <w:rFonts w:ascii="Times New Roman" w:hAnsi="Times New Roman" w:cs="Times New Roman"/>
                <w:iCs/>
                <w:sz w:val="24"/>
                <w:szCs w:val="24"/>
              </w:rPr>
              <w:t>отнесенных</w:t>
            </w:r>
            <w:r w:rsidRPr="008A7F54">
              <w:rPr>
                <w:rFonts w:ascii="Times New Roman" w:hAnsi="Times New Roman" w:cs="Times New Roman"/>
                <w:iCs/>
                <w:sz w:val="24"/>
                <w:szCs w:val="24"/>
              </w:rPr>
              <w:t xml:space="preserve"> к платежам, установленным частью 4 статьи 6 Федерального закона </w:t>
            </w:r>
            <w:r>
              <w:rPr>
                <w:rFonts w:ascii="Times New Roman" w:hAnsi="Times New Roman" w:cs="Times New Roman"/>
                <w:iCs/>
                <w:sz w:val="24"/>
                <w:szCs w:val="24"/>
              </w:rPr>
              <w:t xml:space="preserve">от 21.12.2013 </w:t>
            </w:r>
            <w:r w:rsidRPr="008A7F54">
              <w:rPr>
                <w:rFonts w:ascii="Times New Roman" w:hAnsi="Times New Roman" w:cs="Times New Roman"/>
                <w:iCs/>
                <w:sz w:val="24"/>
                <w:szCs w:val="24"/>
              </w:rPr>
              <w:t>№ 353-ФЗ</w:t>
            </w:r>
            <w:r>
              <w:rPr>
                <w:rFonts w:ascii="Times New Roman" w:hAnsi="Times New Roman" w:cs="Times New Roman"/>
                <w:iCs/>
                <w:sz w:val="24"/>
                <w:szCs w:val="24"/>
              </w:rPr>
              <w:t xml:space="preserve"> «О потребительском кредите (займе)» (далее – Федеральный закон № 353-ФЗ)</w:t>
            </w:r>
            <w:r w:rsidRPr="00824BD1">
              <w:rPr>
                <w:rFonts w:ascii="Times New Roman" w:hAnsi="Times New Roman" w:cs="Times New Roman"/>
                <w:iCs/>
                <w:sz w:val="24"/>
                <w:szCs w:val="24"/>
              </w:rPr>
              <w:t>.</w:t>
            </w:r>
          </w:p>
          <w:p w:rsidR="004568B4" w:rsidRPr="00D923F3" w:rsidRDefault="004568B4" w:rsidP="004568B4">
            <w:pPr>
              <w:spacing w:after="0" w:line="240" w:lineRule="auto"/>
              <w:ind w:firstLine="175"/>
              <w:jc w:val="both"/>
              <w:rPr>
                <w:rFonts w:ascii="Times New Roman" w:hAnsi="Times New Roman" w:cs="Times New Roman"/>
                <w:sz w:val="24"/>
                <w:szCs w:val="24"/>
              </w:rPr>
            </w:pPr>
            <w:r w:rsidRPr="00824BD1">
              <w:rPr>
                <w:rFonts w:ascii="Times New Roman" w:hAnsi="Times New Roman" w:cs="Times New Roman"/>
                <w:sz w:val="24"/>
                <w:szCs w:val="24"/>
              </w:rPr>
              <w:t>В случае если платежи заемщика за услуги</w:t>
            </w:r>
            <w:r w:rsidRPr="00403EB2">
              <w:rPr>
                <w:rFonts w:ascii="Times New Roman" w:hAnsi="Times New Roman" w:cs="Times New Roman"/>
                <w:sz w:val="24"/>
                <w:szCs w:val="24"/>
              </w:rPr>
              <w:t xml:space="preserve">, уплаченные за счет заемных (кредитных) средств, не относятся к платежам, установленным </w:t>
            </w:r>
            <w:r>
              <w:rPr>
                <w:rFonts w:ascii="Times New Roman" w:hAnsi="Times New Roman" w:cs="Times New Roman"/>
                <w:sz w:val="24"/>
                <w:szCs w:val="24"/>
              </w:rPr>
              <w:t xml:space="preserve">частью </w:t>
            </w:r>
            <w:r w:rsidRPr="00403EB2">
              <w:rPr>
                <w:rFonts w:ascii="Times New Roman" w:hAnsi="Times New Roman" w:cs="Times New Roman"/>
                <w:sz w:val="24"/>
                <w:szCs w:val="24"/>
              </w:rPr>
              <w:t>4 статьи 6 Федерально закона № 353-ФЗ, то такие платежи не подлежат включению в расчет ПСК отдельными платежами (потоками).</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412" w:type="dxa"/>
          </w:tcPr>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Кредитные организации снова предлагают сократить количество и объем запрашиваемой в рамках надзорных мероприятий информации, а также ограничить направление запросов о предоставлении информации статистического и ненадзорного характера. Просим прокомментировать перспективы сокращения объемов запрашиваемой информации в условиях цифровизации.</w:t>
            </w:r>
          </w:p>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D923F3">
              <w:rPr>
                <w:rFonts w:ascii="Times New Roman" w:eastAsia="Calibri" w:hAnsi="Times New Roman" w:cs="Times New Roman"/>
                <w:sz w:val="24"/>
                <w:szCs w:val="24"/>
                <w:lang w:bidi="ru-RU"/>
              </w:rPr>
              <w:t xml:space="preserve">Кроме того, в ряде случаев представить в кратчайшие сроки запрашиваемую Банком России информацию с соблюдением требований к составу и формату предоставления документов (в том числе требований о сопровождении документов, составленных на иностранном </w:t>
            </w:r>
            <w:r w:rsidRPr="00D923F3">
              <w:rPr>
                <w:rFonts w:ascii="Times New Roman" w:eastAsia="Calibri" w:hAnsi="Times New Roman" w:cs="Times New Roman"/>
                <w:sz w:val="24"/>
                <w:szCs w:val="24"/>
                <w:lang w:bidi="ru-RU"/>
              </w:rPr>
              <w:lastRenderedPageBreak/>
              <w:t>языке, переводом на русский язык) не представляется возможным. В связи с чем, предлагается рассмотреть вопрос об установлении единого нормативного срока для предоставления кредитными организациями документов (информации) по запросам Банка России (например, минимальный срок для ответа - 10 рабочих дней).</w:t>
            </w:r>
          </w:p>
        </w:tc>
        <w:tc>
          <w:tcPr>
            <w:tcW w:w="7950" w:type="dxa"/>
          </w:tcPr>
          <w:p w:rsidR="004568B4" w:rsidRPr="00344818" w:rsidRDefault="004568B4" w:rsidP="004568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Pr="00344818">
              <w:rPr>
                <w:rFonts w:ascii="Times New Roman" w:hAnsi="Times New Roman" w:cs="Times New Roman"/>
                <w:sz w:val="24"/>
                <w:szCs w:val="24"/>
              </w:rPr>
              <w:t>Банке России на постоянной основе на площадке Рабочей группы по вопросам развития статистической работы в Банке России и оптимизации отчетности и Рабочей группы по оптимизации регуляторной нагрузки на участников финансового рынка проводится:</w:t>
            </w:r>
          </w:p>
          <w:p w:rsidR="004568B4" w:rsidRPr="00344818" w:rsidRDefault="004568B4" w:rsidP="004568B4">
            <w:pPr>
              <w:spacing w:after="0" w:line="240" w:lineRule="auto"/>
              <w:ind w:firstLine="175"/>
              <w:jc w:val="both"/>
              <w:rPr>
                <w:rFonts w:ascii="Times New Roman" w:hAnsi="Times New Roman" w:cs="Times New Roman"/>
                <w:sz w:val="24"/>
                <w:szCs w:val="24"/>
              </w:rPr>
            </w:pPr>
            <w:r w:rsidRPr="00344818">
              <w:rPr>
                <w:rFonts w:ascii="Times New Roman" w:hAnsi="Times New Roman" w:cs="Times New Roman"/>
                <w:sz w:val="24"/>
                <w:szCs w:val="24"/>
              </w:rPr>
              <w:t>- верификация норм действующего регулирования в части исключения норм, создающих неоправданную нагрузку при составлении отчетности кредитных организаций («регулятивная гильотина»);</w:t>
            </w:r>
          </w:p>
          <w:p w:rsidR="004568B4" w:rsidRPr="00344818" w:rsidRDefault="004568B4" w:rsidP="004568B4">
            <w:pPr>
              <w:spacing w:after="0" w:line="240" w:lineRule="auto"/>
              <w:ind w:firstLine="175"/>
              <w:jc w:val="both"/>
              <w:rPr>
                <w:rFonts w:ascii="Times New Roman" w:hAnsi="Times New Roman" w:cs="Times New Roman"/>
                <w:sz w:val="24"/>
                <w:szCs w:val="24"/>
              </w:rPr>
            </w:pPr>
            <w:r w:rsidRPr="00344818">
              <w:rPr>
                <w:rFonts w:ascii="Times New Roman" w:hAnsi="Times New Roman" w:cs="Times New Roman"/>
                <w:sz w:val="24"/>
                <w:szCs w:val="24"/>
              </w:rPr>
              <w:t>- проработка вопросов, связанных с увеличением срока представления отдельных форм отчетности;</w:t>
            </w:r>
          </w:p>
          <w:p w:rsidR="004568B4" w:rsidRPr="00344818" w:rsidRDefault="004568B4" w:rsidP="004568B4">
            <w:pPr>
              <w:spacing w:after="0" w:line="240" w:lineRule="auto"/>
              <w:ind w:firstLine="175"/>
              <w:jc w:val="both"/>
              <w:rPr>
                <w:rFonts w:ascii="Times New Roman" w:hAnsi="Times New Roman" w:cs="Times New Roman"/>
                <w:sz w:val="24"/>
                <w:szCs w:val="24"/>
              </w:rPr>
            </w:pPr>
            <w:r w:rsidRPr="00344818">
              <w:rPr>
                <w:rFonts w:ascii="Times New Roman" w:hAnsi="Times New Roman" w:cs="Times New Roman"/>
                <w:sz w:val="24"/>
                <w:szCs w:val="24"/>
              </w:rPr>
              <w:t>- объединение отдельных форм отчетности, содержащих идентичные показатели;</w:t>
            </w:r>
          </w:p>
          <w:p w:rsidR="004568B4" w:rsidRPr="00344818" w:rsidRDefault="004568B4" w:rsidP="004568B4">
            <w:pPr>
              <w:spacing w:after="0" w:line="240" w:lineRule="auto"/>
              <w:ind w:firstLine="175"/>
              <w:jc w:val="both"/>
              <w:rPr>
                <w:rFonts w:ascii="Times New Roman" w:hAnsi="Times New Roman" w:cs="Times New Roman"/>
                <w:sz w:val="24"/>
                <w:szCs w:val="24"/>
              </w:rPr>
            </w:pPr>
            <w:r w:rsidRPr="00344818">
              <w:rPr>
                <w:rFonts w:ascii="Times New Roman" w:hAnsi="Times New Roman" w:cs="Times New Roman"/>
                <w:sz w:val="24"/>
                <w:szCs w:val="24"/>
              </w:rPr>
              <w:lastRenderedPageBreak/>
              <w:t>- отмена невостребованных Банком России форм отчетности (отдельных показателей из форм отчетности).</w:t>
            </w:r>
          </w:p>
          <w:p w:rsidR="004568B4" w:rsidRDefault="004568B4" w:rsidP="004568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Вопросы в</w:t>
            </w:r>
            <w:r w:rsidRPr="00344818">
              <w:rPr>
                <w:rFonts w:ascii="Times New Roman" w:hAnsi="Times New Roman" w:cs="Times New Roman"/>
                <w:sz w:val="24"/>
                <w:szCs w:val="24"/>
              </w:rPr>
              <w:t xml:space="preserve"> отношении продления сроков исполнения запросов и предписаний по исправлению ошибок порядка составления отчетности рассматривается в рамках работы подгруппы 15 «Запросы и предписания» Рабочей группы Банка России по оптимизации регуляторной нагрузки на участников финансового рынка.</w:t>
            </w:r>
          </w:p>
          <w:p w:rsidR="004568B4" w:rsidRPr="00B02945" w:rsidRDefault="004568B4" w:rsidP="004568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Также н</w:t>
            </w:r>
            <w:r w:rsidRPr="00B02945">
              <w:rPr>
                <w:rFonts w:ascii="Times New Roman" w:hAnsi="Times New Roman" w:cs="Times New Roman"/>
                <w:sz w:val="24"/>
                <w:szCs w:val="24"/>
              </w:rPr>
              <w:t>а площадке Рабочей группы по проработке вопросов перехода на</w:t>
            </w:r>
            <w:r>
              <w:rPr>
                <w:rFonts w:ascii="Times New Roman" w:hAnsi="Times New Roman" w:cs="Times New Roman"/>
                <w:sz w:val="24"/>
                <w:szCs w:val="24"/>
              </w:rPr>
              <w:t xml:space="preserve"> </w:t>
            </w:r>
            <w:r w:rsidRPr="00B02945">
              <w:rPr>
                <w:rFonts w:ascii="Times New Roman" w:hAnsi="Times New Roman" w:cs="Times New Roman"/>
                <w:sz w:val="24"/>
                <w:szCs w:val="24"/>
              </w:rPr>
              <w:t>датацентричный сбор информации от кредитных организаций и</w:t>
            </w:r>
            <w:r>
              <w:rPr>
                <w:rFonts w:ascii="Times New Roman" w:hAnsi="Times New Roman" w:cs="Times New Roman"/>
                <w:sz w:val="24"/>
                <w:szCs w:val="24"/>
              </w:rPr>
              <w:t xml:space="preserve"> </w:t>
            </w:r>
            <w:r w:rsidRPr="00B02945">
              <w:rPr>
                <w:rFonts w:ascii="Times New Roman" w:hAnsi="Times New Roman" w:cs="Times New Roman"/>
                <w:sz w:val="24"/>
                <w:szCs w:val="24"/>
              </w:rPr>
              <w:t>разработке единой модели данных разрабатываются унифицированные</w:t>
            </w:r>
            <w:r>
              <w:rPr>
                <w:rFonts w:ascii="Times New Roman" w:hAnsi="Times New Roman" w:cs="Times New Roman"/>
                <w:sz w:val="24"/>
                <w:szCs w:val="24"/>
              </w:rPr>
              <w:t xml:space="preserve"> </w:t>
            </w:r>
            <w:r w:rsidRPr="00B02945">
              <w:rPr>
                <w:rFonts w:ascii="Times New Roman" w:hAnsi="Times New Roman" w:cs="Times New Roman"/>
                <w:sz w:val="24"/>
                <w:szCs w:val="24"/>
              </w:rPr>
              <w:t>требования к хранению и учету информации в кредитных организациях и</w:t>
            </w:r>
            <w:r>
              <w:rPr>
                <w:rFonts w:ascii="Times New Roman" w:hAnsi="Times New Roman" w:cs="Times New Roman"/>
                <w:sz w:val="24"/>
                <w:szCs w:val="24"/>
              </w:rPr>
              <w:t xml:space="preserve"> </w:t>
            </w:r>
            <w:r w:rsidRPr="00B02945">
              <w:rPr>
                <w:rFonts w:ascii="Times New Roman" w:hAnsi="Times New Roman" w:cs="Times New Roman"/>
                <w:sz w:val="24"/>
                <w:szCs w:val="24"/>
              </w:rPr>
              <w:t>алгоритмы трансформации учетно-операционной и прочей информации в</w:t>
            </w:r>
            <w:r>
              <w:rPr>
                <w:rFonts w:ascii="Times New Roman" w:hAnsi="Times New Roman" w:cs="Times New Roman"/>
                <w:sz w:val="24"/>
                <w:szCs w:val="24"/>
              </w:rPr>
              <w:t xml:space="preserve"> </w:t>
            </w:r>
            <w:r w:rsidRPr="00B02945">
              <w:rPr>
                <w:rFonts w:ascii="Times New Roman" w:hAnsi="Times New Roman" w:cs="Times New Roman"/>
                <w:sz w:val="24"/>
                <w:szCs w:val="24"/>
              </w:rPr>
              <w:t>показатели форм отчетности и запросов Банка России и других организаций,</w:t>
            </w:r>
            <w:r>
              <w:rPr>
                <w:rFonts w:ascii="Times New Roman" w:hAnsi="Times New Roman" w:cs="Times New Roman"/>
                <w:sz w:val="24"/>
                <w:szCs w:val="24"/>
              </w:rPr>
              <w:t xml:space="preserve"> например, </w:t>
            </w:r>
            <w:r w:rsidRPr="00B02945">
              <w:rPr>
                <w:rFonts w:ascii="Times New Roman" w:hAnsi="Times New Roman" w:cs="Times New Roman"/>
                <w:sz w:val="24"/>
                <w:szCs w:val="24"/>
              </w:rPr>
              <w:t>ФНС.</w:t>
            </w:r>
          </w:p>
          <w:p w:rsidR="004568B4" w:rsidRPr="00B02945" w:rsidRDefault="004568B4" w:rsidP="004568B4">
            <w:pPr>
              <w:spacing w:after="0" w:line="240" w:lineRule="auto"/>
              <w:ind w:firstLine="175"/>
              <w:jc w:val="both"/>
              <w:rPr>
                <w:rFonts w:ascii="Times New Roman" w:hAnsi="Times New Roman" w:cs="Times New Roman"/>
                <w:sz w:val="24"/>
                <w:szCs w:val="24"/>
              </w:rPr>
            </w:pPr>
            <w:r w:rsidRPr="00B02945">
              <w:rPr>
                <w:rFonts w:ascii="Times New Roman" w:hAnsi="Times New Roman" w:cs="Times New Roman"/>
                <w:sz w:val="24"/>
                <w:szCs w:val="24"/>
              </w:rPr>
              <w:t>Разработка модели первичных данных учетно-операционной</w:t>
            </w:r>
            <w:r>
              <w:rPr>
                <w:rFonts w:ascii="Times New Roman" w:hAnsi="Times New Roman" w:cs="Times New Roman"/>
                <w:sz w:val="24"/>
                <w:szCs w:val="24"/>
              </w:rPr>
              <w:t xml:space="preserve"> </w:t>
            </w:r>
            <w:r w:rsidRPr="00B02945">
              <w:rPr>
                <w:rFonts w:ascii="Times New Roman" w:hAnsi="Times New Roman" w:cs="Times New Roman"/>
                <w:sz w:val="24"/>
                <w:szCs w:val="24"/>
              </w:rPr>
              <w:t>информации и ее внедрение в кредитных организациях позволит</w:t>
            </w:r>
            <w:r>
              <w:rPr>
                <w:rFonts w:ascii="Times New Roman" w:hAnsi="Times New Roman" w:cs="Times New Roman"/>
                <w:sz w:val="24"/>
                <w:szCs w:val="24"/>
              </w:rPr>
              <w:t xml:space="preserve"> </w:t>
            </w:r>
            <w:r w:rsidRPr="00B02945">
              <w:rPr>
                <w:rFonts w:ascii="Times New Roman" w:hAnsi="Times New Roman" w:cs="Times New Roman"/>
                <w:sz w:val="24"/>
                <w:szCs w:val="24"/>
              </w:rPr>
              <w:t>оптимизировать структуру и потоки запрашиваемой информации,</w:t>
            </w:r>
          </w:p>
          <w:p w:rsidR="004568B4" w:rsidRDefault="004568B4" w:rsidP="004568B4">
            <w:pPr>
              <w:spacing w:after="0" w:line="240" w:lineRule="auto"/>
              <w:ind w:firstLine="175"/>
              <w:jc w:val="both"/>
              <w:rPr>
                <w:rFonts w:ascii="Times New Roman" w:hAnsi="Times New Roman" w:cs="Times New Roman"/>
                <w:sz w:val="24"/>
                <w:szCs w:val="24"/>
              </w:rPr>
            </w:pPr>
            <w:r w:rsidRPr="00B02945">
              <w:rPr>
                <w:rFonts w:ascii="Times New Roman" w:hAnsi="Times New Roman" w:cs="Times New Roman"/>
                <w:sz w:val="24"/>
                <w:szCs w:val="24"/>
              </w:rPr>
              <w:t>унифицировать запросы в адрес поднадзорных организаций, снизить сроки и</w:t>
            </w:r>
            <w:r>
              <w:rPr>
                <w:rFonts w:ascii="Times New Roman" w:hAnsi="Times New Roman" w:cs="Times New Roman"/>
                <w:sz w:val="24"/>
                <w:szCs w:val="24"/>
              </w:rPr>
              <w:t xml:space="preserve"> </w:t>
            </w:r>
            <w:r w:rsidRPr="00B02945">
              <w:rPr>
                <w:rFonts w:ascii="Times New Roman" w:hAnsi="Times New Roman" w:cs="Times New Roman"/>
                <w:sz w:val="24"/>
                <w:szCs w:val="24"/>
              </w:rPr>
              <w:t>затраты кредитных организаций на подготовку такой информации, а также в</w:t>
            </w:r>
            <w:r>
              <w:rPr>
                <w:rFonts w:ascii="Times New Roman" w:hAnsi="Times New Roman" w:cs="Times New Roman"/>
                <w:sz w:val="24"/>
                <w:szCs w:val="24"/>
              </w:rPr>
              <w:t xml:space="preserve"> </w:t>
            </w:r>
            <w:r w:rsidRPr="00B02945">
              <w:rPr>
                <w:rFonts w:ascii="Times New Roman" w:hAnsi="Times New Roman" w:cs="Times New Roman"/>
                <w:sz w:val="24"/>
                <w:szCs w:val="24"/>
              </w:rPr>
              <w:t>целом упростить порядок формирования данных на стороне кредитных</w:t>
            </w:r>
            <w:r>
              <w:rPr>
                <w:rFonts w:ascii="Times New Roman" w:hAnsi="Times New Roman" w:cs="Times New Roman"/>
                <w:sz w:val="24"/>
                <w:szCs w:val="24"/>
              </w:rPr>
              <w:t xml:space="preserve"> </w:t>
            </w:r>
            <w:r w:rsidRPr="00B02945">
              <w:rPr>
                <w:rFonts w:ascii="Times New Roman" w:hAnsi="Times New Roman" w:cs="Times New Roman"/>
                <w:sz w:val="24"/>
                <w:szCs w:val="24"/>
              </w:rPr>
              <w:t xml:space="preserve">организаций. </w:t>
            </w:r>
          </w:p>
          <w:p w:rsidR="004568B4" w:rsidRDefault="004568B4" w:rsidP="004568B4">
            <w:pPr>
              <w:spacing w:after="0" w:line="240" w:lineRule="auto"/>
              <w:ind w:firstLine="187"/>
              <w:jc w:val="both"/>
              <w:rPr>
                <w:rFonts w:ascii="Times New Roman" w:hAnsi="Times New Roman" w:cs="Times New Roman"/>
                <w:sz w:val="24"/>
                <w:szCs w:val="24"/>
              </w:rPr>
            </w:pPr>
            <w:r>
              <w:rPr>
                <w:rFonts w:ascii="Times New Roman" w:hAnsi="Times New Roman" w:cs="Times New Roman"/>
                <w:sz w:val="24"/>
                <w:szCs w:val="24"/>
              </w:rPr>
              <w:t>В отношении установления единого нормативного срока для исполнения запросов Банка России считаем возможным отметить следующее.</w:t>
            </w:r>
          </w:p>
          <w:p w:rsidR="004568B4" w:rsidRDefault="004568B4" w:rsidP="004568B4">
            <w:pPr>
              <w:spacing w:after="0" w:line="240" w:lineRule="auto"/>
              <w:ind w:firstLine="187"/>
              <w:jc w:val="both"/>
              <w:rPr>
                <w:rFonts w:ascii="Times New Roman" w:hAnsi="Times New Roman" w:cs="Times New Roman"/>
                <w:sz w:val="24"/>
                <w:szCs w:val="24"/>
              </w:rPr>
            </w:pPr>
            <w:r>
              <w:rPr>
                <w:rFonts w:ascii="Times New Roman" w:hAnsi="Times New Roman" w:cs="Times New Roman"/>
                <w:sz w:val="24"/>
                <w:szCs w:val="24"/>
              </w:rPr>
              <w:t xml:space="preserve">Банком России в рамках работы Рабочей группы по оптимизации регуляторной нагрузки сформированы предложения о подготовке методических рекомендаций с изложением </w:t>
            </w:r>
            <w:r w:rsidRPr="00914160">
              <w:rPr>
                <w:rFonts w:ascii="Times New Roman" w:hAnsi="Times New Roman" w:cs="Times New Roman"/>
                <w:sz w:val="24"/>
                <w:szCs w:val="24"/>
              </w:rPr>
              <w:t>принцип</w:t>
            </w:r>
            <w:r>
              <w:rPr>
                <w:rFonts w:ascii="Times New Roman" w:hAnsi="Times New Roman" w:cs="Times New Roman"/>
                <w:sz w:val="24"/>
                <w:szCs w:val="24"/>
              </w:rPr>
              <w:t>ов</w:t>
            </w:r>
            <w:r w:rsidRPr="00914160">
              <w:rPr>
                <w:rFonts w:ascii="Times New Roman" w:hAnsi="Times New Roman" w:cs="Times New Roman"/>
                <w:sz w:val="24"/>
                <w:szCs w:val="24"/>
              </w:rPr>
              <w:t>, которыми целесообразно руководствоваться при установлении сроков исполнения поднадзорными организациями запросов о предоставлении сведений и документов</w:t>
            </w:r>
            <w:r>
              <w:rPr>
                <w:rFonts w:ascii="Times New Roman" w:hAnsi="Times New Roman" w:cs="Times New Roman"/>
                <w:sz w:val="24"/>
                <w:szCs w:val="24"/>
              </w:rPr>
              <w:t xml:space="preserve">. </w:t>
            </w:r>
          </w:p>
          <w:p w:rsidR="004568B4" w:rsidRPr="00482785" w:rsidRDefault="004568B4" w:rsidP="004568B4">
            <w:pPr>
              <w:spacing w:after="0" w:line="240" w:lineRule="auto"/>
              <w:ind w:firstLine="187"/>
              <w:jc w:val="both"/>
              <w:rPr>
                <w:rFonts w:ascii="Times New Roman" w:hAnsi="Times New Roman" w:cs="Times New Roman"/>
                <w:sz w:val="24"/>
                <w:szCs w:val="24"/>
              </w:rPr>
            </w:pPr>
            <w:r w:rsidRPr="00482785">
              <w:rPr>
                <w:rFonts w:ascii="Times New Roman" w:hAnsi="Times New Roman" w:cs="Times New Roman"/>
                <w:sz w:val="24"/>
                <w:szCs w:val="24"/>
              </w:rPr>
              <w:lastRenderedPageBreak/>
              <w:t>При этом установление единого нормативного срока представления всех</w:t>
            </w:r>
            <w:r>
              <w:rPr>
                <w:rFonts w:ascii="Times New Roman" w:hAnsi="Times New Roman" w:cs="Times New Roman"/>
                <w:sz w:val="24"/>
                <w:szCs w:val="24"/>
              </w:rPr>
              <w:t xml:space="preserve"> </w:t>
            </w:r>
            <w:r w:rsidRPr="00482785">
              <w:rPr>
                <w:rFonts w:ascii="Times New Roman" w:hAnsi="Times New Roman" w:cs="Times New Roman"/>
                <w:sz w:val="24"/>
                <w:szCs w:val="24"/>
              </w:rPr>
              <w:t>видов запрашиваемой информации представляется нецелесообразным, так как</w:t>
            </w:r>
            <w:r>
              <w:rPr>
                <w:rFonts w:ascii="Times New Roman" w:hAnsi="Times New Roman" w:cs="Times New Roman"/>
                <w:sz w:val="24"/>
                <w:szCs w:val="24"/>
              </w:rPr>
              <w:t xml:space="preserve"> </w:t>
            </w:r>
            <w:r w:rsidRPr="00482785">
              <w:rPr>
                <w:rFonts w:ascii="Times New Roman" w:hAnsi="Times New Roman" w:cs="Times New Roman"/>
                <w:sz w:val="24"/>
                <w:szCs w:val="24"/>
              </w:rPr>
              <w:t>запрашиваемая информация может быть необходима надзорному органу в</w:t>
            </w:r>
            <w:r>
              <w:rPr>
                <w:rFonts w:ascii="Times New Roman" w:hAnsi="Times New Roman" w:cs="Times New Roman"/>
                <w:sz w:val="24"/>
                <w:szCs w:val="24"/>
              </w:rPr>
              <w:t xml:space="preserve"> </w:t>
            </w:r>
            <w:r w:rsidRPr="00482785">
              <w:rPr>
                <w:rFonts w:ascii="Times New Roman" w:hAnsi="Times New Roman" w:cs="Times New Roman"/>
                <w:sz w:val="24"/>
                <w:szCs w:val="24"/>
              </w:rPr>
              <w:t>различные сроки, что связано с ее объемом и содержанием, причинами</w:t>
            </w:r>
            <w:r>
              <w:rPr>
                <w:rFonts w:ascii="Times New Roman" w:hAnsi="Times New Roman" w:cs="Times New Roman"/>
                <w:sz w:val="24"/>
                <w:szCs w:val="24"/>
              </w:rPr>
              <w:t xml:space="preserve"> </w:t>
            </w:r>
            <w:r w:rsidRPr="00482785">
              <w:rPr>
                <w:rFonts w:ascii="Times New Roman" w:hAnsi="Times New Roman" w:cs="Times New Roman"/>
                <w:sz w:val="24"/>
                <w:szCs w:val="24"/>
              </w:rPr>
              <w:t>направления запроса и иными объективными факторами.</w:t>
            </w:r>
          </w:p>
          <w:p w:rsidR="004568B4" w:rsidRPr="00D923F3" w:rsidRDefault="004568B4" w:rsidP="004568B4">
            <w:pPr>
              <w:spacing w:after="0" w:line="240" w:lineRule="auto"/>
              <w:ind w:firstLine="187"/>
              <w:jc w:val="both"/>
              <w:rPr>
                <w:rFonts w:ascii="Times New Roman" w:hAnsi="Times New Roman" w:cs="Times New Roman"/>
                <w:sz w:val="24"/>
                <w:szCs w:val="24"/>
              </w:rPr>
            </w:pPr>
            <w:r w:rsidRPr="00482785">
              <w:rPr>
                <w:rFonts w:ascii="Times New Roman" w:hAnsi="Times New Roman" w:cs="Times New Roman"/>
                <w:sz w:val="24"/>
                <w:szCs w:val="24"/>
              </w:rPr>
              <w:t>Кроме того, указанная информация, как показал опыт 2020 года, может</w:t>
            </w:r>
            <w:r>
              <w:rPr>
                <w:rFonts w:ascii="Times New Roman" w:hAnsi="Times New Roman" w:cs="Times New Roman"/>
                <w:sz w:val="24"/>
                <w:szCs w:val="24"/>
              </w:rPr>
              <w:t xml:space="preserve"> </w:t>
            </w:r>
            <w:r w:rsidRPr="00482785">
              <w:rPr>
                <w:rFonts w:ascii="Times New Roman" w:hAnsi="Times New Roman" w:cs="Times New Roman"/>
                <w:sz w:val="24"/>
                <w:szCs w:val="24"/>
              </w:rPr>
              <w:t>быть востребована как Банком России, так и органами власти, в том числе для</w:t>
            </w:r>
            <w:r>
              <w:rPr>
                <w:rFonts w:ascii="Times New Roman" w:hAnsi="Times New Roman" w:cs="Times New Roman"/>
                <w:sz w:val="24"/>
                <w:szCs w:val="24"/>
              </w:rPr>
              <w:t xml:space="preserve"> </w:t>
            </w:r>
            <w:r w:rsidRPr="00482785">
              <w:rPr>
                <w:rFonts w:ascii="Times New Roman" w:hAnsi="Times New Roman" w:cs="Times New Roman"/>
                <w:sz w:val="24"/>
                <w:szCs w:val="24"/>
              </w:rPr>
              <w:t>принятия решений о мерах поддержки граждан, бизнеса, экономики, а также</w:t>
            </w:r>
            <w:r>
              <w:rPr>
                <w:rFonts w:ascii="Times New Roman" w:hAnsi="Times New Roman" w:cs="Times New Roman"/>
                <w:sz w:val="24"/>
                <w:szCs w:val="24"/>
              </w:rPr>
              <w:t xml:space="preserve"> </w:t>
            </w:r>
            <w:r w:rsidRPr="00482785">
              <w:rPr>
                <w:rFonts w:ascii="Times New Roman" w:hAnsi="Times New Roman" w:cs="Times New Roman"/>
                <w:sz w:val="24"/>
                <w:szCs w:val="24"/>
              </w:rPr>
              <w:t>мониторинга эффективности их использования.</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6412" w:type="dxa"/>
          </w:tcPr>
          <w:p w:rsidR="004568B4" w:rsidRPr="000A7836"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0A7836">
              <w:rPr>
                <w:rFonts w:ascii="Times New Roman" w:eastAsia="Calibri" w:hAnsi="Times New Roman" w:cs="Times New Roman"/>
                <w:sz w:val="24"/>
                <w:szCs w:val="24"/>
                <w:lang w:bidi="ru-RU"/>
              </w:rPr>
              <w:t xml:space="preserve">Предлагаем ввести в </w:t>
            </w:r>
            <w:r>
              <w:rPr>
                <w:rFonts w:ascii="Times New Roman" w:eastAsia="Calibri" w:hAnsi="Times New Roman" w:cs="Times New Roman"/>
                <w:sz w:val="24"/>
                <w:szCs w:val="24"/>
                <w:lang w:bidi="ru-RU"/>
              </w:rPr>
              <w:t>Федеральный з</w:t>
            </w:r>
            <w:r w:rsidRPr="000A7836">
              <w:rPr>
                <w:rFonts w:ascii="Times New Roman" w:eastAsia="Calibri" w:hAnsi="Times New Roman" w:cs="Times New Roman"/>
                <w:sz w:val="24"/>
                <w:szCs w:val="24"/>
                <w:lang w:bidi="ru-RU"/>
              </w:rPr>
              <w:t>акон № 86-ФЗ правовую норму, определяющую понятие «создание реальной угрозы интересам кредиторов (вкладчиков)», как базу для применения повышенных штрафных санкций (ст.74)</w:t>
            </w:r>
            <w:r>
              <w:rPr>
                <w:rFonts w:ascii="Times New Roman" w:eastAsia="Calibri" w:hAnsi="Times New Roman" w:cs="Times New Roman"/>
                <w:sz w:val="24"/>
                <w:szCs w:val="24"/>
                <w:lang w:bidi="ru-RU"/>
              </w:rPr>
              <w:t xml:space="preserve"> </w:t>
            </w:r>
            <w:r w:rsidRPr="000A7836">
              <w:rPr>
                <w:rFonts w:ascii="Times New Roman" w:eastAsia="Calibri" w:hAnsi="Times New Roman" w:cs="Times New Roman"/>
                <w:sz w:val="24"/>
                <w:szCs w:val="24"/>
                <w:lang w:bidi="ru-RU"/>
              </w:rPr>
              <w:t xml:space="preserve">- до 1% минимального размера уставного капитала (вместо 0,1%).  </w:t>
            </w:r>
          </w:p>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0A7836">
              <w:rPr>
                <w:rFonts w:ascii="Times New Roman" w:eastAsia="Calibri" w:hAnsi="Times New Roman" w:cs="Times New Roman"/>
                <w:sz w:val="24"/>
                <w:szCs w:val="24"/>
                <w:lang w:bidi="ru-RU"/>
              </w:rPr>
              <w:t>Отсутствие четкой регламентации приводит к тому, что за чисто технические нарушения к банкам без какой-либо аргументации применяются несоразмерные последствиям этих нарушений штрафы (до 3 млн. рублей), поскольку эти нарушения, по мнению Банка России, «создают реальную угрозу интересам кредиторов (вкладчиков)»</w:t>
            </w:r>
          </w:p>
        </w:tc>
        <w:tc>
          <w:tcPr>
            <w:tcW w:w="7950" w:type="dxa"/>
          </w:tcPr>
          <w:p w:rsidR="004568B4" w:rsidRPr="004B7626" w:rsidRDefault="004568B4" w:rsidP="004568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t>В</w:t>
            </w:r>
            <w:r w:rsidRPr="004B7626">
              <w:rPr>
                <w:rFonts w:ascii="Times New Roman" w:hAnsi="Times New Roman" w:cs="Times New Roman"/>
                <w:sz w:val="24"/>
                <w:szCs w:val="24"/>
              </w:rPr>
              <w:t xml:space="preserve"> соответствии с пунктом 4.1 Инструкции</w:t>
            </w:r>
            <w:r w:rsidR="00262756">
              <w:rPr>
                <w:rFonts w:ascii="Times New Roman" w:hAnsi="Times New Roman" w:cs="Times New Roman"/>
                <w:sz w:val="24"/>
                <w:szCs w:val="24"/>
              </w:rPr>
              <w:t xml:space="preserve"> </w:t>
            </w:r>
            <w:r w:rsidRPr="004B7626">
              <w:rPr>
                <w:rFonts w:ascii="Times New Roman" w:hAnsi="Times New Roman" w:cs="Times New Roman"/>
                <w:sz w:val="24"/>
                <w:szCs w:val="24"/>
              </w:rPr>
              <w:t>№ 188-И</w:t>
            </w:r>
            <w:r w:rsidR="00A57B04">
              <w:rPr>
                <w:rStyle w:val="a6"/>
                <w:rFonts w:ascii="Times New Roman" w:hAnsi="Times New Roman" w:cs="Times New Roman"/>
                <w:sz w:val="24"/>
                <w:szCs w:val="24"/>
              </w:rPr>
              <w:footnoteReference w:id="25"/>
            </w:r>
            <w:r w:rsidRPr="004B7626">
              <w:rPr>
                <w:rFonts w:ascii="Times New Roman" w:hAnsi="Times New Roman" w:cs="Times New Roman"/>
                <w:sz w:val="24"/>
                <w:szCs w:val="24"/>
              </w:rPr>
              <w:t xml:space="preserve"> при принятии Банком России решения о применении мер, учитываются, в частности, характер допущенного нарушения, причины, обусловившие его возникновение, степень влияния на экономическое положение (финансовую устойчивость) кредитной организации, общее финансовое состояние кредитной организации, положение кредитной организации на федеральном и региональном рынках банковских услуг, а также степень влияния на бесперебойность функционирования платежных систем, субъектом которых является кредитная организация.</w:t>
            </w:r>
          </w:p>
          <w:p w:rsidR="004568B4" w:rsidRDefault="004568B4" w:rsidP="004568B4">
            <w:pPr>
              <w:spacing w:after="0" w:line="240" w:lineRule="auto"/>
              <w:ind w:firstLine="175"/>
              <w:jc w:val="both"/>
              <w:rPr>
                <w:rFonts w:ascii="Times New Roman" w:hAnsi="Times New Roman" w:cs="Times New Roman"/>
                <w:sz w:val="24"/>
                <w:szCs w:val="24"/>
              </w:rPr>
            </w:pPr>
            <w:r w:rsidRPr="004B7626">
              <w:rPr>
                <w:rFonts w:ascii="Times New Roman" w:hAnsi="Times New Roman" w:cs="Times New Roman"/>
                <w:sz w:val="24"/>
                <w:szCs w:val="24"/>
              </w:rPr>
              <w:t xml:space="preserve">Следует отметить, что на ранних стадиях возникновения проблем в деятельности кредитной организации Банком России применяются меры консультативного (превентивного) надзора. </w:t>
            </w:r>
          </w:p>
          <w:p w:rsidR="004568B4" w:rsidRDefault="004568B4" w:rsidP="004568B4">
            <w:pPr>
              <w:spacing w:after="0" w:line="240" w:lineRule="auto"/>
              <w:ind w:firstLine="175"/>
              <w:jc w:val="both"/>
              <w:rPr>
                <w:rFonts w:ascii="Times New Roman" w:hAnsi="Times New Roman" w:cs="Times New Roman"/>
                <w:sz w:val="24"/>
                <w:szCs w:val="24"/>
              </w:rPr>
            </w:pPr>
            <w:r w:rsidRPr="004B7626">
              <w:rPr>
                <w:rFonts w:ascii="Times New Roman" w:hAnsi="Times New Roman" w:cs="Times New Roman"/>
                <w:sz w:val="24"/>
                <w:szCs w:val="24"/>
              </w:rPr>
              <w:t xml:space="preserve">В случае если такие меры не привели к улучшению ситуации в кредитной организации либо в случае нецелесообразности их применения (некооперативность кредитной организации, существенность нарушения, наличие признаков реальной угрозы интересам кредиторов и вкладчиков и т.д.), Банком России рассматривается вопрос о применении меры принудительного характера с учетом соблюдения принципа соразмерности применяемой меры допущенным нарушениям и рискам в деятельности кредитной организации. </w:t>
            </w:r>
          </w:p>
          <w:p w:rsidR="004568B4" w:rsidRPr="004B7626" w:rsidRDefault="004568B4" w:rsidP="004568B4">
            <w:pPr>
              <w:spacing w:after="0" w:line="240" w:lineRule="auto"/>
              <w:ind w:firstLine="175"/>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этом </w:t>
            </w:r>
            <w:r w:rsidRPr="004B7626">
              <w:rPr>
                <w:rFonts w:ascii="Times New Roman" w:hAnsi="Times New Roman" w:cs="Times New Roman"/>
                <w:sz w:val="24"/>
                <w:szCs w:val="24"/>
              </w:rPr>
              <w:t xml:space="preserve">Инструкция № 188-И предусматривает, что применение мер к кредитной организации оформляется предписанием, в котором указывается, в том числе </w:t>
            </w:r>
            <w:r w:rsidRPr="004B7626">
              <w:rPr>
                <w:rFonts w:ascii="Times New Roman" w:hAnsi="Times New Roman" w:cs="Times New Roman"/>
                <w:b/>
                <w:sz w:val="24"/>
                <w:szCs w:val="24"/>
              </w:rPr>
              <w:t>обоснование выводов о наличии реальной угрозы интересам кредиторов (вкладчиков)</w:t>
            </w:r>
            <w:r w:rsidRPr="004B7626">
              <w:rPr>
                <w:rFonts w:ascii="Times New Roman" w:hAnsi="Times New Roman" w:cs="Times New Roman"/>
                <w:sz w:val="24"/>
                <w:szCs w:val="24"/>
              </w:rPr>
              <w:t xml:space="preserve"> кредитной организации (кредитных организаций – участников банковской группы) или ситуации, угрожающей законным интересам кредиторов (вкладчиков) кредитной организации. </w:t>
            </w:r>
          </w:p>
          <w:p w:rsidR="004568B4" w:rsidRPr="00D923F3" w:rsidRDefault="004568B4" w:rsidP="004568B4">
            <w:pPr>
              <w:spacing w:after="0" w:line="240" w:lineRule="auto"/>
              <w:ind w:firstLine="175"/>
              <w:jc w:val="both"/>
              <w:rPr>
                <w:rFonts w:ascii="Times New Roman" w:hAnsi="Times New Roman" w:cs="Times New Roman"/>
                <w:sz w:val="24"/>
                <w:szCs w:val="24"/>
              </w:rPr>
            </w:pPr>
            <w:r w:rsidRPr="004B7626">
              <w:rPr>
                <w:rFonts w:ascii="Times New Roman" w:hAnsi="Times New Roman" w:cs="Times New Roman"/>
                <w:sz w:val="24"/>
                <w:szCs w:val="24"/>
              </w:rPr>
              <w:t>С учетом изложенного внесение предложенных изменений в законодательство не поддерживается.</w:t>
            </w:r>
          </w:p>
        </w:tc>
      </w:tr>
      <w:tr w:rsidR="004568B4" w:rsidRPr="00D923F3" w:rsidTr="00262756">
        <w:tc>
          <w:tcPr>
            <w:tcW w:w="801" w:type="dxa"/>
          </w:tcPr>
          <w:p w:rsidR="004568B4" w:rsidRPr="00D923F3" w:rsidRDefault="004568B4" w:rsidP="004568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r>
              <w:rPr>
                <w:rStyle w:val="a6"/>
                <w:rFonts w:ascii="Times New Roman" w:hAnsi="Times New Roman" w:cs="Times New Roman"/>
                <w:sz w:val="24"/>
                <w:szCs w:val="24"/>
              </w:rPr>
              <w:footnoteReference w:id="26"/>
            </w:r>
          </w:p>
        </w:tc>
        <w:tc>
          <w:tcPr>
            <w:tcW w:w="6412" w:type="dxa"/>
          </w:tcPr>
          <w:p w:rsidR="004568B4" w:rsidRPr="000A7836"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0A7836">
              <w:rPr>
                <w:rFonts w:ascii="Times New Roman" w:eastAsia="Calibri" w:hAnsi="Times New Roman" w:cs="Times New Roman"/>
                <w:sz w:val="24"/>
                <w:szCs w:val="24"/>
                <w:lang w:bidi="ru-RU"/>
              </w:rPr>
              <w:t>На официальном сайте Банка России в сети «Интернет» размещен Перечень организаций финансового сектора</w:t>
            </w:r>
            <w:r>
              <w:rPr>
                <w:rFonts w:ascii="Times New Roman" w:eastAsia="Calibri" w:hAnsi="Times New Roman" w:cs="Times New Roman"/>
                <w:sz w:val="24"/>
                <w:szCs w:val="24"/>
                <w:lang w:bidi="ru-RU"/>
              </w:rPr>
              <w:t>.</w:t>
            </w:r>
            <w:r w:rsidRPr="000A7836">
              <w:rPr>
                <w:rFonts w:ascii="Times New Roman" w:eastAsia="Calibri" w:hAnsi="Times New Roman" w:cs="Times New Roman"/>
                <w:sz w:val="24"/>
                <w:szCs w:val="24"/>
                <w:lang w:bidi="ru-RU"/>
              </w:rPr>
              <w:t xml:space="preserve"> </w:t>
            </w:r>
          </w:p>
          <w:p w:rsidR="004568B4" w:rsidRPr="000A7836"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0A7836">
              <w:rPr>
                <w:rFonts w:ascii="Times New Roman" w:eastAsia="Calibri" w:hAnsi="Times New Roman" w:cs="Times New Roman"/>
                <w:sz w:val="24"/>
                <w:szCs w:val="24"/>
                <w:lang w:bidi="ru-RU"/>
              </w:rPr>
              <w:t>В соответствии с п IV.4. «Методологии формирования Перечня организаций финансового сектора» в Перечень включены также другие финансовые организации, основным видом деятельности которых по данным Статрегистра является код ОКВЭД</w:t>
            </w:r>
            <w:r w:rsidRPr="000A7836">
              <w:rPr>
                <w:rFonts w:ascii="Times New Roman" w:eastAsia="Calibri" w:hAnsi="Times New Roman" w:cs="Times New Roman"/>
                <w:sz w:val="24"/>
                <w:szCs w:val="24"/>
                <w:vertAlign w:val="superscript"/>
                <w:lang w:bidi="ru-RU"/>
              </w:rPr>
              <w:footnoteReference w:id="27"/>
            </w:r>
            <w:r w:rsidRPr="000A7836">
              <w:rPr>
                <w:rFonts w:ascii="Times New Roman" w:eastAsia="Calibri" w:hAnsi="Times New Roman" w:cs="Times New Roman"/>
                <w:sz w:val="24"/>
                <w:szCs w:val="24"/>
                <w:vertAlign w:val="superscript"/>
                <w:lang w:bidi="ru-RU"/>
              </w:rPr>
              <w:t xml:space="preserve"> </w:t>
            </w:r>
            <w:r w:rsidRPr="000A7836">
              <w:rPr>
                <w:rFonts w:ascii="Times New Roman" w:eastAsia="Calibri" w:hAnsi="Times New Roman" w:cs="Times New Roman"/>
                <w:sz w:val="24"/>
                <w:szCs w:val="24"/>
                <w:lang w:bidi="ru-RU"/>
              </w:rPr>
              <w:t xml:space="preserve">раздела K </w:t>
            </w:r>
            <w:r w:rsidRPr="000A7836">
              <w:rPr>
                <w:rFonts w:ascii="Times New Roman" w:eastAsia="Calibri" w:hAnsi="Times New Roman" w:cs="Times New Roman"/>
                <w:sz w:val="24"/>
                <w:szCs w:val="24"/>
                <w:lang w:bidi="ru-RU"/>
              </w:rPr>
              <w:lastRenderedPageBreak/>
              <w:t xml:space="preserve">«Деятельность финансовая и страховая». </w:t>
            </w:r>
          </w:p>
          <w:p w:rsidR="004568B4" w:rsidRPr="000A7836"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0A7836">
              <w:rPr>
                <w:rFonts w:ascii="Times New Roman" w:eastAsia="Calibri" w:hAnsi="Times New Roman" w:cs="Times New Roman"/>
                <w:sz w:val="24"/>
                <w:szCs w:val="24"/>
                <w:lang w:bidi="ru-RU"/>
              </w:rPr>
              <w:t xml:space="preserve">В раздел К входит код 64.9 - Подкласс «Деятельность по предоставлению прочих финансовых услуг, кроме услуг по страхованию и пенсионному обеспечению», который включает предоставление финансовых услуг, </w:t>
            </w:r>
            <w:r w:rsidRPr="000A7836">
              <w:rPr>
                <w:rFonts w:ascii="Times New Roman" w:eastAsia="Calibri" w:hAnsi="Times New Roman" w:cs="Times New Roman"/>
                <w:sz w:val="24"/>
                <w:szCs w:val="24"/>
                <w:u w:val="single"/>
                <w:lang w:bidi="ru-RU"/>
              </w:rPr>
              <w:t>за исключением деятельности по предоставлению финансовых услуг финансовыми организациями.</w:t>
            </w:r>
            <w:r w:rsidRPr="000A7836">
              <w:rPr>
                <w:rFonts w:ascii="Times New Roman" w:eastAsia="Calibri" w:hAnsi="Times New Roman" w:cs="Times New Roman"/>
                <w:sz w:val="24"/>
                <w:szCs w:val="24"/>
                <w:lang w:bidi="ru-RU"/>
              </w:rPr>
              <w:t xml:space="preserve"> </w:t>
            </w:r>
          </w:p>
          <w:p w:rsidR="004568B4" w:rsidRPr="000A7836"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0A7836">
              <w:rPr>
                <w:rFonts w:ascii="Times New Roman" w:eastAsia="Calibri" w:hAnsi="Times New Roman" w:cs="Times New Roman"/>
                <w:sz w:val="24"/>
                <w:szCs w:val="24"/>
                <w:lang w:bidi="ru-RU"/>
              </w:rPr>
              <w:t xml:space="preserve">Кредитные организации при открытии расчетного счета клиенту при отнесении его к финансовым организациям (балансовый счет №40701 «Финансовые организации») или коммерческим организациям (балансовый счет №40702 «Коммерческие организации») зачастую принимают во внимание основной код, присвоенный организации. </w:t>
            </w:r>
          </w:p>
          <w:p w:rsidR="004568B4" w:rsidRPr="000A7836"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0A7836">
              <w:rPr>
                <w:rFonts w:ascii="Times New Roman" w:eastAsia="Calibri" w:hAnsi="Times New Roman" w:cs="Times New Roman"/>
                <w:sz w:val="24"/>
                <w:szCs w:val="24"/>
                <w:lang w:bidi="ru-RU"/>
              </w:rPr>
              <w:t xml:space="preserve">Просим прокомментировать причины включения организаций с кодом 64.9 в Перечень организаций финансового сектора на официальном сайте Банка России в сети «Интернет», если указанный код, согласно ОКВЭД, не распространяется на финансовые организации. </w:t>
            </w:r>
          </w:p>
          <w:p w:rsidR="004568B4" w:rsidRPr="00D923F3" w:rsidRDefault="004568B4" w:rsidP="004568B4">
            <w:pPr>
              <w:widowControl w:val="0"/>
              <w:tabs>
                <w:tab w:val="left" w:pos="993"/>
              </w:tabs>
              <w:spacing w:after="0" w:line="240" w:lineRule="auto"/>
              <w:ind w:firstLine="175"/>
              <w:contextualSpacing/>
              <w:jc w:val="both"/>
              <w:rPr>
                <w:rFonts w:ascii="Times New Roman" w:eastAsia="Calibri" w:hAnsi="Times New Roman" w:cs="Times New Roman"/>
                <w:sz w:val="24"/>
                <w:szCs w:val="24"/>
                <w:lang w:bidi="ru-RU"/>
              </w:rPr>
            </w:pPr>
            <w:r w:rsidRPr="000A7836">
              <w:rPr>
                <w:rFonts w:ascii="Times New Roman" w:eastAsia="Calibri" w:hAnsi="Times New Roman" w:cs="Times New Roman"/>
                <w:sz w:val="24"/>
                <w:szCs w:val="24"/>
                <w:lang w:bidi="ru-RU"/>
              </w:rPr>
              <w:t>Требуется ли изменение номера расчетного счета, открытого организации в банке, если ранее ей был открыт счет 40702 и организация включена в Перечень организаций финансового сектора на официальном сайте Банка России в сети «Интернет»?</w:t>
            </w:r>
            <w:r w:rsidRPr="000A7836">
              <w:rPr>
                <w:rFonts w:ascii="Times New Roman" w:eastAsia="Calibri" w:hAnsi="Times New Roman" w:cs="Times New Roman"/>
                <w:sz w:val="24"/>
                <w:szCs w:val="24"/>
                <w:vertAlign w:val="superscript"/>
                <w:lang w:bidi="ru-RU"/>
              </w:rPr>
              <w:footnoteReference w:id="28"/>
            </w:r>
          </w:p>
        </w:tc>
        <w:tc>
          <w:tcPr>
            <w:tcW w:w="7950" w:type="dxa"/>
          </w:tcPr>
          <w:p w:rsidR="004568B4" w:rsidRPr="000A7836" w:rsidRDefault="004568B4" w:rsidP="004568B4">
            <w:pPr>
              <w:spacing w:after="0" w:line="240" w:lineRule="auto"/>
              <w:ind w:firstLine="175"/>
              <w:jc w:val="both"/>
              <w:rPr>
                <w:rFonts w:ascii="Times New Roman" w:eastAsia="Calibri" w:hAnsi="Times New Roman" w:cs="Times New Roman"/>
                <w:sz w:val="24"/>
                <w:szCs w:val="24"/>
              </w:rPr>
            </w:pPr>
            <w:r w:rsidRPr="000A7836">
              <w:rPr>
                <w:rFonts w:ascii="Times New Roman" w:eastAsia="Calibri" w:hAnsi="Times New Roman" w:cs="Times New Roman"/>
                <w:sz w:val="24"/>
                <w:szCs w:val="24"/>
              </w:rPr>
              <w:lastRenderedPageBreak/>
              <w:t>Сообщаем, что Перечень организаций финансового сектора предназначен</w:t>
            </w:r>
            <w:r>
              <w:rPr>
                <w:rFonts w:ascii="Times New Roman" w:eastAsia="Calibri" w:hAnsi="Times New Roman" w:cs="Times New Roman"/>
                <w:sz w:val="24"/>
                <w:szCs w:val="24"/>
              </w:rPr>
              <w:t xml:space="preserve"> </w:t>
            </w:r>
            <w:r w:rsidRPr="000A7836">
              <w:rPr>
                <w:rFonts w:ascii="Times New Roman" w:eastAsia="Calibri" w:hAnsi="Times New Roman" w:cs="Times New Roman"/>
                <w:sz w:val="24"/>
                <w:szCs w:val="24"/>
              </w:rPr>
              <w:t>для</w:t>
            </w:r>
            <w:r>
              <w:rPr>
                <w:rFonts w:ascii="Times New Roman" w:eastAsia="Calibri" w:hAnsi="Times New Roman" w:cs="Times New Roman"/>
                <w:sz w:val="24"/>
                <w:szCs w:val="24"/>
              </w:rPr>
              <w:t xml:space="preserve"> </w:t>
            </w:r>
            <w:r w:rsidRPr="000A7836">
              <w:rPr>
                <w:rFonts w:ascii="Times New Roman" w:eastAsia="Calibri" w:hAnsi="Times New Roman" w:cs="Times New Roman"/>
                <w:sz w:val="24"/>
                <w:szCs w:val="24"/>
              </w:rPr>
              <w:t>использования респондентами при</w:t>
            </w:r>
            <w:r>
              <w:rPr>
                <w:rFonts w:ascii="Times New Roman" w:eastAsia="Calibri" w:hAnsi="Times New Roman" w:cs="Times New Roman"/>
                <w:sz w:val="24"/>
                <w:szCs w:val="24"/>
              </w:rPr>
              <w:t xml:space="preserve"> </w:t>
            </w:r>
            <w:r w:rsidRPr="000A7836">
              <w:rPr>
                <w:rFonts w:ascii="Times New Roman" w:eastAsia="Calibri" w:hAnsi="Times New Roman" w:cs="Times New Roman"/>
                <w:sz w:val="24"/>
                <w:szCs w:val="24"/>
              </w:rPr>
              <w:t xml:space="preserve">составлении отчетности, содержащей данные в секторальном разрезе и для формирования показателей макроэкономической статистики, методологией формирования которой является Руководство по системе национальных счетов 2008 года (СНС-2008) (European Commission, IMF, OECD, UN, World Bank, 2009). В соответствии с СНС-2008 сектор </w:t>
            </w:r>
            <w:r w:rsidRPr="000A7836">
              <w:rPr>
                <w:rFonts w:ascii="Times New Roman" w:eastAsia="Calibri" w:hAnsi="Times New Roman" w:cs="Times New Roman"/>
                <w:sz w:val="24"/>
                <w:szCs w:val="24"/>
              </w:rPr>
              <w:lastRenderedPageBreak/>
              <w:t>финансовых организаций включает организации, осуществляющие на основании лицензии финансовые услуги, а также организации, осуществляющие не лицензируемые виды финансовой деятельности (деятельность, связанная с привлечением и использованием денежных средств юридических и физических лиц). К финансовому сектору относятся: центральный банк, кредитные организации, инвестиционные фонды, страховщики, негосударственные пенсионные фонды, инвестиционные компании, управляющие компании, депозитарии, специализированные депозитарии, биржи, брокеры, кредитные потребительские кооперативы, микрофинансовые организации, лизинговые компании, организации, предоставляющие факторинговые услуги, ломбарды, саморегулируемые организации в сфере финансового рынка, страховые агенты и страховые брокеры, являющиеся юридическими лицами, и другие финансовые посредники.</w:t>
            </w:r>
          </w:p>
          <w:p w:rsidR="004568B4" w:rsidRPr="000A7836" w:rsidRDefault="004568B4" w:rsidP="004568B4">
            <w:pPr>
              <w:spacing w:after="0" w:line="240" w:lineRule="auto"/>
              <w:ind w:firstLine="175"/>
              <w:jc w:val="both"/>
              <w:rPr>
                <w:rFonts w:ascii="Times New Roman" w:eastAsia="Calibri" w:hAnsi="Times New Roman" w:cs="Times New Roman"/>
                <w:sz w:val="24"/>
                <w:szCs w:val="24"/>
              </w:rPr>
            </w:pPr>
            <w:r w:rsidRPr="000A7836">
              <w:rPr>
                <w:rFonts w:ascii="Times New Roman" w:eastAsia="Calibri" w:hAnsi="Times New Roman" w:cs="Times New Roman"/>
                <w:sz w:val="24"/>
                <w:szCs w:val="24"/>
              </w:rPr>
              <w:t xml:space="preserve">В соответствии с Общероссийским классификатором видов экономической деятельности ОКВЭД2 группировка 64.9 «Деятельность по предоставлению прочих финансовых услуг, кроме услуг по страхованию и пенсионному обеспечению» включает </w:t>
            </w:r>
            <w:r w:rsidRPr="000A7836">
              <w:rPr>
                <w:rFonts w:ascii="Times New Roman" w:eastAsia="Calibri" w:hAnsi="Times New Roman" w:cs="Times New Roman"/>
                <w:sz w:val="24"/>
                <w:szCs w:val="24"/>
                <w:u w:val="single"/>
              </w:rPr>
              <w:t>предоставление финансовых услуг, за исключением деятельности по предоставлению финансовых услуг финансовыми организациями</w:t>
            </w:r>
            <w:r w:rsidRPr="000A7836">
              <w:rPr>
                <w:rFonts w:ascii="Times New Roman" w:eastAsia="Calibri" w:hAnsi="Times New Roman" w:cs="Times New Roman"/>
                <w:sz w:val="24"/>
                <w:szCs w:val="24"/>
              </w:rPr>
              <w:t>, а именно:</w:t>
            </w:r>
          </w:p>
          <w:p w:rsidR="004568B4" w:rsidRPr="000A7836" w:rsidRDefault="004568B4" w:rsidP="004568B4">
            <w:pPr>
              <w:numPr>
                <w:ilvl w:val="0"/>
                <w:numId w:val="9"/>
              </w:numPr>
              <w:spacing w:after="0" w:line="240" w:lineRule="auto"/>
              <w:ind w:left="0" w:firstLine="175"/>
              <w:contextualSpacing/>
              <w:jc w:val="both"/>
              <w:rPr>
                <w:rFonts w:ascii="Times New Roman" w:eastAsia="Calibri" w:hAnsi="Times New Roman" w:cs="Times New Roman"/>
                <w:sz w:val="24"/>
                <w:szCs w:val="24"/>
              </w:rPr>
            </w:pPr>
            <w:r w:rsidRPr="000A7836">
              <w:rPr>
                <w:rFonts w:ascii="Times New Roman" w:eastAsia="Calibri" w:hAnsi="Times New Roman" w:cs="Times New Roman"/>
                <w:sz w:val="24"/>
                <w:szCs w:val="24"/>
              </w:rPr>
              <w:t>деятельность по финансовой аренде (лизингу/сублизингу);</w:t>
            </w:r>
          </w:p>
          <w:p w:rsidR="004568B4" w:rsidRPr="000A7836" w:rsidRDefault="004568B4" w:rsidP="004568B4">
            <w:pPr>
              <w:numPr>
                <w:ilvl w:val="0"/>
                <w:numId w:val="9"/>
              </w:numPr>
              <w:spacing w:after="0" w:line="240" w:lineRule="auto"/>
              <w:ind w:left="0" w:firstLine="175"/>
              <w:contextualSpacing/>
              <w:jc w:val="both"/>
              <w:rPr>
                <w:rFonts w:ascii="Times New Roman" w:eastAsia="Calibri" w:hAnsi="Times New Roman" w:cs="Times New Roman"/>
                <w:sz w:val="24"/>
                <w:szCs w:val="24"/>
              </w:rPr>
            </w:pPr>
            <w:r w:rsidRPr="000A7836">
              <w:rPr>
                <w:rFonts w:ascii="Times New Roman" w:eastAsia="Calibri" w:hAnsi="Times New Roman" w:cs="Times New Roman"/>
                <w:sz w:val="24"/>
                <w:szCs w:val="24"/>
              </w:rPr>
              <w:t xml:space="preserve">деятельность по предоставлению следующих видов услуг: предоставление потребительского кредита, финансирование </w:t>
            </w:r>
            <w:r w:rsidRPr="000A7836">
              <w:rPr>
                <w:rFonts w:ascii="Times New Roman" w:eastAsia="Calibri" w:hAnsi="Times New Roman" w:cs="Times New Roman"/>
                <w:sz w:val="24"/>
                <w:szCs w:val="24"/>
              </w:rPr>
              <w:lastRenderedPageBreak/>
              <w:t>международной торговли, предоставление промышленными банками долгосрочного финансирования промышленности, предоставление денежного займа, не связанного с банковской системой, предоставление кредитов на покупку домов специализированными учреждениями, не принимающими депозиты, предоставление услуг ломбардами и ростовщиками;</w:t>
            </w:r>
          </w:p>
          <w:p w:rsidR="004568B4" w:rsidRPr="000A7836" w:rsidRDefault="004568B4" w:rsidP="004568B4">
            <w:pPr>
              <w:numPr>
                <w:ilvl w:val="0"/>
                <w:numId w:val="9"/>
              </w:numPr>
              <w:spacing w:after="0" w:line="240" w:lineRule="auto"/>
              <w:ind w:left="0" w:firstLine="175"/>
              <w:contextualSpacing/>
              <w:jc w:val="both"/>
              <w:rPr>
                <w:rFonts w:ascii="Times New Roman" w:eastAsia="Calibri" w:hAnsi="Times New Roman" w:cs="Times New Roman"/>
                <w:sz w:val="24"/>
                <w:szCs w:val="24"/>
              </w:rPr>
            </w:pPr>
            <w:r w:rsidRPr="000A7836">
              <w:rPr>
                <w:rFonts w:ascii="Times New Roman" w:eastAsia="Calibri" w:hAnsi="Times New Roman" w:cs="Times New Roman"/>
                <w:sz w:val="24"/>
                <w:szCs w:val="24"/>
              </w:rPr>
              <w:t>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по предоставлению микрозаймов (микрофинансирование);</w:t>
            </w:r>
          </w:p>
          <w:p w:rsidR="004568B4" w:rsidRPr="000A7836" w:rsidRDefault="004568B4" w:rsidP="004568B4">
            <w:pPr>
              <w:numPr>
                <w:ilvl w:val="0"/>
                <w:numId w:val="9"/>
              </w:numPr>
              <w:spacing w:after="0" w:line="240" w:lineRule="auto"/>
              <w:ind w:left="0" w:firstLine="175"/>
              <w:contextualSpacing/>
              <w:jc w:val="both"/>
              <w:rPr>
                <w:rFonts w:ascii="Times New Roman" w:eastAsia="Calibri" w:hAnsi="Times New Roman" w:cs="Times New Roman"/>
                <w:sz w:val="24"/>
                <w:szCs w:val="24"/>
              </w:rPr>
            </w:pPr>
            <w:r w:rsidRPr="000A7836">
              <w:rPr>
                <w:rFonts w:ascii="Times New Roman" w:eastAsia="Calibri" w:hAnsi="Times New Roman" w:cs="Times New Roman"/>
                <w:sz w:val="24"/>
                <w:szCs w:val="24"/>
              </w:rPr>
              <w:t>прочие виды деятельности в сфере финансовых услуг, прежде всего связанные с распределением финансовых средств, кроме предоставления займов, включая факторинговые услуги, заключение свопов, опционов и прочих срочных сделок;</w:t>
            </w:r>
          </w:p>
          <w:p w:rsidR="004568B4" w:rsidRPr="000A7836" w:rsidRDefault="004568B4" w:rsidP="004568B4">
            <w:pPr>
              <w:numPr>
                <w:ilvl w:val="0"/>
                <w:numId w:val="9"/>
              </w:numPr>
              <w:spacing w:after="0" w:line="240" w:lineRule="auto"/>
              <w:ind w:left="0" w:firstLine="175"/>
              <w:contextualSpacing/>
              <w:jc w:val="both"/>
              <w:rPr>
                <w:rFonts w:ascii="Times New Roman" w:eastAsia="Calibri" w:hAnsi="Times New Roman" w:cs="Times New Roman"/>
                <w:sz w:val="24"/>
                <w:szCs w:val="24"/>
              </w:rPr>
            </w:pPr>
            <w:r w:rsidRPr="000A7836">
              <w:rPr>
                <w:rFonts w:ascii="Times New Roman" w:eastAsia="Calibri" w:hAnsi="Times New Roman" w:cs="Times New Roman"/>
                <w:sz w:val="24"/>
                <w:szCs w:val="24"/>
              </w:rPr>
              <w:t>деятельность, связанную с частным инвестированием, например, деятельность инвестиционных фондов (кроме акционерных);</w:t>
            </w:r>
          </w:p>
          <w:p w:rsidR="004568B4" w:rsidRPr="000A7836" w:rsidRDefault="004568B4" w:rsidP="004568B4">
            <w:pPr>
              <w:numPr>
                <w:ilvl w:val="0"/>
                <w:numId w:val="9"/>
              </w:numPr>
              <w:spacing w:after="0" w:line="240" w:lineRule="auto"/>
              <w:ind w:left="0" w:firstLine="175"/>
              <w:contextualSpacing/>
              <w:jc w:val="both"/>
              <w:rPr>
                <w:rFonts w:ascii="Times New Roman" w:eastAsia="Calibri" w:hAnsi="Times New Roman" w:cs="Times New Roman"/>
                <w:sz w:val="24"/>
                <w:szCs w:val="24"/>
              </w:rPr>
            </w:pPr>
            <w:r w:rsidRPr="000A7836">
              <w:rPr>
                <w:rFonts w:ascii="Times New Roman" w:eastAsia="Calibri" w:hAnsi="Times New Roman" w:cs="Times New Roman"/>
                <w:sz w:val="24"/>
                <w:szCs w:val="24"/>
              </w:rPr>
              <w:t>деятельность компаний по венчурному инвестированию и пр.</w:t>
            </w:r>
          </w:p>
          <w:p w:rsidR="004568B4" w:rsidRPr="000A7836" w:rsidRDefault="004568B4" w:rsidP="004568B4">
            <w:pPr>
              <w:spacing w:after="0" w:line="240" w:lineRule="auto"/>
              <w:ind w:firstLine="175"/>
              <w:jc w:val="both"/>
              <w:rPr>
                <w:rFonts w:ascii="Times New Roman" w:eastAsia="Calibri" w:hAnsi="Times New Roman" w:cs="Times New Roman"/>
                <w:sz w:val="24"/>
                <w:szCs w:val="24"/>
              </w:rPr>
            </w:pPr>
            <w:r w:rsidRPr="000A7836">
              <w:rPr>
                <w:rFonts w:ascii="Times New Roman" w:eastAsia="Calibri" w:hAnsi="Times New Roman" w:cs="Times New Roman"/>
                <w:sz w:val="24"/>
                <w:szCs w:val="24"/>
              </w:rPr>
              <w:t xml:space="preserve">Также обращаем Ваше внимание, что группировка ОКВЭД2 64.9 включает микрофинансовые организации, ломбарды, инвестиционные фонды, которые, в соответствии со статьей 76.1 Федерального закона </w:t>
            </w:r>
            <w:r w:rsidR="00A57B04">
              <w:rPr>
                <w:rFonts w:ascii="Times New Roman" w:eastAsia="Calibri" w:hAnsi="Times New Roman" w:cs="Times New Roman"/>
                <w:sz w:val="24"/>
                <w:szCs w:val="24"/>
              </w:rPr>
              <w:br/>
            </w:r>
            <w:r w:rsidRPr="000A7836">
              <w:rPr>
                <w:rFonts w:ascii="Times New Roman" w:eastAsia="Calibri" w:hAnsi="Times New Roman" w:cs="Times New Roman"/>
                <w:sz w:val="24"/>
                <w:szCs w:val="24"/>
              </w:rPr>
              <w:t>№86-ФЗ</w:t>
            </w:r>
            <w:bookmarkStart w:id="0" w:name="_GoBack"/>
            <w:bookmarkEnd w:id="0"/>
            <w:r w:rsidRPr="000A7836">
              <w:rPr>
                <w:rFonts w:ascii="Times New Roman" w:eastAsia="Calibri" w:hAnsi="Times New Roman" w:cs="Times New Roman"/>
                <w:sz w:val="24"/>
                <w:szCs w:val="24"/>
              </w:rPr>
              <w:t xml:space="preserve">, являются </w:t>
            </w:r>
            <w:r w:rsidRPr="000A7836">
              <w:rPr>
                <w:rFonts w:ascii="Times New Roman" w:eastAsia="Calibri" w:hAnsi="Times New Roman" w:cs="Times New Roman"/>
                <w:sz w:val="24"/>
                <w:szCs w:val="24"/>
                <w:u w:val="single"/>
              </w:rPr>
              <w:t>некредитными финансовыми организациями</w:t>
            </w:r>
            <w:r w:rsidRPr="000A7836">
              <w:rPr>
                <w:rFonts w:ascii="Times New Roman" w:eastAsia="Calibri" w:hAnsi="Times New Roman" w:cs="Times New Roman"/>
                <w:sz w:val="24"/>
                <w:szCs w:val="24"/>
              </w:rPr>
              <w:t>.</w:t>
            </w:r>
          </w:p>
          <w:p w:rsidR="004568B4" w:rsidRPr="000A7836" w:rsidRDefault="004568B4" w:rsidP="004568B4">
            <w:pPr>
              <w:spacing w:after="0" w:line="240" w:lineRule="auto"/>
              <w:ind w:firstLine="175"/>
              <w:jc w:val="both"/>
              <w:rPr>
                <w:rFonts w:ascii="Times New Roman" w:eastAsia="Calibri" w:hAnsi="Times New Roman" w:cs="Times New Roman"/>
                <w:sz w:val="24"/>
                <w:szCs w:val="24"/>
              </w:rPr>
            </w:pPr>
            <w:r w:rsidRPr="000A7836">
              <w:rPr>
                <w:rFonts w:ascii="Times New Roman" w:eastAsia="Calibri" w:hAnsi="Times New Roman" w:cs="Times New Roman"/>
                <w:sz w:val="24"/>
                <w:szCs w:val="24"/>
              </w:rPr>
              <w:t>Таким образом, в целом состав организаций в группировке ОКВЭД2 64.9 соответствует составу организаций финансового сектора согласно методологии СНС-2008.</w:t>
            </w:r>
          </w:p>
          <w:p w:rsidR="004568B4" w:rsidRPr="000A7836" w:rsidRDefault="004568B4" w:rsidP="004568B4">
            <w:pPr>
              <w:spacing w:after="0" w:line="240" w:lineRule="auto"/>
              <w:ind w:firstLine="175"/>
              <w:jc w:val="both"/>
              <w:rPr>
                <w:rFonts w:ascii="Times New Roman" w:eastAsia="Calibri" w:hAnsi="Times New Roman" w:cs="Times New Roman"/>
                <w:sz w:val="24"/>
                <w:szCs w:val="24"/>
              </w:rPr>
            </w:pPr>
            <w:r w:rsidRPr="000A7836">
              <w:rPr>
                <w:rFonts w:ascii="Times New Roman" w:eastAsia="Calibri" w:hAnsi="Times New Roman" w:cs="Times New Roman"/>
                <w:sz w:val="24"/>
                <w:szCs w:val="24"/>
              </w:rPr>
              <w:t xml:space="preserve">В связи с вышесказанным, считаем верным придерживаться классификации финансовых организаций, приведенной в Перечне организаций финансового сектора. </w:t>
            </w:r>
          </w:p>
          <w:p w:rsidR="004568B4" w:rsidRPr="00D923F3" w:rsidRDefault="004568B4" w:rsidP="004568B4">
            <w:pPr>
              <w:spacing w:after="0" w:line="240" w:lineRule="auto"/>
              <w:ind w:firstLine="175"/>
              <w:jc w:val="both"/>
              <w:rPr>
                <w:rFonts w:ascii="Times New Roman" w:hAnsi="Times New Roman" w:cs="Times New Roman"/>
                <w:sz w:val="24"/>
                <w:szCs w:val="24"/>
              </w:rPr>
            </w:pPr>
            <w:r w:rsidRPr="000A7836">
              <w:rPr>
                <w:rFonts w:ascii="Times New Roman" w:eastAsia="Calibri" w:hAnsi="Times New Roman" w:cs="Times New Roman"/>
                <w:sz w:val="24"/>
                <w:szCs w:val="24"/>
              </w:rPr>
              <w:lastRenderedPageBreak/>
              <w:t>В случае, если организации был открыт счет 40702 и при этом организация включена в Перечень организаций финансового сектора, требуется изменение счета на 40701</w:t>
            </w:r>
            <w:r w:rsidRPr="000A7836">
              <w:rPr>
                <w:rFonts w:ascii="Times New Roman" w:eastAsia="Calibri" w:hAnsi="Times New Roman" w:cs="Times New Roman"/>
                <w:sz w:val="28"/>
                <w:szCs w:val="28"/>
              </w:rPr>
              <w:t xml:space="preserve">.  </w:t>
            </w:r>
          </w:p>
        </w:tc>
      </w:tr>
    </w:tbl>
    <w:p w:rsidR="00941DF1" w:rsidRDefault="00941DF1">
      <w:pPr>
        <w:spacing w:after="160" w:line="259" w:lineRule="auto"/>
        <w:rPr>
          <w:rFonts w:ascii="Times New Roman" w:hAnsi="Times New Roman" w:cs="Times New Roman"/>
          <w:b/>
          <w:color w:val="000000"/>
          <w:sz w:val="24"/>
          <w:szCs w:val="24"/>
        </w:rPr>
      </w:pPr>
    </w:p>
    <w:sectPr w:rsidR="00941DF1" w:rsidSect="00296936">
      <w:footerReference w:type="default" r:id="rId8"/>
      <w:pgSz w:w="16838" w:h="11906" w:orient="landscape"/>
      <w:pgMar w:top="170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37B" w:rsidRDefault="00E4137B" w:rsidP="00A6271B">
      <w:pPr>
        <w:spacing w:after="0" w:line="240" w:lineRule="auto"/>
      </w:pPr>
      <w:r>
        <w:separator/>
      </w:r>
    </w:p>
  </w:endnote>
  <w:endnote w:type="continuationSeparator" w:id="0">
    <w:p w:rsidR="00E4137B" w:rsidRDefault="00E4137B" w:rsidP="00A6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373511"/>
      <w:docPartObj>
        <w:docPartGallery w:val="Page Numbers (Bottom of Page)"/>
        <w:docPartUnique/>
      </w:docPartObj>
    </w:sdtPr>
    <w:sdtEndPr>
      <w:rPr>
        <w:rFonts w:ascii="Times New Roman" w:hAnsi="Times New Roman" w:cs="Times New Roman"/>
        <w:sz w:val="18"/>
        <w:szCs w:val="18"/>
      </w:rPr>
    </w:sdtEndPr>
    <w:sdtContent>
      <w:p w:rsidR="00EE7211" w:rsidRPr="00296936" w:rsidRDefault="00EE7211">
        <w:pPr>
          <w:pStyle w:val="afa"/>
          <w:jc w:val="right"/>
          <w:rPr>
            <w:rFonts w:ascii="Times New Roman" w:hAnsi="Times New Roman" w:cs="Times New Roman"/>
            <w:sz w:val="18"/>
            <w:szCs w:val="18"/>
          </w:rPr>
        </w:pPr>
        <w:r w:rsidRPr="00296936">
          <w:rPr>
            <w:rFonts w:ascii="Times New Roman" w:hAnsi="Times New Roman" w:cs="Times New Roman"/>
            <w:sz w:val="18"/>
            <w:szCs w:val="18"/>
          </w:rPr>
          <w:fldChar w:fldCharType="begin"/>
        </w:r>
        <w:r w:rsidRPr="00296936">
          <w:rPr>
            <w:rFonts w:ascii="Times New Roman" w:hAnsi="Times New Roman" w:cs="Times New Roman"/>
            <w:sz w:val="18"/>
            <w:szCs w:val="18"/>
          </w:rPr>
          <w:instrText>PAGE   \* MERGEFORMAT</w:instrText>
        </w:r>
        <w:r w:rsidRPr="00296936">
          <w:rPr>
            <w:rFonts w:ascii="Times New Roman" w:hAnsi="Times New Roman" w:cs="Times New Roman"/>
            <w:sz w:val="18"/>
            <w:szCs w:val="18"/>
          </w:rPr>
          <w:fldChar w:fldCharType="separate"/>
        </w:r>
        <w:r w:rsidR="00A57B04">
          <w:rPr>
            <w:rFonts w:ascii="Times New Roman" w:hAnsi="Times New Roman" w:cs="Times New Roman"/>
            <w:noProof/>
            <w:sz w:val="18"/>
            <w:szCs w:val="18"/>
          </w:rPr>
          <w:t>27</w:t>
        </w:r>
        <w:r w:rsidRPr="00296936">
          <w:rPr>
            <w:rFonts w:ascii="Times New Roman" w:hAnsi="Times New Roman" w:cs="Times New Roman"/>
            <w:sz w:val="18"/>
            <w:szCs w:val="18"/>
          </w:rPr>
          <w:fldChar w:fldCharType="end"/>
        </w:r>
      </w:p>
    </w:sdtContent>
  </w:sdt>
  <w:p w:rsidR="00EE7211" w:rsidRDefault="00EE7211">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37B" w:rsidRDefault="00E4137B" w:rsidP="00A6271B">
      <w:pPr>
        <w:spacing w:after="0" w:line="240" w:lineRule="auto"/>
      </w:pPr>
      <w:r>
        <w:separator/>
      </w:r>
    </w:p>
  </w:footnote>
  <w:footnote w:type="continuationSeparator" w:id="0">
    <w:p w:rsidR="00E4137B" w:rsidRDefault="00E4137B" w:rsidP="00A6271B">
      <w:pPr>
        <w:spacing w:after="0" w:line="240" w:lineRule="auto"/>
      </w:pPr>
      <w:r>
        <w:continuationSeparator/>
      </w:r>
    </w:p>
  </w:footnote>
  <w:footnote w:id="1">
    <w:p w:rsidR="00EE7211" w:rsidRPr="00531963" w:rsidRDefault="00EE7211" w:rsidP="004568B4">
      <w:pPr>
        <w:pStyle w:val="a7"/>
        <w:rPr>
          <w:rFonts w:ascii="Times New Roman" w:hAnsi="Times New Roman" w:cs="Times New Roman"/>
        </w:rPr>
      </w:pPr>
      <w:r w:rsidRPr="00531963">
        <w:rPr>
          <w:rStyle w:val="a6"/>
          <w:rFonts w:ascii="Times New Roman" w:hAnsi="Times New Roman" w:cs="Times New Roman"/>
        </w:rPr>
        <w:footnoteRef/>
      </w:r>
      <w:r w:rsidRPr="00531963">
        <w:rPr>
          <w:rFonts w:ascii="Times New Roman" w:hAnsi="Times New Roman" w:cs="Times New Roman"/>
        </w:rPr>
        <w:t xml:space="preserve"> Вопрос также направлен Директору Департамента банковского регулирования Лобанову А.А.</w:t>
      </w:r>
    </w:p>
  </w:footnote>
  <w:footnote w:id="2">
    <w:p w:rsidR="00EE7211" w:rsidRPr="00531963" w:rsidRDefault="00EE7211" w:rsidP="004568B4">
      <w:pPr>
        <w:pStyle w:val="110"/>
        <w:jc w:val="both"/>
      </w:pPr>
      <w:r w:rsidRPr="00531963">
        <w:rPr>
          <w:rStyle w:val="a6"/>
        </w:rPr>
        <w:footnoteRef/>
      </w:r>
      <w:r w:rsidRPr="00531963">
        <w:t xml:space="preserve"> </w:t>
      </w:r>
      <w:r w:rsidRPr="00531963">
        <w:rPr>
          <w:rFonts w:ascii="Times New Roman" w:eastAsia="Calibri" w:hAnsi="Times New Roman" w:cs="Times New Roman"/>
        </w:rPr>
        <w:t>Федеральный Закон от 30.12.2004 № 214-ФЗ «Об участии в долевом строительстве многоквартирных домов и иных объектов недвижимости».</w:t>
      </w:r>
    </w:p>
  </w:footnote>
  <w:footnote w:id="3">
    <w:p w:rsidR="00A57B04" w:rsidRPr="00A57B04" w:rsidRDefault="00A57B04" w:rsidP="00A57B04">
      <w:pPr>
        <w:autoSpaceDE w:val="0"/>
        <w:autoSpaceDN w:val="0"/>
        <w:adjustRightInd w:val="0"/>
        <w:spacing w:after="0" w:line="240" w:lineRule="auto"/>
        <w:jc w:val="both"/>
        <w:rPr>
          <w:rFonts w:ascii="Times New Roman" w:hAnsi="Times New Roman" w:cs="Times New Roman"/>
          <w:sz w:val="20"/>
          <w:szCs w:val="20"/>
        </w:rPr>
      </w:pPr>
      <w:r w:rsidRPr="00A57B04">
        <w:rPr>
          <w:rStyle w:val="a6"/>
          <w:rFonts w:ascii="Times New Roman" w:hAnsi="Times New Roman" w:cs="Times New Roman"/>
          <w:sz w:val="20"/>
          <w:szCs w:val="20"/>
        </w:rPr>
        <w:footnoteRef/>
      </w:r>
      <w:r w:rsidRPr="00A57B04">
        <w:rPr>
          <w:rFonts w:ascii="Times New Roman" w:hAnsi="Times New Roman" w:cs="Times New Roman"/>
          <w:sz w:val="20"/>
          <w:szCs w:val="20"/>
        </w:rPr>
        <w:t xml:space="preserve"> </w:t>
      </w:r>
      <w:r w:rsidRPr="00A57B04">
        <w:rPr>
          <w:rFonts w:ascii="Times New Roman" w:eastAsia="Calibri" w:hAnsi="Times New Roman" w:cs="Times New Roman"/>
          <w:sz w:val="20"/>
          <w:szCs w:val="20"/>
        </w:rPr>
        <w:t>Постановлени</w:t>
      </w:r>
      <w:r w:rsidRPr="00A57B04">
        <w:rPr>
          <w:rFonts w:ascii="Times New Roman" w:eastAsia="Calibri" w:hAnsi="Times New Roman" w:cs="Times New Roman"/>
          <w:sz w:val="20"/>
          <w:szCs w:val="20"/>
        </w:rPr>
        <w:t>е</w:t>
      </w:r>
      <w:r w:rsidRPr="00A57B04">
        <w:rPr>
          <w:rFonts w:ascii="Times New Roman" w:eastAsia="Calibri" w:hAnsi="Times New Roman" w:cs="Times New Roman"/>
          <w:sz w:val="20"/>
          <w:szCs w:val="20"/>
        </w:rPr>
        <w:t xml:space="preserve"> Правительства Российской Федерации от 02.04.2020 № 423</w:t>
      </w:r>
      <w:r w:rsidRPr="00A57B04">
        <w:rPr>
          <w:rFonts w:ascii="Times New Roman" w:eastAsia="Calibri" w:hAnsi="Times New Roman" w:cs="Times New Roman"/>
          <w:sz w:val="20"/>
          <w:szCs w:val="20"/>
        </w:rPr>
        <w:t xml:space="preserve"> «</w:t>
      </w:r>
      <w:r w:rsidRPr="00A57B04">
        <w:rPr>
          <w:rFonts w:ascii="Times New Roman" w:hAnsi="Times New Roman" w:cs="Times New Roman"/>
          <w:sz w:val="20"/>
          <w:szCs w:val="20"/>
        </w:rPr>
        <w: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 и об особенностях включения в реестр проблемных объектов многоквартирных домов и (или) иных объектов недвижимости, в отношении которых застройщиком более чем на 6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r w:rsidRPr="00A57B04">
        <w:rPr>
          <w:rFonts w:ascii="Times New Roman" w:hAnsi="Times New Roman" w:cs="Times New Roman"/>
          <w:sz w:val="20"/>
          <w:szCs w:val="20"/>
        </w:rPr>
        <w:t>».</w:t>
      </w:r>
    </w:p>
    <w:p w:rsidR="00A57B04" w:rsidRDefault="00A57B04">
      <w:pPr>
        <w:pStyle w:val="a7"/>
      </w:pPr>
    </w:p>
  </w:footnote>
  <w:footnote w:id="4">
    <w:p w:rsidR="00EE7211" w:rsidRPr="00531963" w:rsidRDefault="00EE7211" w:rsidP="004568B4">
      <w:pPr>
        <w:pStyle w:val="a7"/>
        <w:jc w:val="both"/>
      </w:pPr>
      <w:r w:rsidRPr="00531963">
        <w:rPr>
          <w:rStyle w:val="a6"/>
        </w:rPr>
        <w:footnoteRef/>
      </w:r>
      <w:r w:rsidRPr="00531963">
        <w:t xml:space="preserve"> </w:t>
      </w:r>
      <w:r w:rsidRPr="00531963">
        <w:rPr>
          <w:rFonts w:ascii="Times New Roman" w:hAnsi="Times New Roman" w:cs="Times New Roman"/>
        </w:rPr>
        <w:t>Вопросы данного подраздела также направлены Директору Департамента банковского регулирования Лобанову А.А.</w:t>
      </w:r>
    </w:p>
  </w:footnote>
  <w:footnote w:id="5">
    <w:p w:rsidR="00EE7211" w:rsidRPr="00531963" w:rsidRDefault="00EE7211" w:rsidP="004568B4">
      <w:pPr>
        <w:pStyle w:val="a7"/>
        <w:jc w:val="both"/>
        <w:rPr>
          <w:rFonts w:ascii="Times New Roman" w:hAnsi="Times New Roman" w:cs="Times New Roman"/>
        </w:rPr>
      </w:pPr>
      <w:r w:rsidRPr="00531963">
        <w:rPr>
          <w:rStyle w:val="a6"/>
          <w:rFonts w:ascii="Times New Roman" w:hAnsi="Times New Roman" w:cs="Times New Roman"/>
        </w:rPr>
        <w:footnoteRef/>
      </w:r>
      <w:r w:rsidRPr="00531963">
        <w:rPr>
          <w:rFonts w:ascii="Times New Roman" w:hAnsi="Times New Roman" w:cs="Times New Roman"/>
        </w:rPr>
        <w:t xml:space="preserve"> Указаны в документе Базельского комитета по банковскому надзору «Внутренний аудит в банках» («The Internal Audit Function</w:t>
      </w:r>
      <w:r>
        <w:rPr>
          <w:rFonts w:ascii="Times New Roman" w:hAnsi="Times New Roman" w:cs="Times New Roman"/>
        </w:rPr>
        <w:t xml:space="preserve"> in Banks», June, 2012 (см., в частности,</w:t>
      </w:r>
      <w:r w:rsidRPr="00531963">
        <w:rPr>
          <w:rFonts w:ascii="Times New Roman" w:hAnsi="Times New Roman" w:cs="Times New Roman"/>
        </w:rPr>
        <w:t xml:space="preserve"> принцип 7, пункт 33).</w:t>
      </w:r>
    </w:p>
  </w:footnote>
  <w:footnote w:id="6">
    <w:p w:rsidR="00EE7211" w:rsidRPr="00531963" w:rsidRDefault="00EE7211" w:rsidP="004568B4">
      <w:pPr>
        <w:pStyle w:val="a7"/>
        <w:jc w:val="both"/>
        <w:rPr>
          <w:rFonts w:ascii="Times New Roman" w:hAnsi="Times New Roman" w:cs="Times New Roman"/>
        </w:rPr>
      </w:pPr>
      <w:r w:rsidRPr="00531963">
        <w:rPr>
          <w:rStyle w:val="a6"/>
          <w:rFonts w:ascii="Times New Roman" w:hAnsi="Times New Roman" w:cs="Times New Roman"/>
        </w:rPr>
        <w:footnoteRef/>
      </w:r>
      <w:r w:rsidRPr="00531963">
        <w:rPr>
          <w:rFonts w:ascii="Times New Roman" w:hAnsi="Times New Roman" w:cs="Times New Roman"/>
        </w:rPr>
        <w:t xml:space="preserve"> Указание Банка России от 15.04.2015 № 3624-У «О требованиях к системе управления рисками и капиталом кредитной организации и банковской группы». </w:t>
      </w:r>
    </w:p>
  </w:footnote>
  <w:footnote w:id="7">
    <w:p w:rsidR="00262756" w:rsidRDefault="00262756">
      <w:pPr>
        <w:pStyle w:val="a7"/>
      </w:pPr>
      <w:r>
        <w:rPr>
          <w:rStyle w:val="a6"/>
        </w:rPr>
        <w:footnoteRef/>
      </w:r>
      <w:r>
        <w:t xml:space="preserve"> </w:t>
      </w:r>
      <w:r w:rsidRPr="00262756">
        <w:rPr>
          <w:rFonts w:ascii="Times New Roman" w:hAnsi="Times New Roman" w:cs="Times New Roman"/>
        </w:rPr>
        <w:t>Первая линия защиты состоит из бизнес-подразделений, принимающих риски в пределах установленных лимитов и отвечающих за идентификацию, оценку и контроль за уровнем риска по направлениям своей деятельности; вторая линия защиты реализуется специально созданными подразделениями банка (например, СВК, СУР); третья линия защиты состоит из СВА, осуществляющей мониторинг функций первой и второй линий защиты, а также проверку и оценку эффективности системы внутреннего контроля в целом</w:t>
      </w:r>
    </w:p>
  </w:footnote>
  <w:footnote w:id="8">
    <w:p w:rsidR="00262756" w:rsidRDefault="00262756">
      <w:pPr>
        <w:pStyle w:val="a7"/>
      </w:pPr>
      <w:r>
        <w:rPr>
          <w:rStyle w:val="a6"/>
        </w:rPr>
        <w:footnoteRef/>
      </w:r>
      <w:r>
        <w:t xml:space="preserve"> </w:t>
      </w:r>
      <w:r w:rsidRPr="00262756">
        <w:rPr>
          <w:rFonts w:ascii="Times New Roman" w:hAnsi="Times New Roman" w:cs="Times New Roman"/>
        </w:rPr>
        <w:t>Приложение 1 к Положению № 242-П.</w:t>
      </w:r>
    </w:p>
  </w:footnote>
  <w:footnote w:id="9">
    <w:p w:rsidR="00262756" w:rsidRDefault="00262756">
      <w:pPr>
        <w:pStyle w:val="a7"/>
      </w:pPr>
      <w:r>
        <w:rPr>
          <w:rStyle w:val="a6"/>
        </w:rPr>
        <w:footnoteRef/>
      </w:r>
      <w:r>
        <w:t xml:space="preserve"> </w:t>
      </w:r>
      <w:r w:rsidRPr="00262756">
        <w:rPr>
          <w:rFonts w:ascii="Times New Roman" w:hAnsi="Times New Roman" w:cs="Times New Roman"/>
        </w:rPr>
        <w:t>Пункты 4.2, 4</w:t>
      </w:r>
      <w:r w:rsidRPr="00262756">
        <w:rPr>
          <w:rFonts w:ascii="Times New Roman" w:hAnsi="Times New Roman" w:cs="Times New Roman"/>
          <w:vertAlign w:val="superscript"/>
        </w:rPr>
        <w:t>1</w:t>
      </w:r>
      <w:r w:rsidRPr="00262756">
        <w:rPr>
          <w:rFonts w:ascii="Times New Roman" w:hAnsi="Times New Roman" w:cs="Times New Roman"/>
        </w:rPr>
        <w:t>.2 Положения № 242-П.</w:t>
      </w:r>
    </w:p>
  </w:footnote>
  <w:footnote w:id="10">
    <w:p w:rsidR="00262756" w:rsidRDefault="00262756">
      <w:pPr>
        <w:pStyle w:val="a7"/>
      </w:pPr>
      <w:r>
        <w:rPr>
          <w:rStyle w:val="a6"/>
        </w:rPr>
        <w:footnoteRef/>
      </w:r>
      <w:r>
        <w:t xml:space="preserve"> </w:t>
      </w:r>
      <w:r w:rsidRPr="00262756">
        <w:rPr>
          <w:rFonts w:ascii="Times New Roman" w:hAnsi="Times New Roman" w:cs="Times New Roman"/>
        </w:rPr>
        <w:t>В частности, пункты 2.2, 4.1, 4.6.1, 4</w:t>
      </w:r>
      <w:r w:rsidRPr="00262756">
        <w:rPr>
          <w:rFonts w:ascii="Times New Roman" w:hAnsi="Times New Roman" w:cs="Times New Roman"/>
          <w:vertAlign w:val="superscript"/>
        </w:rPr>
        <w:t>1</w:t>
      </w:r>
      <w:r w:rsidRPr="00262756">
        <w:rPr>
          <w:rFonts w:ascii="Times New Roman" w:hAnsi="Times New Roman" w:cs="Times New Roman"/>
        </w:rPr>
        <w:t>.5 Положения № 242-П.</w:t>
      </w:r>
    </w:p>
  </w:footnote>
  <w:footnote w:id="11">
    <w:p w:rsidR="00262756" w:rsidRDefault="00262756">
      <w:pPr>
        <w:pStyle w:val="a7"/>
      </w:pPr>
      <w:r>
        <w:rPr>
          <w:rStyle w:val="a6"/>
        </w:rPr>
        <w:footnoteRef/>
      </w:r>
      <w:r>
        <w:t xml:space="preserve"> </w:t>
      </w:r>
      <w:r w:rsidRPr="002E75C8">
        <w:rPr>
          <w:rFonts w:ascii="Times New Roman" w:hAnsi="Times New Roman" w:cs="Times New Roman"/>
        </w:rPr>
        <w:t>Пункт 2 части 2 статьи 42 Федерального закона «О банках и банковской деятельности».</w:t>
      </w:r>
    </w:p>
  </w:footnote>
  <w:footnote w:id="12">
    <w:p w:rsidR="00262756" w:rsidRDefault="00262756">
      <w:pPr>
        <w:pStyle w:val="a7"/>
      </w:pPr>
      <w:r>
        <w:rPr>
          <w:rStyle w:val="a6"/>
        </w:rPr>
        <w:footnoteRef/>
      </w:r>
      <w:r>
        <w:t xml:space="preserve"> </w:t>
      </w:r>
      <w:r w:rsidRPr="002E75C8">
        <w:rPr>
          <w:rFonts w:ascii="Times New Roman" w:hAnsi="Times New Roman" w:cs="Times New Roman"/>
        </w:rPr>
        <w:t>Глава 4 Положения № 242-П, приложение 3 к Положению № 242-П.</w:t>
      </w:r>
    </w:p>
  </w:footnote>
  <w:footnote w:id="13">
    <w:p w:rsidR="00262756" w:rsidRDefault="00262756">
      <w:pPr>
        <w:pStyle w:val="a7"/>
      </w:pPr>
      <w:r>
        <w:rPr>
          <w:rStyle w:val="a6"/>
        </w:rPr>
        <w:footnoteRef/>
      </w:r>
      <w:r>
        <w:t xml:space="preserve"> </w:t>
      </w:r>
      <w:r w:rsidRPr="002E75C8">
        <w:rPr>
          <w:rFonts w:ascii="Times New Roman" w:hAnsi="Times New Roman" w:cs="Times New Roman"/>
        </w:rPr>
        <w:t>О применении Рекомендаций с учетом специального регулирования в части, не противоречащей требованиям такого регулирования, указано во введении к Рекомендациям.</w:t>
      </w:r>
    </w:p>
  </w:footnote>
  <w:footnote w:id="14">
    <w:p w:rsidR="00EE7211" w:rsidRPr="00531963" w:rsidRDefault="00EE7211" w:rsidP="004568B4">
      <w:pPr>
        <w:pStyle w:val="a7"/>
        <w:jc w:val="both"/>
        <w:rPr>
          <w:rFonts w:ascii="Times New Roman" w:hAnsi="Times New Roman" w:cs="Times New Roman"/>
        </w:rPr>
      </w:pPr>
      <w:r w:rsidRPr="00531963">
        <w:rPr>
          <w:rStyle w:val="a6"/>
          <w:rFonts w:ascii="Times New Roman" w:hAnsi="Times New Roman" w:cs="Times New Roman"/>
        </w:rPr>
        <w:footnoteRef/>
      </w:r>
      <w:r w:rsidRPr="00531963">
        <w:rPr>
          <w:rFonts w:ascii="Times New Roman" w:hAnsi="Times New Roman" w:cs="Times New Roman"/>
        </w:rPr>
        <w:t xml:space="preserve"> Согласно указанному пункту кредитная организация вправе во внутренних документах предусмотреть иные функции СВК, не перечисленные в Положении № 242-П, связанные с управлением регуляторным риском.</w:t>
      </w:r>
    </w:p>
  </w:footnote>
  <w:footnote w:id="15">
    <w:p w:rsidR="00EE7211" w:rsidRPr="00531963" w:rsidRDefault="00EE7211" w:rsidP="004568B4">
      <w:pPr>
        <w:pStyle w:val="a7"/>
        <w:jc w:val="both"/>
        <w:rPr>
          <w:rFonts w:ascii="Times New Roman" w:hAnsi="Times New Roman" w:cs="Times New Roman"/>
        </w:rPr>
      </w:pPr>
      <w:r w:rsidRPr="00531963">
        <w:rPr>
          <w:rStyle w:val="a6"/>
          <w:rFonts w:ascii="Times New Roman" w:hAnsi="Times New Roman" w:cs="Times New Roman"/>
        </w:rPr>
        <w:footnoteRef/>
      </w:r>
      <w:r w:rsidRPr="00531963">
        <w:rPr>
          <w:rFonts w:ascii="Times New Roman" w:hAnsi="Times New Roman" w:cs="Times New Roman"/>
        </w:rPr>
        <w:t xml:space="preserve"> Положение Банка России от 08.04.20</w:t>
      </w:r>
      <w:r w:rsidR="001B6626">
        <w:rPr>
          <w:rFonts w:ascii="Times New Roman" w:hAnsi="Times New Roman" w:cs="Times New Roman"/>
        </w:rPr>
        <w:t>20</w:t>
      </w:r>
      <w:r w:rsidRPr="00531963">
        <w:rPr>
          <w:rFonts w:ascii="Times New Roman" w:hAnsi="Times New Roman" w:cs="Times New Roman"/>
        </w:rPr>
        <w:t xml:space="preserve"> № 716-П «О требованиях к системе управления операционным риском в кредитной организации и банковской группе».</w:t>
      </w:r>
    </w:p>
  </w:footnote>
  <w:footnote w:id="16">
    <w:p w:rsidR="00A57B04" w:rsidRPr="00A57B04" w:rsidRDefault="00A57B04">
      <w:pPr>
        <w:pStyle w:val="a7"/>
        <w:rPr>
          <w:rFonts w:ascii="Times New Roman" w:hAnsi="Times New Roman" w:cs="Times New Roman"/>
        </w:rPr>
      </w:pPr>
      <w:r w:rsidRPr="00A57B04">
        <w:rPr>
          <w:rStyle w:val="a6"/>
          <w:rFonts w:ascii="Times New Roman" w:hAnsi="Times New Roman" w:cs="Times New Roman"/>
        </w:rPr>
        <w:footnoteRef/>
      </w:r>
      <w:r w:rsidRPr="00A57B04">
        <w:rPr>
          <w:rFonts w:ascii="Times New Roman" w:hAnsi="Times New Roman" w:cs="Times New Roman"/>
        </w:rPr>
        <w:t xml:space="preserve"> </w:t>
      </w:r>
      <w:r w:rsidRPr="00A57B04">
        <w:rPr>
          <w:rFonts w:ascii="Times New Roman" w:hAnsi="Times New Roman" w:cs="Times New Roman"/>
          <w:bCs/>
        </w:rPr>
        <w:t>Положение</w:t>
      </w:r>
      <w:r w:rsidRPr="00A57B04">
        <w:rPr>
          <w:rFonts w:ascii="Times New Roman" w:hAnsi="Times New Roman" w:cs="Times New Roman"/>
          <w:bCs/>
        </w:rPr>
        <w:t xml:space="preserve"> Банка России от 28.06.2017 № 590-П «О порядке формирования кредитными организациями резервов на возможные потери по ссудам, ссудной и приравненной к ней задолженности»</w:t>
      </w:r>
      <w:r w:rsidRPr="00A57B04">
        <w:rPr>
          <w:rFonts w:ascii="Times New Roman" w:hAnsi="Times New Roman" w:cs="Times New Roman"/>
          <w:bCs/>
        </w:rPr>
        <w:t>.</w:t>
      </w:r>
    </w:p>
  </w:footnote>
  <w:footnote w:id="17">
    <w:p w:rsidR="00EE7211" w:rsidRPr="00531963" w:rsidRDefault="00EE7211" w:rsidP="00A57B04">
      <w:pPr>
        <w:pStyle w:val="a7"/>
        <w:jc w:val="both"/>
      </w:pPr>
      <w:r w:rsidRPr="0062306A">
        <w:rPr>
          <w:rStyle w:val="a6"/>
          <w:rFonts w:ascii="Times New Roman" w:hAnsi="Times New Roman" w:cs="Times New Roman"/>
        </w:rPr>
        <w:footnoteRef/>
      </w:r>
      <w:r w:rsidRPr="0062306A">
        <w:rPr>
          <w:rFonts w:ascii="Times New Roman" w:hAnsi="Times New Roman" w:cs="Times New Roman"/>
        </w:rPr>
        <w:t xml:space="preserve"> </w:t>
      </w:r>
      <w:r w:rsidR="00A57B04">
        <w:rPr>
          <w:rFonts w:ascii="Times New Roman" w:hAnsi="Times New Roman" w:cs="Times New Roman"/>
        </w:rPr>
        <w:t>П</w:t>
      </w:r>
      <w:r w:rsidR="00A57B04" w:rsidRPr="00A57B04">
        <w:rPr>
          <w:rFonts w:ascii="Times New Roman" w:hAnsi="Times New Roman" w:cs="Times New Roman"/>
        </w:rPr>
        <w:t xml:space="preserve">оложение Банка России от 04.10.2018 </w:t>
      </w:r>
      <w:r w:rsidR="00A57B04">
        <w:rPr>
          <w:rFonts w:ascii="Times New Roman" w:hAnsi="Times New Roman" w:cs="Times New Roman"/>
        </w:rPr>
        <w:t>№</w:t>
      </w:r>
      <w:r w:rsidR="00A57B04" w:rsidRPr="00A57B04">
        <w:rPr>
          <w:rFonts w:ascii="Times New Roman" w:hAnsi="Times New Roman" w:cs="Times New Roman"/>
        </w:rPr>
        <w:t xml:space="preserve"> 653-П</w:t>
      </w:r>
      <w:r w:rsidR="00A57B04">
        <w:rPr>
          <w:rFonts w:ascii="Times New Roman" w:hAnsi="Times New Roman" w:cs="Times New Roman"/>
        </w:rPr>
        <w:t xml:space="preserve"> «</w:t>
      </w:r>
      <w:r w:rsidR="00A57B04" w:rsidRPr="00A57B04">
        <w:rPr>
          <w:rFonts w:ascii="Times New Roman" w:hAnsi="Times New Roman" w:cs="Times New Roman"/>
        </w:rPr>
        <w:t>О требованиях к содержанию, порядке и сроках представления кредитными организациями в Банк России планов восстановления финансовой устойчивости, изменений, вносимых в планы восстановления финансовой устойчивости, порядке их оценки Банком России, а также о порядке информирования кредитными организациями Банка России о наступлении в их деятельности событий, предусмотренных планом восстановления финансовой устойчивости, и принятии решения о начале его реализации</w:t>
      </w:r>
      <w:r w:rsidR="00A57B04">
        <w:rPr>
          <w:rFonts w:ascii="Times New Roman" w:hAnsi="Times New Roman" w:cs="Times New Roman"/>
        </w:rPr>
        <w:t>».</w:t>
      </w:r>
    </w:p>
  </w:footnote>
  <w:footnote w:id="18">
    <w:p w:rsidR="00A57B04" w:rsidRPr="00A57B04" w:rsidRDefault="00A57B04" w:rsidP="00A57B04">
      <w:pPr>
        <w:pStyle w:val="a7"/>
        <w:rPr>
          <w:rFonts w:ascii="Times New Roman" w:hAnsi="Times New Roman" w:cs="Times New Roman"/>
        </w:rPr>
      </w:pPr>
      <w:r w:rsidRPr="00A57B04">
        <w:rPr>
          <w:rStyle w:val="a6"/>
          <w:rFonts w:ascii="Times New Roman" w:hAnsi="Times New Roman" w:cs="Times New Roman"/>
        </w:rPr>
        <w:footnoteRef/>
      </w:r>
      <w:r w:rsidRPr="00A57B04">
        <w:rPr>
          <w:rFonts w:ascii="Times New Roman" w:hAnsi="Times New Roman" w:cs="Times New Roman"/>
        </w:rPr>
        <w:t xml:space="preserve"> </w:t>
      </w:r>
      <w:r w:rsidRPr="00A57B04">
        <w:rPr>
          <w:rFonts w:ascii="Times New Roman" w:hAnsi="Times New Roman" w:cs="Times New Roman"/>
        </w:rPr>
        <w:t xml:space="preserve">Федеральный закон от 05.04.2013 </w:t>
      </w:r>
      <w:r w:rsidRPr="00A57B04">
        <w:rPr>
          <w:rFonts w:ascii="Times New Roman" w:hAnsi="Times New Roman" w:cs="Times New Roman"/>
        </w:rPr>
        <w:t>№</w:t>
      </w:r>
      <w:r w:rsidRPr="00A57B04">
        <w:rPr>
          <w:rFonts w:ascii="Times New Roman" w:hAnsi="Times New Roman" w:cs="Times New Roman"/>
        </w:rPr>
        <w:t xml:space="preserve"> 44-ФЗ</w:t>
      </w:r>
      <w:r w:rsidRPr="00A57B04">
        <w:rPr>
          <w:rFonts w:ascii="Times New Roman" w:hAnsi="Times New Roman" w:cs="Times New Roman"/>
        </w:rPr>
        <w:t xml:space="preserve"> «</w:t>
      </w:r>
      <w:r w:rsidRPr="00A57B04">
        <w:rPr>
          <w:rFonts w:ascii="Times New Roman" w:hAnsi="Times New Roman" w:cs="Times New Roman"/>
        </w:rPr>
        <w:t>О контрактной системе в сфере закупок товаров, работ, услуг для обеспечения госуд</w:t>
      </w:r>
      <w:r w:rsidRPr="00A57B04">
        <w:rPr>
          <w:rFonts w:ascii="Times New Roman" w:hAnsi="Times New Roman" w:cs="Times New Roman"/>
        </w:rPr>
        <w:t>арственных и муниципальных нужд».</w:t>
      </w:r>
    </w:p>
  </w:footnote>
  <w:footnote w:id="19">
    <w:p w:rsidR="00A57B04" w:rsidRDefault="00A57B04" w:rsidP="00A57B04">
      <w:pPr>
        <w:pStyle w:val="a7"/>
      </w:pPr>
      <w:r>
        <w:rPr>
          <w:rStyle w:val="a6"/>
        </w:rPr>
        <w:footnoteRef/>
      </w:r>
      <w:r>
        <w:t xml:space="preserve"> </w:t>
      </w:r>
      <w:r w:rsidRPr="00A57B04">
        <w:rPr>
          <w:rFonts w:ascii="Times New Roman" w:hAnsi="Times New Roman" w:cs="Times New Roman"/>
        </w:rPr>
        <w:t xml:space="preserve">Постановление Правительства РФ от 20.09.2014 </w:t>
      </w:r>
      <w:r w:rsidRPr="00A57B04">
        <w:rPr>
          <w:rFonts w:ascii="Times New Roman" w:hAnsi="Times New Roman" w:cs="Times New Roman"/>
        </w:rPr>
        <w:t>№</w:t>
      </w:r>
      <w:r w:rsidRPr="00A57B04">
        <w:rPr>
          <w:rFonts w:ascii="Times New Roman" w:hAnsi="Times New Roman" w:cs="Times New Roman"/>
        </w:rPr>
        <w:t xml:space="preserve"> 963</w:t>
      </w:r>
      <w:r w:rsidRPr="00A57B04">
        <w:rPr>
          <w:rFonts w:ascii="Times New Roman" w:hAnsi="Times New Roman" w:cs="Times New Roman"/>
        </w:rPr>
        <w:t xml:space="preserve"> «</w:t>
      </w:r>
      <w:r w:rsidRPr="00A57B04">
        <w:rPr>
          <w:rFonts w:ascii="Times New Roman" w:hAnsi="Times New Roman" w:cs="Times New Roman"/>
        </w:rPr>
        <w:t>Об осуществлении банковского сопровождения контрактов</w:t>
      </w:r>
      <w:r w:rsidRPr="00A57B04">
        <w:rPr>
          <w:rFonts w:ascii="Times New Roman" w:hAnsi="Times New Roman" w:cs="Times New Roman"/>
        </w:rPr>
        <w:t>».</w:t>
      </w:r>
    </w:p>
  </w:footnote>
  <w:footnote w:id="20">
    <w:p w:rsidR="00EE7211" w:rsidRPr="00531963" w:rsidRDefault="00EE7211" w:rsidP="004568B4">
      <w:pPr>
        <w:pStyle w:val="a7"/>
        <w:rPr>
          <w:rFonts w:ascii="Times New Roman" w:hAnsi="Times New Roman" w:cs="Times New Roman"/>
        </w:rPr>
      </w:pPr>
      <w:r w:rsidRPr="00531963">
        <w:rPr>
          <w:rStyle w:val="a6"/>
          <w:rFonts w:ascii="Times New Roman" w:hAnsi="Times New Roman" w:cs="Times New Roman"/>
        </w:rPr>
        <w:footnoteRef/>
      </w:r>
      <w:r w:rsidRPr="00531963">
        <w:rPr>
          <w:rFonts w:ascii="Times New Roman" w:hAnsi="Times New Roman" w:cs="Times New Roman"/>
        </w:rPr>
        <w:t xml:space="preserve"> В т.ч. в письме Ассоциации от 24.12.2020 № 02-05/1043.</w:t>
      </w:r>
    </w:p>
  </w:footnote>
  <w:footnote w:id="21">
    <w:p w:rsidR="00EE7211" w:rsidRPr="00531963" w:rsidRDefault="00EE7211" w:rsidP="004568B4">
      <w:pPr>
        <w:pStyle w:val="a7"/>
        <w:jc w:val="both"/>
      </w:pPr>
      <w:r w:rsidRPr="00531963">
        <w:rPr>
          <w:rStyle w:val="a6"/>
          <w:rFonts w:ascii="Times New Roman" w:hAnsi="Times New Roman" w:cs="Times New Roman"/>
        </w:rPr>
        <w:footnoteRef/>
      </w:r>
      <w:r w:rsidRPr="00531963">
        <w:rPr>
          <w:rFonts w:ascii="Times New Roman" w:hAnsi="Times New Roman" w:cs="Times New Roman"/>
        </w:rPr>
        <w:t xml:space="preserve"> Положение Банка России </w:t>
      </w:r>
      <w:r w:rsidR="00A57B04">
        <w:rPr>
          <w:rFonts w:ascii="Times New Roman" w:hAnsi="Times New Roman" w:cs="Times New Roman"/>
        </w:rPr>
        <w:t>от 22.12.2014</w:t>
      </w:r>
      <w:r w:rsidRPr="00531963">
        <w:rPr>
          <w:rFonts w:ascii="Times New Roman" w:hAnsi="Times New Roman" w:cs="Times New Roman"/>
        </w:rPr>
        <w:t xml:space="preserve"> №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w:t>
      </w:r>
    </w:p>
  </w:footnote>
  <w:footnote w:id="22">
    <w:p w:rsidR="00A57B04" w:rsidRDefault="00A57B04">
      <w:pPr>
        <w:pStyle w:val="a7"/>
      </w:pPr>
      <w:r>
        <w:rPr>
          <w:rStyle w:val="a6"/>
        </w:rPr>
        <w:footnoteRef/>
      </w:r>
      <w:r>
        <w:t xml:space="preserve"> </w:t>
      </w:r>
      <w:r w:rsidRPr="00531963">
        <w:rPr>
          <w:rFonts w:ascii="Times New Roman" w:hAnsi="Times New Roman" w:cs="Times New Roman"/>
        </w:rPr>
        <w:t xml:space="preserve">Положение Банка России от </w:t>
      </w:r>
      <w:r>
        <w:rPr>
          <w:rFonts w:ascii="Times New Roman" w:hAnsi="Times New Roman" w:cs="Times New Roman"/>
        </w:rPr>
        <w:t>22.12.2014</w:t>
      </w:r>
      <w:r w:rsidRPr="00531963">
        <w:rPr>
          <w:rFonts w:ascii="Times New Roman" w:hAnsi="Times New Roman" w:cs="Times New Roman"/>
        </w:rPr>
        <w:t xml:space="preserve"> №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p>
  </w:footnote>
  <w:footnote w:id="23">
    <w:p w:rsidR="00EE7211" w:rsidRPr="00531963" w:rsidRDefault="00EE7211" w:rsidP="004568B4">
      <w:pPr>
        <w:pStyle w:val="a7"/>
        <w:rPr>
          <w:rFonts w:ascii="Times New Roman" w:hAnsi="Times New Roman" w:cs="Times New Roman"/>
        </w:rPr>
      </w:pPr>
      <w:r w:rsidRPr="00531963">
        <w:rPr>
          <w:rStyle w:val="a6"/>
          <w:rFonts w:ascii="Times New Roman" w:hAnsi="Times New Roman" w:cs="Times New Roman"/>
        </w:rPr>
        <w:footnoteRef/>
      </w:r>
      <w:r w:rsidRPr="00531963">
        <w:rPr>
          <w:rFonts w:ascii="Times New Roman" w:hAnsi="Times New Roman" w:cs="Times New Roman"/>
        </w:rPr>
        <w:t xml:space="preserve"> Просьба также направлена Заместителю председателя Банка России К.В. Юдаевой.</w:t>
      </w:r>
    </w:p>
  </w:footnote>
  <w:footnote w:id="24">
    <w:p w:rsidR="00EE7211" w:rsidRPr="00531963" w:rsidRDefault="00EE7211" w:rsidP="004568B4">
      <w:pPr>
        <w:pStyle w:val="a7"/>
        <w:jc w:val="both"/>
      </w:pPr>
      <w:r w:rsidRPr="00531963">
        <w:rPr>
          <w:rStyle w:val="a6"/>
        </w:rPr>
        <w:footnoteRef/>
      </w:r>
      <w:r w:rsidRPr="00531963">
        <w:t xml:space="preserve"> </w:t>
      </w:r>
      <w:r w:rsidRPr="00531963">
        <w:rPr>
          <w:rFonts w:ascii="Times New Roman" w:hAnsi="Times New Roman" w:cs="Times New Roman"/>
        </w:rPr>
        <w:t>Просьба также направлена Директору Департамента банковского регулирования Лобанову А.А.</w:t>
      </w:r>
    </w:p>
  </w:footnote>
  <w:footnote w:id="25">
    <w:p w:rsidR="00A57B04" w:rsidRPr="00A57B04" w:rsidRDefault="00A57B04" w:rsidP="00A57B04">
      <w:pPr>
        <w:pStyle w:val="a7"/>
        <w:jc w:val="both"/>
        <w:rPr>
          <w:rFonts w:ascii="Times New Roman" w:hAnsi="Times New Roman" w:cs="Times New Roman"/>
        </w:rPr>
      </w:pPr>
      <w:r w:rsidRPr="00A57B04">
        <w:rPr>
          <w:rStyle w:val="a6"/>
          <w:rFonts w:ascii="Times New Roman" w:hAnsi="Times New Roman" w:cs="Times New Roman"/>
        </w:rPr>
        <w:footnoteRef/>
      </w:r>
      <w:r w:rsidRPr="00A57B04">
        <w:rPr>
          <w:rFonts w:ascii="Times New Roman" w:hAnsi="Times New Roman" w:cs="Times New Roman"/>
        </w:rPr>
        <w:t xml:space="preserve"> </w:t>
      </w:r>
      <w:r w:rsidRPr="00A57B04">
        <w:rPr>
          <w:rFonts w:ascii="Times New Roman" w:hAnsi="Times New Roman" w:cs="Times New Roman"/>
        </w:rPr>
        <w:t xml:space="preserve">Инструкция Банка России от 21.06.2018 </w:t>
      </w:r>
      <w:r w:rsidRPr="00A57B04">
        <w:rPr>
          <w:rFonts w:ascii="Times New Roman" w:hAnsi="Times New Roman" w:cs="Times New Roman"/>
        </w:rPr>
        <w:t>№</w:t>
      </w:r>
      <w:r w:rsidRPr="00A57B04">
        <w:rPr>
          <w:rFonts w:ascii="Times New Roman" w:hAnsi="Times New Roman" w:cs="Times New Roman"/>
        </w:rPr>
        <w:t xml:space="preserve"> 188-И</w:t>
      </w:r>
      <w:r w:rsidRPr="00A57B04">
        <w:rPr>
          <w:rFonts w:ascii="Times New Roman" w:hAnsi="Times New Roman" w:cs="Times New Roman"/>
        </w:rPr>
        <w:t xml:space="preserve"> «</w:t>
      </w:r>
      <w:r w:rsidRPr="00A57B04">
        <w:rPr>
          <w:rFonts w:ascii="Times New Roman" w:hAnsi="Times New Roman" w:cs="Times New Roman"/>
        </w:rPr>
        <w:t>О порядке применения к кредитным организациям (головным кредитным организациям банковских групп) мер, предусмотренных статьей 74 Федерального закона "О Центральном банке Росс</w:t>
      </w:r>
      <w:r w:rsidRPr="00A57B04">
        <w:rPr>
          <w:rFonts w:ascii="Times New Roman" w:hAnsi="Times New Roman" w:cs="Times New Roman"/>
        </w:rPr>
        <w:t>ийской Федерации (Банке России)».</w:t>
      </w:r>
    </w:p>
  </w:footnote>
  <w:footnote w:id="26">
    <w:p w:rsidR="00EE7211" w:rsidRPr="00531963" w:rsidRDefault="00EE7211" w:rsidP="004568B4">
      <w:pPr>
        <w:pStyle w:val="a7"/>
        <w:jc w:val="both"/>
        <w:rPr>
          <w:rFonts w:ascii="Times New Roman" w:hAnsi="Times New Roman" w:cs="Times New Roman"/>
        </w:rPr>
      </w:pPr>
      <w:r w:rsidRPr="00531963">
        <w:rPr>
          <w:rStyle w:val="a6"/>
        </w:rPr>
        <w:footnoteRef/>
      </w:r>
      <w:r w:rsidRPr="00531963">
        <w:t xml:space="preserve"> </w:t>
      </w:r>
      <w:r w:rsidRPr="00531963">
        <w:rPr>
          <w:rFonts w:ascii="Times New Roman" w:hAnsi="Times New Roman" w:cs="Times New Roman"/>
        </w:rPr>
        <w:t>Аналогичный вопрос адресован Первому заместителю Председателя Банка России К.В. Юдаевой (компетенция Департамента статистики).</w:t>
      </w:r>
    </w:p>
  </w:footnote>
  <w:footnote w:id="27">
    <w:p w:rsidR="00EE7211" w:rsidRPr="00531963" w:rsidRDefault="00EE7211" w:rsidP="004568B4">
      <w:pPr>
        <w:pStyle w:val="a7"/>
        <w:jc w:val="both"/>
      </w:pPr>
      <w:r w:rsidRPr="00531963">
        <w:rPr>
          <w:rStyle w:val="a6"/>
        </w:rPr>
        <w:footnoteRef/>
      </w:r>
      <w:r w:rsidRPr="00531963">
        <w:t xml:space="preserve"> </w:t>
      </w:r>
      <w:r w:rsidRPr="00531963">
        <w:rPr>
          <w:rFonts w:ascii="Times New Roman" w:hAnsi="Times New Roman" w:cs="Times New Roman"/>
        </w:rPr>
        <w:t>Общероссийский классификатор видов экономической деятельности ОК 029-2014 (КДЕС Ред.2) утвержден Приказом Росстандарта от 31.01.2014 № 14-ст (ред. 12.02.20).</w:t>
      </w:r>
    </w:p>
  </w:footnote>
  <w:footnote w:id="28">
    <w:p w:rsidR="00EE7211" w:rsidRPr="00531963" w:rsidRDefault="00EE7211" w:rsidP="004568B4">
      <w:pPr>
        <w:pStyle w:val="a7"/>
        <w:jc w:val="both"/>
      </w:pPr>
      <w:r w:rsidRPr="00531963">
        <w:rPr>
          <w:rStyle w:val="a6"/>
        </w:rPr>
        <w:footnoteRef/>
      </w:r>
      <w:r w:rsidRPr="00531963">
        <w:t xml:space="preserve"> </w:t>
      </w:r>
      <w:r w:rsidRPr="00531963">
        <w:rPr>
          <w:rFonts w:ascii="Times New Roman" w:hAnsi="Times New Roman" w:cs="Times New Roman"/>
        </w:rPr>
        <w:t>Вопрос также направлен Первому заместителю Председателя Банка России К.В. Юдаевой.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032C"/>
    <w:multiLevelType w:val="hybridMultilevel"/>
    <w:tmpl w:val="AA644A74"/>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 w15:restartNumberingAfterBreak="0">
    <w:nsid w:val="0FAA20C2"/>
    <w:multiLevelType w:val="hybridMultilevel"/>
    <w:tmpl w:val="34B68EEC"/>
    <w:lvl w:ilvl="0" w:tplc="7792946E">
      <w:start w:val="4"/>
      <w:numFmt w:val="decimal"/>
      <w:lvlText w:val="%1."/>
      <w:lvlJc w:val="left"/>
      <w:pPr>
        <w:ind w:left="502" w:hanging="360"/>
      </w:pPr>
      <w:rPr>
        <w:rFonts w:ascii="Times New Roman" w:hAnsi="Times New Roman" w:cs="Times New Roman" w:hint="default"/>
        <w:b/>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05041C"/>
    <w:multiLevelType w:val="hybridMultilevel"/>
    <w:tmpl w:val="465A38F6"/>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16D63702"/>
    <w:multiLevelType w:val="hybridMultilevel"/>
    <w:tmpl w:val="1C1E0F48"/>
    <w:lvl w:ilvl="0" w:tplc="04190019">
      <w:start w:val="1"/>
      <w:numFmt w:val="lowerLetter"/>
      <w:lvlText w:val="%1."/>
      <w:lvlJc w:val="left"/>
      <w:pPr>
        <w:ind w:left="1800" w:hanging="360"/>
      </w:pPr>
    </w:lvl>
    <w:lvl w:ilvl="1" w:tplc="04190019">
      <w:start w:val="1"/>
      <w:numFmt w:val="lowerLetter"/>
      <w:lvlText w:val="%2."/>
      <w:lvlJc w:val="left"/>
      <w:pPr>
        <w:ind w:left="2520" w:hanging="360"/>
      </w:pPr>
    </w:lvl>
    <w:lvl w:ilvl="2" w:tplc="7E02B80A">
      <w:start w:val="1"/>
      <w:numFmt w:val="decimal"/>
      <w:lvlText w:val="%3."/>
      <w:lvlJc w:val="left"/>
      <w:pPr>
        <w:ind w:left="3420" w:hanging="36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0411F71"/>
    <w:multiLevelType w:val="hybridMultilevel"/>
    <w:tmpl w:val="585AE070"/>
    <w:lvl w:ilvl="0" w:tplc="59A6B8E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4F3352A"/>
    <w:multiLevelType w:val="hybridMultilevel"/>
    <w:tmpl w:val="AB7643C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C047C"/>
    <w:multiLevelType w:val="hybridMultilevel"/>
    <w:tmpl w:val="8416C072"/>
    <w:lvl w:ilvl="0" w:tplc="795076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81C6AD4"/>
    <w:multiLevelType w:val="multilevel"/>
    <w:tmpl w:val="D5662844"/>
    <w:lvl w:ilvl="0">
      <w:start w:val="1"/>
      <w:numFmt w:val="decimal"/>
      <w:lvlText w:val="%1."/>
      <w:lvlJc w:val="left"/>
      <w:pPr>
        <w:ind w:left="765" w:hanging="765"/>
      </w:pPr>
      <w:rPr>
        <w:rFonts w:hint="default"/>
        <w:b/>
      </w:rPr>
    </w:lvl>
    <w:lvl w:ilvl="1">
      <w:start w:val="1"/>
      <w:numFmt w:val="decimal"/>
      <w:lvlText w:val="%1.%2."/>
      <w:lvlJc w:val="left"/>
      <w:pPr>
        <w:ind w:left="1474" w:hanging="765"/>
      </w:pPr>
      <w:rPr>
        <w:rFonts w:hint="default"/>
        <w:b w:val="0"/>
      </w:rPr>
    </w:lvl>
    <w:lvl w:ilvl="2">
      <w:start w:val="1"/>
      <w:numFmt w:val="decimal"/>
      <w:lvlText w:val="%1.%2.%3."/>
      <w:lvlJc w:val="left"/>
      <w:pPr>
        <w:ind w:left="2183" w:hanging="765"/>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8" w15:restartNumberingAfterBreak="0">
    <w:nsid w:val="2B017239"/>
    <w:multiLevelType w:val="hybridMultilevel"/>
    <w:tmpl w:val="D2B631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FFF5C4E"/>
    <w:multiLevelType w:val="hybridMultilevel"/>
    <w:tmpl w:val="4404E2E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5ABEAE64">
      <w:start w:val="70"/>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53B1B"/>
    <w:multiLevelType w:val="hybridMultilevel"/>
    <w:tmpl w:val="88C0C27E"/>
    <w:lvl w:ilvl="0" w:tplc="C20CB72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6631509"/>
    <w:multiLevelType w:val="hybridMultilevel"/>
    <w:tmpl w:val="7D048302"/>
    <w:lvl w:ilvl="0" w:tplc="E3469C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816946"/>
    <w:multiLevelType w:val="hybridMultilevel"/>
    <w:tmpl w:val="B22E33D6"/>
    <w:lvl w:ilvl="0" w:tplc="E06C1990">
      <w:start w:val="1"/>
      <w:numFmt w:val="bullet"/>
      <w:lvlText w:val=""/>
      <w:lvlJc w:val="left"/>
      <w:pPr>
        <w:ind w:left="1068" w:hanging="360"/>
      </w:pPr>
      <w:rPr>
        <w:rFonts w:ascii="Symbol" w:hAnsi="Symbol" w:hint="default"/>
        <w:b w:val="0"/>
        <w:bCs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15:restartNumberingAfterBreak="0">
    <w:nsid w:val="53AD6BA1"/>
    <w:multiLevelType w:val="hybridMultilevel"/>
    <w:tmpl w:val="AE50E2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5E90A19"/>
    <w:multiLevelType w:val="hybridMultilevel"/>
    <w:tmpl w:val="48ECD6E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5EEC5FE2"/>
    <w:multiLevelType w:val="hybridMultilevel"/>
    <w:tmpl w:val="3B6042D2"/>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15:restartNumberingAfterBreak="0">
    <w:nsid w:val="6C2E6486"/>
    <w:multiLevelType w:val="multilevel"/>
    <w:tmpl w:val="B60C58E0"/>
    <w:lvl w:ilvl="0">
      <w:start w:val="1"/>
      <w:numFmt w:val="decimal"/>
      <w:lvlText w:val="%1."/>
      <w:lvlJc w:val="left"/>
      <w:pPr>
        <w:ind w:left="360" w:hanging="360"/>
      </w:pPr>
      <w:rPr>
        <w:b/>
        <w:bCs/>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72BB5"/>
    <w:multiLevelType w:val="hybridMultilevel"/>
    <w:tmpl w:val="05586364"/>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39E4EA9"/>
    <w:multiLevelType w:val="hybridMultilevel"/>
    <w:tmpl w:val="4BAEC932"/>
    <w:lvl w:ilvl="0" w:tplc="E56877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5D83D1B"/>
    <w:multiLevelType w:val="hybridMultilevel"/>
    <w:tmpl w:val="FD6CCFE8"/>
    <w:lvl w:ilvl="0" w:tplc="6CEE7DA6">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77D90D27"/>
    <w:multiLevelType w:val="hybridMultilevel"/>
    <w:tmpl w:val="7388A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637AB6"/>
    <w:multiLevelType w:val="hybridMultilevel"/>
    <w:tmpl w:val="E11807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21"/>
  </w:num>
  <w:num w:numId="6">
    <w:abstractNumId w:val="14"/>
  </w:num>
  <w:num w:numId="7">
    <w:abstractNumId w:val="2"/>
  </w:num>
  <w:num w:numId="8">
    <w:abstractNumId w:val="20"/>
  </w:num>
  <w:num w:numId="9">
    <w:abstractNumId w:val="10"/>
  </w:num>
  <w:num w:numId="10">
    <w:abstractNumId w:val="1"/>
  </w:num>
  <w:num w:numId="11">
    <w:abstractNumId w:val="13"/>
  </w:num>
  <w:num w:numId="12">
    <w:abstractNumId w:val="15"/>
  </w:num>
  <w:num w:numId="13">
    <w:abstractNumId w:val="19"/>
  </w:num>
  <w:num w:numId="14">
    <w:abstractNumId w:val="3"/>
  </w:num>
  <w:num w:numId="15">
    <w:abstractNumId w:val="18"/>
  </w:num>
  <w:num w:numId="16">
    <w:abstractNumId w:val="16"/>
  </w:num>
  <w:num w:numId="17">
    <w:abstractNumId w:val="6"/>
  </w:num>
  <w:num w:numId="18">
    <w:abstractNumId w:val="8"/>
  </w:num>
  <w:num w:numId="19">
    <w:abstractNumId w:val="4"/>
  </w:num>
  <w:num w:numId="20">
    <w:abstractNumId w:val="7"/>
  </w:num>
  <w:num w:numId="21">
    <w:abstractNumId w:val="5"/>
  </w:num>
  <w:num w:numId="2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EF"/>
    <w:rsid w:val="000230AA"/>
    <w:rsid w:val="00040613"/>
    <w:rsid w:val="0005740C"/>
    <w:rsid w:val="000E365E"/>
    <w:rsid w:val="000E4E93"/>
    <w:rsid w:val="000F2962"/>
    <w:rsid w:val="00101F09"/>
    <w:rsid w:val="001111EB"/>
    <w:rsid w:val="00114DCF"/>
    <w:rsid w:val="00123482"/>
    <w:rsid w:val="0016040C"/>
    <w:rsid w:val="0016208A"/>
    <w:rsid w:val="00177242"/>
    <w:rsid w:val="001B6626"/>
    <w:rsid w:val="00206F8F"/>
    <w:rsid w:val="00235822"/>
    <w:rsid w:val="00262756"/>
    <w:rsid w:val="00283449"/>
    <w:rsid w:val="00296936"/>
    <w:rsid w:val="002A7BC4"/>
    <w:rsid w:val="002D545B"/>
    <w:rsid w:val="002E4491"/>
    <w:rsid w:val="002E5A9D"/>
    <w:rsid w:val="00304F02"/>
    <w:rsid w:val="0032720C"/>
    <w:rsid w:val="00345F42"/>
    <w:rsid w:val="00381DA9"/>
    <w:rsid w:val="00384D24"/>
    <w:rsid w:val="00390057"/>
    <w:rsid w:val="003A27FF"/>
    <w:rsid w:val="003B6C60"/>
    <w:rsid w:val="003F36F3"/>
    <w:rsid w:val="003F3F36"/>
    <w:rsid w:val="00430593"/>
    <w:rsid w:val="00430CCD"/>
    <w:rsid w:val="00430E21"/>
    <w:rsid w:val="004357EF"/>
    <w:rsid w:val="00442619"/>
    <w:rsid w:val="004568B4"/>
    <w:rsid w:val="00481F10"/>
    <w:rsid w:val="004A6B83"/>
    <w:rsid w:val="00514A95"/>
    <w:rsid w:val="00540FF6"/>
    <w:rsid w:val="00542233"/>
    <w:rsid w:val="00554F60"/>
    <w:rsid w:val="00566CB8"/>
    <w:rsid w:val="0058790B"/>
    <w:rsid w:val="00597614"/>
    <w:rsid w:val="005A40E8"/>
    <w:rsid w:val="005B497B"/>
    <w:rsid w:val="005C3FE1"/>
    <w:rsid w:val="005C6A7F"/>
    <w:rsid w:val="005E2D70"/>
    <w:rsid w:val="005F4BEF"/>
    <w:rsid w:val="00604FAB"/>
    <w:rsid w:val="00606F00"/>
    <w:rsid w:val="00660E39"/>
    <w:rsid w:val="006870FD"/>
    <w:rsid w:val="006B7942"/>
    <w:rsid w:val="006C202B"/>
    <w:rsid w:val="006E63F2"/>
    <w:rsid w:val="007004D9"/>
    <w:rsid w:val="00712644"/>
    <w:rsid w:val="007320A5"/>
    <w:rsid w:val="00764099"/>
    <w:rsid w:val="007669D4"/>
    <w:rsid w:val="007A6C38"/>
    <w:rsid w:val="007B6C0B"/>
    <w:rsid w:val="007C7DBC"/>
    <w:rsid w:val="007E112D"/>
    <w:rsid w:val="0081189D"/>
    <w:rsid w:val="0084738E"/>
    <w:rsid w:val="00860FDE"/>
    <w:rsid w:val="008619C0"/>
    <w:rsid w:val="00891552"/>
    <w:rsid w:val="008B2214"/>
    <w:rsid w:val="008F0DE0"/>
    <w:rsid w:val="008F7D69"/>
    <w:rsid w:val="00941DF1"/>
    <w:rsid w:val="00953DA3"/>
    <w:rsid w:val="009620FF"/>
    <w:rsid w:val="009A2159"/>
    <w:rsid w:val="009B6A1A"/>
    <w:rsid w:val="009D54E3"/>
    <w:rsid w:val="009D7B2D"/>
    <w:rsid w:val="009E6309"/>
    <w:rsid w:val="00A16DC0"/>
    <w:rsid w:val="00A17D0B"/>
    <w:rsid w:val="00A26B61"/>
    <w:rsid w:val="00A524F7"/>
    <w:rsid w:val="00A5763F"/>
    <w:rsid w:val="00A57B04"/>
    <w:rsid w:val="00A6023C"/>
    <w:rsid w:val="00A6271B"/>
    <w:rsid w:val="00A84173"/>
    <w:rsid w:val="00AA0E30"/>
    <w:rsid w:val="00AA518A"/>
    <w:rsid w:val="00AB0F19"/>
    <w:rsid w:val="00AD4CA4"/>
    <w:rsid w:val="00AE1036"/>
    <w:rsid w:val="00AE4ED5"/>
    <w:rsid w:val="00B02631"/>
    <w:rsid w:val="00B02EE3"/>
    <w:rsid w:val="00B2125C"/>
    <w:rsid w:val="00B37181"/>
    <w:rsid w:val="00B5350F"/>
    <w:rsid w:val="00B71868"/>
    <w:rsid w:val="00B7634D"/>
    <w:rsid w:val="00BB0D5B"/>
    <w:rsid w:val="00BC4DA1"/>
    <w:rsid w:val="00BF1B66"/>
    <w:rsid w:val="00BF2DEF"/>
    <w:rsid w:val="00C1662E"/>
    <w:rsid w:val="00C16BB9"/>
    <w:rsid w:val="00C26ABB"/>
    <w:rsid w:val="00C3050F"/>
    <w:rsid w:val="00C434CB"/>
    <w:rsid w:val="00C52EB7"/>
    <w:rsid w:val="00C91669"/>
    <w:rsid w:val="00CB415A"/>
    <w:rsid w:val="00CD5E86"/>
    <w:rsid w:val="00CE03A2"/>
    <w:rsid w:val="00D155E9"/>
    <w:rsid w:val="00D23BB2"/>
    <w:rsid w:val="00D274E9"/>
    <w:rsid w:val="00D3193F"/>
    <w:rsid w:val="00D412E3"/>
    <w:rsid w:val="00D42013"/>
    <w:rsid w:val="00D470F7"/>
    <w:rsid w:val="00D72306"/>
    <w:rsid w:val="00DD3D29"/>
    <w:rsid w:val="00DF14AB"/>
    <w:rsid w:val="00E1040F"/>
    <w:rsid w:val="00E14B8D"/>
    <w:rsid w:val="00E4137B"/>
    <w:rsid w:val="00E56BB7"/>
    <w:rsid w:val="00E8004F"/>
    <w:rsid w:val="00EC1DB6"/>
    <w:rsid w:val="00EE7211"/>
    <w:rsid w:val="00F01962"/>
    <w:rsid w:val="00F048C7"/>
    <w:rsid w:val="00F15700"/>
    <w:rsid w:val="00F164CD"/>
    <w:rsid w:val="00F32E4D"/>
    <w:rsid w:val="00F543DC"/>
    <w:rsid w:val="00F64907"/>
    <w:rsid w:val="00F85392"/>
    <w:rsid w:val="00FB5462"/>
    <w:rsid w:val="00FD3FC7"/>
    <w:rsid w:val="00FE5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A762A-17A8-4858-A49D-2C2F3AF3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71B"/>
    <w:pPr>
      <w:spacing w:after="200" w:line="276" w:lineRule="auto"/>
    </w:pPr>
  </w:style>
  <w:style w:type="paragraph" w:styleId="1">
    <w:name w:val="heading 1"/>
    <w:basedOn w:val="a"/>
    <w:next w:val="a"/>
    <w:link w:val="10"/>
    <w:uiPriority w:val="9"/>
    <w:qFormat/>
    <w:rsid w:val="000E365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Bullet_IRAO,Абзац списка для документа,Stages  (bullets),Заголовок_3,Мой Список,AC List 01,Подпись рисунка,Table-Normal,RSHB_Table-Normal,List Paragraph1,List Paragraph,Нумерованый список,ARIAL,3_Абзац списка,Elenco Normale,List Paragraph_0"/>
    <w:basedOn w:val="a"/>
    <w:link w:val="a5"/>
    <w:uiPriority w:val="34"/>
    <w:qFormat/>
    <w:rsid w:val="00A6271B"/>
    <w:pPr>
      <w:spacing w:after="0" w:line="240" w:lineRule="auto"/>
      <w:ind w:left="720"/>
    </w:pPr>
    <w:rPr>
      <w:rFonts w:ascii="Calibri" w:hAnsi="Calibri" w:cs="Calibri"/>
    </w:rPr>
  </w:style>
  <w:style w:type="character" w:styleId="a6">
    <w:name w:val="footnote reference"/>
    <w:aliases w:val="fr,Used by Word for Help footnote symbols,Знак сноски-FN,Знак сноски 1,Ciae niinee-FN,Referencia nota al pie,ftref,сноска,Знак сноски Даша,вески,SUPERS,Знак сноски1,ХИА_ЗС,Текст сноски Знак2 Знак Знак1,ftre,Текст сноски Знак1 Знак Знак Знак1"/>
    <w:basedOn w:val="a0"/>
    <w:link w:val="CharChar1CharCharCharChar1CharCharCharCharCharCharCharChar"/>
    <w:unhideWhenUsed/>
    <w:qFormat/>
    <w:rsid w:val="00A6271B"/>
    <w:rPr>
      <w:vertAlign w:val="superscript"/>
    </w:rPr>
  </w:style>
  <w:style w:type="paragraph" w:styleId="a7">
    <w:name w:val="footnote text"/>
    <w:aliases w:val="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Текст сноски Знак Знак,Текст сноски Знак11, Знак2,Знак2,З,Текст сноски Зн"/>
    <w:basedOn w:val="a"/>
    <w:link w:val="a8"/>
    <w:uiPriority w:val="99"/>
    <w:unhideWhenUsed/>
    <w:qFormat/>
    <w:rsid w:val="00A6271B"/>
    <w:pPr>
      <w:spacing w:after="0" w:line="240" w:lineRule="auto"/>
    </w:pPr>
    <w:rPr>
      <w:sz w:val="20"/>
      <w:szCs w:val="20"/>
    </w:rPr>
  </w:style>
  <w:style w:type="character" w:customStyle="1" w:styleId="a8">
    <w:name w:val="Текст сноски Знак"/>
    <w:aliases w:val="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1 Знак1,Текст сноски Знак Знак Знак2"/>
    <w:basedOn w:val="a0"/>
    <w:link w:val="a7"/>
    <w:uiPriority w:val="99"/>
    <w:qFormat/>
    <w:rsid w:val="00A6271B"/>
    <w:rPr>
      <w:sz w:val="20"/>
      <w:szCs w:val="20"/>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6"/>
    <w:uiPriority w:val="99"/>
    <w:rsid w:val="00A6271B"/>
    <w:pPr>
      <w:spacing w:after="160" w:line="240" w:lineRule="exact"/>
      <w:jc w:val="both"/>
    </w:pPr>
    <w:rPr>
      <w:vertAlign w:val="superscript"/>
    </w:rPr>
  </w:style>
  <w:style w:type="paragraph" w:customStyle="1" w:styleId="Default">
    <w:name w:val="Default"/>
    <w:rsid w:val="00A6271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3"/>
    <w:uiPriority w:val="39"/>
    <w:rsid w:val="008B2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Bullet_IRAO Знак,Абзац списка для документа Знак,Stages  (bullets) Знак,Заголовок_3 Знак,Мой Список Знак,AC List 01 Знак,Подпись рисунка Знак,Table-Normal Знак,RSHB_Table-Normal Знак,List Paragraph1 Знак,List Paragraph Знак,ARIAL Знак"/>
    <w:basedOn w:val="a0"/>
    <w:link w:val="a4"/>
    <w:uiPriority w:val="34"/>
    <w:locked/>
    <w:rsid w:val="00B7634D"/>
    <w:rPr>
      <w:rFonts w:ascii="Calibri" w:hAnsi="Calibri" w:cs="Calibri"/>
    </w:rPr>
  </w:style>
  <w:style w:type="paragraph" w:customStyle="1" w:styleId="a9">
    <w:name w:val="Прижатый влево"/>
    <w:basedOn w:val="a"/>
    <w:next w:val="a"/>
    <w:uiPriority w:val="99"/>
    <w:rsid w:val="00B7634D"/>
    <w:pPr>
      <w:autoSpaceDE w:val="0"/>
      <w:autoSpaceDN w:val="0"/>
      <w:adjustRightInd w:val="0"/>
      <w:spacing w:after="0" w:line="240" w:lineRule="auto"/>
    </w:pPr>
    <w:rPr>
      <w:rFonts w:ascii="Arial" w:hAnsi="Arial" w:cs="Arial"/>
      <w:sz w:val="24"/>
      <w:szCs w:val="24"/>
    </w:rPr>
  </w:style>
  <w:style w:type="paragraph" w:styleId="aa">
    <w:name w:val="No Spacing"/>
    <w:uiPriority w:val="1"/>
    <w:qFormat/>
    <w:rsid w:val="00891552"/>
    <w:pPr>
      <w:spacing w:after="0" w:line="240" w:lineRule="auto"/>
    </w:pPr>
    <w:rPr>
      <w:rFonts w:ascii="Calibri" w:eastAsia="Calibri" w:hAnsi="Calibri" w:cs="Times New Roman"/>
    </w:rPr>
  </w:style>
  <w:style w:type="character" w:customStyle="1" w:styleId="ab">
    <w:name w:val="Основной текст_"/>
    <w:basedOn w:val="a0"/>
    <w:link w:val="12"/>
    <w:rsid w:val="0043059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b"/>
    <w:rsid w:val="00430593"/>
    <w:pPr>
      <w:widowControl w:val="0"/>
      <w:shd w:val="clear" w:color="auto" w:fill="FFFFFF"/>
      <w:spacing w:after="170" w:line="360" w:lineRule="auto"/>
      <w:ind w:firstLine="400"/>
    </w:pPr>
    <w:rPr>
      <w:rFonts w:ascii="Times New Roman" w:eastAsia="Times New Roman" w:hAnsi="Times New Roman" w:cs="Times New Roman"/>
      <w:sz w:val="28"/>
      <w:szCs w:val="28"/>
    </w:rPr>
  </w:style>
  <w:style w:type="character" w:customStyle="1" w:styleId="13">
    <w:name w:val="Гиперссылка1"/>
    <w:basedOn w:val="a0"/>
    <w:uiPriority w:val="99"/>
    <w:unhideWhenUsed/>
    <w:rsid w:val="002E5A9D"/>
    <w:rPr>
      <w:color w:val="0563C1"/>
      <w:u w:val="single"/>
    </w:rPr>
  </w:style>
  <w:style w:type="character" w:styleId="ac">
    <w:name w:val="Hyperlink"/>
    <w:basedOn w:val="a0"/>
    <w:uiPriority w:val="99"/>
    <w:unhideWhenUsed/>
    <w:rsid w:val="002E5A9D"/>
    <w:rPr>
      <w:color w:val="0563C1" w:themeColor="hyperlink"/>
      <w:u w:val="single"/>
    </w:rPr>
  </w:style>
  <w:style w:type="character" w:customStyle="1" w:styleId="link">
    <w:name w:val="link"/>
    <w:basedOn w:val="a0"/>
    <w:rsid w:val="00604FAB"/>
  </w:style>
  <w:style w:type="paragraph" w:styleId="ad">
    <w:name w:val="Normal (Web)"/>
    <w:basedOn w:val="a"/>
    <w:uiPriority w:val="99"/>
    <w:unhideWhenUsed/>
    <w:rsid w:val="000E3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E365E"/>
    <w:rPr>
      <w:rFonts w:asciiTheme="majorHAnsi" w:eastAsiaTheme="majorEastAsia" w:hAnsiTheme="majorHAnsi" w:cstheme="majorBidi"/>
      <w:color w:val="2E74B5" w:themeColor="accent1" w:themeShade="BF"/>
      <w:sz w:val="32"/>
      <w:szCs w:val="32"/>
      <w:lang w:eastAsia="ru-RU"/>
    </w:rPr>
  </w:style>
  <w:style w:type="character" w:customStyle="1" w:styleId="ae">
    <w:name w:val="Текст таблицы"/>
    <w:uiPriority w:val="99"/>
    <w:rsid w:val="00177242"/>
    <w:rPr>
      <w:rFonts w:ascii="Times New Roman" w:hAnsi="Times New Roman" w:cs="Times New Roman" w:hint="default"/>
    </w:rPr>
  </w:style>
  <w:style w:type="paragraph" w:styleId="HTML">
    <w:name w:val="HTML Preformatted"/>
    <w:basedOn w:val="a"/>
    <w:link w:val="HTML0"/>
    <w:uiPriority w:val="99"/>
    <w:unhideWhenUsed/>
    <w:rsid w:val="00E14B8D"/>
    <w:pPr>
      <w:spacing w:after="0" w:line="240" w:lineRule="auto"/>
    </w:pPr>
    <w:rPr>
      <w:rFonts w:ascii="Consolas" w:eastAsia="Times New Roman" w:hAnsi="Consolas" w:cs="Times New Roman"/>
      <w:sz w:val="20"/>
      <w:szCs w:val="20"/>
      <w:lang w:eastAsia="ru-RU"/>
    </w:rPr>
  </w:style>
  <w:style w:type="character" w:customStyle="1" w:styleId="HTML0">
    <w:name w:val="Стандартный HTML Знак"/>
    <w:basedOn w:val="a0"/>
    <w:link w:val="HTML"/>
    <w:uiPriority w:val="99"/>
    <w:rsid w:val="00E14B8D"/>
    <w:rPr>
      <w:rFonts w:ascii="Consolas" w:eastAsia="Times New Roman" w:hAnsi="Consolas" w:cs="Times New Roman"/>
      <w:sz w:val="20"/>
      <w:szCs w:val="20"/>
      <w:lang w:eastAsia="ru-RU"/>
    </w:rPr>
  </w:style>
  <w:style w:type="paragraph" w:customStyle="1" w:styleId="110">
    <w:name w:val="Знак1 Знак1"/>
    <w:basedOn w:val="a"/>
    <w:next w:val="a7"/>
    <w:unhideWhenUsed/>
    <w:rsid w:val="00514A95"/>
    <w:pPr>
      <w:spacing w:after="0" w:line="240" w:lineRule="auto"/>
    </w:pPr>
    <w:rPr>
      <w:sz w:val="20"/>
      <w:szCs w:val="20"/>
    </w:rPr>
  </w:style>
  <w:style w:type="paragraph" w:styleId="af">
    <w:name w:val="Balloon Text"/>
    <w:basedOn w:val="a"/>
    <w:link w:val="af0"/>
    <w:uiPriority w:val="99"/>
    <w:semiHidden/>
    <w:unhideWhenUsed/>
    <w:rsid w:val="005C6A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C6A7F"/>
    <w:rPr>
      <w:rFonts w:ascii="Segoe UI" w:hAnsi="Segoe UI" w:cs="Segoe UI"/>
      <w:sz w:val="18"/>
      <w:szCs w:val="18"/>
    </w:rPr>
  </w:style>
  <w:style w:type="table" w:customStyle="1" w:styleId="2">
    <w:name w:val="Сетка таблицы2"/>
    <w:basedOn w:val="a1"/>
    <w:next w:val="a3"/>
    <w:uiPriority w:val="39"/>
    <w:rsid w:val="00D4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unhideWhenUsed/>
    <w:rsid w:val="00566CB8"/>
    <w:pPr>
      <w:spacing w:after="0" w:line="240" w:lineRule="auto"/>
    </w:pPr>
    <w:rPr>
      <w:rFonts w:ascii="Helvetica Neue" w:hAnsi="Helvetica Neue" w:cs="Times New Roman"/>
      <w:color w:val="000000"/>
      <w:lang w:eastAsia="ru-RU"/>
    </w:rPr>
  </w:style>
  <w:style w:type="character" w:customStyle="1" w:styleId="af2">
    <w:name w:val="Основной текст Знак"/>
    <w:basedOn w:val="a0"/>
    <w:link w:val="af1"/>
    <w:uiPriority w:val="99"/>
    <w:rsid w:val="00566CB8"/>
    <w:rPr>
      <w:rFonts w:ascii="Helvetica Neue" w:hAnsi="Helvetica Neue" w:cs="Times New Roman"/>
      <w:color w:val="000000"/>
      <w:lang w:eastAsia="ru-RU"/>
    </w:rPr>
  </w:style>
  <w:style w:type="paragraph" w:styleId="af3">
    <w:name w:val="header"/>
    <w:basedOn w:val="a"/>
    <w:link w:val="af4"/>
    <w:uiPriority w:val="99"/>
    <w:unhideWhenUsed/>
    <w:rsid w:val="00566CB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566CB8"/>
    <w:rPr>
      <w:rFonts w:ascii="Times New Roman" w:eastAsia="Times New Roman" w:hAnsi="Times New Roman" w:cs="Times New Roman"/>
      <w:sz w:val="24"/>
      <w:szCs w:val="24"/>
      <w:lang w:eastAsia="ru-RU"/>
    </w:rPr>
  </w:style>
  <w:style w:type="character" w:customStyle="1" w:styleId="af5">
    <w:name w:val="Сноска_"/>
    <w:basedOn w:val="a0"/>
    <w:link w:val="af6"/>
    <w:locked/>
    <w:rsid w:val="005C3FE1"/>
    <w:rPr>
      <w:rFonts w:ascii="Times New Roman" w:eastAsia="Times New Roman" w:hAnsi="Times New Roman" w:cs="Times New Roman"/>
      <w:sz w:val="20"/>
      <w:szCs w:val="20"/>
      <w:shd w:val="clear" w:color="auto" w:fill="FFFFFF"/>
    </w:rPr>
  </w:style>
  <w:style w:type="paragraph" w:customStyle="1" w:styleId="af6">
    <w:name w:val="Сноска"/>
    <w:basedOn w:val="a"/>
    <w:link w:val="af5"/>
    <w:rsid w:val="005C3FE1"/>
    <w:pPr>
      <w:widowControl w:val="0"/>
      <w:shd w:val="clear" w:color="auto" w:fill="FFFFFF"/>
      <w:spacing w:after="0" w:line="240" w:lineRule="auto"/>
      <w:ind w:left="540" w:right="460"/>
    </w:pPr>
    <w:rPr>
      <w:rFonts w:ascii="Times New Roman" w:eastAsia="Times New Roman" w:hAnsi="Times New Roman" w:cs="Times New Roman"/>
      <w:sz w:val="20"/>
      <w:szCs w:val="20"/>
    </w:rPr>
  </w:style>
  <w:style w:type="paragraph" w:styleId="af7">
    <w:name w:val="annotation text"/>
    <w:basedOn w:val="a"/>
    <w:link w:val="af8"/>
    <w:uiPriority w:val="99"/>
    <w:semiHidden/>
    <w:unhideWhenUsed/>
    <w:rsid w:val="004568B4"/>
    <w:pPr>
      <w:spacing w:after="160" w:line="240" w:lineRule="auto"/>
    </w:pPr>
    <w:rPr>
      <w:sz w:val="20"/>
      <w:szCs w:val="20"/>
    </w:rPr>
  </w:style>
  <w:style w:type="character" w:customStyle="1" w:styleId="af8">
    <w:name w:val="Текст примечания Знак"/>
    <w:basedOn w:val="a0"/>
    <w:link w:val="af7"/>
    <w:uiPriority w:val="99"/>
    <w:semiHidden/>
    <w:rsid w:val="004568B4"/>
    <w:rPr>
      <w:sz w:val="20"/>
      <w:szCs w:val="20"/>
    </w:rPr>
  </w:style>
  <w:style w:type="paragraph" w:styleId="af9">
    <w:name w:val="TOC Heading"/>
    <w:basedOn w:val="1"/>
    <w:next w:val="a"/>
    <w:uiPriority w:val="39"/>
    <w:unhideWhenUsed/>
    <w:qFormat/>
    <w:rsid w:val="00296936"/>
    <w:pPr>
      <w:spacing w:line="259" w:lineRule="auto"/>
      <w:outlineLvl w:val="9"/>
    </w:pPr>
  </w:style>
  <w:style w:type="paragraph" w:styleId="14">
    <w:name w:val="toc 1"/>
    <w:basedOn w:val="a"/>
    <w:next w:val="a"/>
    <w:autoRedefine/>
    <w:uiPriority w:val="39"/>
    <w:unhideWhenUsed/>
    <w:rsid w:val="00296936"/>
    <w:pPr>
      <w:spacing w:after="100"/>
    </w:pPr>
  </w:style>
  <w:style w:type="paragraph" w:styleId="afa">
    <w:name w:val="footer"/>
    <w:basedOn w:val="a"/>
    <w:link w:val="afb"/>
    <w:uiPriority w:val="99"/>
    <w:unhideWhenUsed/>
    <w:rsid w:val="0029693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296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3140">
      <w:bodyDiv w:val="1"/>
      <w:marLeft w:val="0"/>
      <w:marRight w:val="0"/>
      <w:marTop w:val="0"/>
      <w:marBottom w:val="0"/>
      <w:divBdr>
        <w:top w:val="none" w:sz="0" w:space="0" w:color="auto"/>
        <w:left w:val="none" w:sz="0" w:space="0" w:color="auto"/>
        <w:bottom w:val="none" w:sz="0" w:space="0" w:color="auto"/>
        <w:right w:val="none" w:sz="0" w:space="0" w:color="auto"/>
      </w:divBdr>
    </w:div>
    <w:div w:id="641471116">
      <w:bodyDiv w:val="1"/>
      <w:marLeft w:val="0"/>
      <w:marRight w:val="0"/>
      <w:marTop w:val="0"/>
      <w:marBottom w:val="0"/>
      <w:divBdr>
        <w:top w:val="none" w:sz="0" w:space="0" w:color="auto"/>
        <w:left w:val="none" w:sz="0" w:space="0" w:color="auto"/>
        <w:bottom w:val="none" w:sz="0" w:space="0" w:color="auto"/>
        <w:right w:val="none" w:sz="0" w:space="0" w:color="auto"/>
      </w:divBdr>
    </w:div>
    <w:div w:id="721556762">
      <w:bodyDiv w:val="1"/>
      <w:marLeft w:val="0"/>
      <w:marRight w:val="0"/>
      <w:marTop w:val="0"/>
      <w:marBottom w:val="0"/>
      <w:divBdr>
        <w:top w:val="none" w:sz="0" w:space="0" w:color="auto"/>
        <w:left w:val="none" w:sz="0" w:space="0" w:color="auto"/>
        <w:bottom w:val="none" w:sz="0" w:space="0" w:color="auto"/>
        <w:right w:val="none" w:sz="0" w:space="0" w:color="auto"/>
      </w:divBdr>
    </w:div>
    <w:div w:id="942959638">
      <w:bodyDiv w:val="1"/>
      <w:marLeft w:val="0"/>
      <w:marRight w:val="0"/>
      <w:marTop w:val="0"/>
      <w:marBottom w:val="0"/>
      <w:divBdr>
        <w:top w:val="none" w:sz="0" w:space="0" w:color="auto"/>
        <w:left w:val="none" w:sz="0" w:space="0" w:color="auto"/>
        <w:bottom w:val="none" w:sz="0" w:space="0" w:color="auto"/>
        <w:right w:val="none" w:sz="0" w:space="0" w:color="auto"/>
      </w:divBdr>
    </w:div>
    <w:div w:id="1066879242">
      <w:bodyDiv w:val="1"/>
      <w:marLeft w:val="0"/>
      <w:marRight w:val="0"/>
      <w:marTop w:val="0"/>
      <w:marBottom w:val="0"/>
      <w:divBdr>
        <w:top w:val="none" w:sz="0" w:space="0" w:color="auto"/>
        <w:left w:val="none" w:sz="0" w:space="0" w:color="auto"/>
        <w:bottom w:val="none" w:sz="0" w:space="0" w:color="auto"/>
        <w:right w:val="none" w:sz="0" w:space="0" w:color="auto"/>
      </w:divBdr>
    </w:div>
    <w:div w:id="1098254953">
      <w:bodyDiv w:val="1"/>
      <w:marLeft w:val="0"/>
      <w:marRight w:val="0"/>
      <w:marTop w:val="0"/>
      <w:marBottom w:val="0"/>
      <w:divBdr>
        <w:top w:val="none" w:sz="0" w:space="0" w:color="auto"/>
        <w:left w:val="none" w:sz="0" w:space="0" w:color="auto"/>
        <w:bottom w:val="none" w:sz="0" w:space="0" w:color="auto"/>
        <w:right w:val="none" w:sz="0" w:space="0" w:color="auto"/>
      </w:divBdr>
    </w:div>
    <w:div w:id="1291279146">
      <w:bodyDiv w:val="1"/>
      <w:marLeft w:val="0"/>
      <w:marRight w:val="0"/>
      <w:marTop w:val="0"/>
      <w:marBottom w:val="0"/>
      <w:divBdr>
        <w:top w:val="none" w:sz="0" w:space="0" w:color="auto"/>
        <w:left w:val="none" w:sz="0" w:space="0" w:color="auto"/>
        <w:bottom w:val="none" w:sz="0" w:space="0" w:color="auto"/>
        <w:right w:val="none" w:sz="0" w:space="0" w:color="auto"/>
      </w:divBdr>
    </w:div>
    <w:div w:id="1390106448">
      <w:bodyDiv w:val="1"/>
      <w:marLeft w:val="0"/>
      <w:marRight w:val="0"/>
      <w:marTop w:val="0"/>
      <w:marBottom w:val="0"/>
      <w:divBdr>
        <w:top w:val="none" w:sz="0" w:space="0" w:color="auto"/>
        <w:left w:val="none" w:sz="0" w:space="0" w:color="auto"/>
        <w:bottom w:val="none" w:sz="0" w:space="0" w:color="auto"/>
        <w:right w:val="none" w:sz="0" w:space="0" w:color="auto"/>
      </w:divBdr>
    </w:div>
    <w:div w:id="1806894902">
      <w:bodyDiv w:val="1"/>
      <w:marLeft w:val="0"/>
      <w:marRight w:val="0"/>
      <w:marTop w:val="0"/>
      <w:marBottom w:val="0"/>
      <w:divBdr>
        <w:top w:val="none" w:sz="0" w:space="0" w:color="auto"/>
        <w:left w:val="none" w:sz="0" w:space="0" w:color="auto"/>
        <w:bottom w:val="none" w:sz="0" w:space="0" w:color="auto"/>
        <w:right w:val="none" w:sz="0" w:space="0" w:color="auto"/>
      </w:divBdr>
    </w:div>
    <w:div w:id="199675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2453-D814-45B1-833B-B98C03EB7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8733</Words>
  <Characters>49779</Characters>
  <DocSecurity>4</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2021-03-25T18:29:00Z</dcterms:created>
  <dcterms:modified xsi:type="dcterms:W3CDTF">2021-03-25T18:29:00Z</dcterms:modified>
</cp:coreProperties>
</file>