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3F52" w14:textId="5C44A617" w:rsidR="0014538B" w:rsidRPr="001F21F5" w:rsidRDefault="0014538B" w:rsidP="0014538B">
      <w:pPr>
        <w:jc w:val="right"/>
        <w:rPr>
          <w:rFonts w:ascii="Times New Roman" w:hAnsi="Times New Roman" w:cs="Times New Roman"/>
          <w:sz w:val="26"/>
          <w:szCs w:val="26"/>
        </w:rPr>
      </w:pPr>
      <w:r w:rsidRPr="001F21F5">
        <w:rPr>
          <w:rFonts w:ascii="Times New Roman" w:hAnsi="Times New Roman" w:cs="Times New Roman"/>
          <w:sz w:val="26"/>
          <w:szCs w:val="26"/>
        </w:rPr>
        <w:t xml:space="preserve">Приложение к письму от </w:t>
      </w:r>
      <w:r w:rsidR="00966068">
        <w:rPr>
          <w:rFonts w:ascii="Times New Roman" w:hAnsi="Times New Roman" w:cs="Times New Roman"/>
          <w:sz w:val="26"/>
          <w:szCs w:val="26"/>
        </w:rPr>
        <w:t>10</w:t>
      </w:r>
      <w:r w:rsidRPr="001F21F5">
        <w:rPr>
          <w:rFonts w:ascii="Times New Roman" w:hAnsi="Times New Roman" w:cs="Times New Roman"/>
          <w:sz w:val="26"/>
          <w:szCs w:val="26"/>
        </w:rPr>
        <w:t>.08.2020 № 02-05/</w:t>
      </w:r>
      <w:r w:rsidR="00966068">
        <w:rPr>
          <w:rFonts w:ascii="Times New Roman" w:hAnsi="Times New Roman" w:cs="Times New Roman"/>
          <w:sz w:val="26"/>
          <w:szCs w:val="26"/>
        </w:rPr>
        <w:t>579</w:t>
      </w:r>
      <w:r w:rsidRPr="001F21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FDF565" w14:textId="77777777" w:rsidR="0014538B" w:rsidRDefault="0014538B" w:rsidP="0014538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3BBFDE7" w14:textId="394E3EF4" w:rsidR="0014538B" w:rsidRDefault="0014538B" w:rsidP="001453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вопросы</w:t>
      </w:r>
    </w:p>
    <w:p w14:paraId="0E087B6F" w14:textId="77777777" w:rsidR="0014538B" w:rsidRDefault="0014538B" w:rsidP="001453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порядку применения </w:t>
      </w:r>
      <w:bookmarkStart w:id="0" w:name="_Hlk47448032"/>
      <w:r>
        <w:rPr>
          <w:rFonts w:ascii="Times New Roman" w:hAnsi="Times New Roman" w:cs="Times New Roman"/>
          <w:sz w:val="26"/>
          <w:szCs w:val="26"/>
        </w:rPr>
        <w:t>Методических рекомендаций Банка России от 09.07.2020 № 8-МР «О расчете величины процентного риска по активам (требованиям) и обязательствам (пассивам) кредитной организации (банковской группы)»</w:t>
      </w:r>
    </w:p>
    <w:bookmarkEnd w:id="0"/>
    <w:p w14:paraId="7674162E" w14:textId="77777777" w:rsidR="0014538B" w:rsidRPr="001F21F5" w:rsidRDefault="0014538B" w:rsidP="0014538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83E024" w14:textId="77777777" w:rsidR="0014538B" w:rsidRDefault="0014538B" w:rsidP="001453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213"/>
        <w:gridCol w:w="4359"/>
      </w:tblGrid>
      <w:tr w:rsidR="0014538B" w14:paraId="739EE2D6" w14:textId="77777777" w:rsidTr="00974F77">
        <w:tc>
          <w:tcPr>
            <w:tcW w:w="988" w:type="dxa"/>
          </w:tcPr>
          <w:p w14:paraId="043AA19E" w14:textId="77777777" w:rsidR="0014538B" w:rsidRDefault="0014538B" w:rsidP="0097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56EA63" w14:textId="77777777" w:rsidR="0014538B" w:rsidRDefault="0014538B" w:rsidP="00974F77"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674" w14:textId="0C282448" w:rsidR="0014538B" w:rsidRDefault="0014538B" w:rsidP="00974F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вопросов / групп вопросов и </w:t>
            </w:r>
            <w:r w:rsidR="00325A45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57E" w14:textId="77777777" w:rsidR="0014538B" w:rsidRDefault="0014538B" w:rsidP="00974F77">
            <w:r>
              <w:rPr>
                <w:rFonts w:ascii="Times New Roman" w:hAnsi="Times New Roman" w:cs="Times New Roman"/>
                <w:sz w:val="24"/>
                <w:szCs w:val="24"/>
              </w:rPr>
              <w:t>Пояснение (при наличии)</w:t>
            </w:r>
          </w:p>
        </w:tc>
      </w:tr>
      <w:tr w:rsidR="0019265B" w14:paraId="0CD90EB0" w14:textId="77777777" w:rsidTr="00974F77">
        <w:tc>
          <w:tcPr>
            <w:tcW w:w="988" w:type="dxa"/>
          </w:tcPr>
          <w:p w14:paraId="37BAE964" w14:textId="4D1C5AC8" w:rsidR="0019265B" w:rsidRPr="00501423" w:rsidRDefault="0019265B" w:rsidP="005014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F21" w14:textId="46F078D2" w:rsidR="0019265B" w:rsidRPr="0019265B" w:rsidRDefault="001652F5" w:rsidP="0016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65B" w:rsidRPr="0019265B">
              <w:rPr>
                <w:rFonts w:ascii="Times New Roman" w:hAnsi="Times New Roman" w:cs="Times New Roman"/>
                <w:sz w:val="24"/>
                <w:szCs w:val="24"/>
              </w:rPr>
              <w:t xml:space="preserve"> какие сроки и с каким регламентом предполагается разработка требований и внедрение обязательной отчетности по ПРБП в соответствии с новым подходом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C7AF2EB" w14:textId="77777777" w:rsidR="001652F5" w:rsidRDefault="001652F5" w:rsidP="0016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6118" w14:textId="44EE13D0" w:rsidR="0019265B" w:rsidRDefault="001652F5" w:rsidP="0016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65B" w:rsidRPr="0019265B">
              <w:rPr>
                <w:rFonts w:ascii="Times New Roman" w:hAnsi="Times New Roman" w:cs="Times New Roman"/>
                <w:sz w:val="24"/>
                <w:szCs w:val="24"/>
              </w:rPr>
              <w:t xml:space="preserve"> какие сроки планируется начать применение величины ПРБП для оценки экономического положения 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F4D" w14:textId="30A7314F" w:rsidR="0019265B" w:rsidRDefault="002921A2" w:rsidP="0016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расчетов по Методическим </w:t>
            </w:r>
            <w:r w:rsidR="001652F5" w:rsidRPr="0019265B">
              <w:rPr>
                <w:rFonts w:ascii="Times New Roman" w:hAnsi="Times New Roman" w:cs="Times New Roman"/>
                <w:sz w:val="24"/>
                <w:szCs w:val="24"/>
              </w:rPr>
              <w:t>рекомендациям потребует</w:t>
            </w:r>
            <w:r w:rsidRPr="0019265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доработок информационных систем банков.</w:t>
            </w:r>
          </w:p>
        </w:tc>
      </w:tr>
      <w:tr w:rsidR="0014538B" w14:paraId="5C622138" w14:textId="77777777" w:rsidTr="00974F77">
        <w:tc>
          <w:tcPr>
            <w:tcW w:w="988" w:type="dxa"/>
          </w:tcPr>
          <w:p w14:paraId="31711132" w14:textId="77777777" w:rsidR="0014538B" w:rsidRPr="00501423" w:rsidRDefault="0014538B" w:rsidP="005014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1366922F" w14:textId="25697FF7" w:rsidR="0019265B" w:rsidRPr="00BC4C5B" w:rsidRDefault="00325A45" w:rsidP="001926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9265B" w:rsidRPr="00BC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главе 1.</w:t>
            </w:r>
          </w:p>
          <w:p w14:paraId="6102C2DB" w14:textId="72050824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25A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сли конверсионные операции (FX своп, форвард, спот), заключенные в целях управления риском ликвидности в соответствии с п</w:t>
            </w:r>
            <w:r w:rsidR="0032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унктом 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1.2 предполагается включать в оценку ПРБП, то необходима рекомендация Банка России относительно размера процентной ставки по таким инструментам, и рекомендация по включению/не включению  их в массив сделок для расчета базовой ставки дисконтирования (абзац второй п.3.2.).</w:t>
            </w:r>
          </w:p>
          <w:p w14:paraId="41FA24B9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1684E8" w14:textId="4B029E39" w:rsidR="00325A45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2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повторно: </w:t>
            </w:r>
          </w:p>
          <w:p w14:paraId="6B232246" w14:textId="3F105EED" w:rsidR="0019265B" w:rsidRPr="0019265B" w:rsidRDefault="00325A45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9265B"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редставляется логичным лимитировать величину ЭСК также в процентах от величины собственных средств (капитала), а не основного капитала. </w:t>
            </w:r>
          </w:p>
          <w:p w14:paraId="5A72A477" w14:textId="5D952DF1" w:rsidR="0019265B" w:rsidRPr="0019265B" w:rsidRDefault="00325A45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9265B"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исключения влияния непроцентных расходов/доходов, а также результата по торговым и прочим операциям, не входящим в состав Банковской книги, на чувствительность Банковской книги к процентному риску представляется целесообразным соотносить величину риска, рассчитанную методом оценки ЧПД, не с величиной прибыли до налогообложения, а с чистым процентным доходом.</w:t>
            </w:r>
          </w:p>
          <w:p w14:paraId="7B1C4564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9EF735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Учитывая изложенное, представляется целесообразным скорректировать редакцию пункта 1.5.</w:t>
            </w:r>
          </w:p>
          <w:p w14:paraId="1B7E52B2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7311B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3CCB9" w14:textId="54594FB2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Требует пояснения п.1.6.2, какие виды операций имеются в виду. Для однозначности восприятия необходимо привести примеры таких инструментов.</w:t>
            </w:r>
          </w:p>
          <w:p w14:paraId="07B1AEFA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25129" w14:textId="708FBE82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Из второго абзаца п. 1.7 представляется целесообразным исключить слова «(за исключением неконвертируемых привилегированных акций …о невыплате или неполной выплате дивидендов)».  </w:t>
            </w:r>
          </w:p>
          <w:p w14:paraId="5BDDB46F" w14:textId="77777777" w:rsidR="00BC4C5B" w:rsidRDefault="00BC4C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EB6A2" w14:textId="64C45AD6" w:rsid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В п.1.8 представляется целесообразным исключать резервы на возможные потери при расчете ПРПБ методами оценки ЭСК и ЧПД вне зависимости от способа определения ставок дисконтирования денежных потоков.</w:t>
            </w:r>
          </w:p>
          <w:p w14:paraId="404F2D9C" w14:textId="77777777" w:rsidR="00325A45" w:rsidRPr="0019265B" w:rsidRDefault="00325A45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C9D0E" w14:textId="0731FA00" w:rsidR="0014538B" w:rsidRPr="00FA7E02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п.1.9. не указано, какую совокупную величину активов или обязательств использовать при определении значимости валюты при расчете ПРБП по банковской группе. В МР указана форма 0409806, которая составляется только по </w:t>
            </w:r>
            <w:r w:rsidR="00325A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анку.</w:t>
            </w:r>
          </w:p>
        </w:tc>
        <w:tc>
          <w:tcPr>
            <w:tcW w:w="4359" w:type="dxa"/>
          </w:tcPr>
          <w:p w14:paraId="67ABE589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95645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5B22D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C67E7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C67CB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D9448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77ECE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8ADE7" w14:textId="77777777" w:rsidR="00325A45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D3984" w14:textId="77777777" w:rsidR="00BC4C5B" w:rsidRDefault="00BC4C5B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515C0" w14:textId="75EB60CB" w:rsidR="00325A45" w:rsidRPr="0019265B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Предельные значения величин ПРБП предлагается устанавливать в процентах от величины основного капитала банка/группы (метод ЭСК) и от величины прибыли до налогообложения (метод ЧПД). </w:t>
            </w:r>
          </w:p>
          <w:p w14:paraId="1FD04037" w14:textId="46FA4868" w:rsidR="00325A45" w:rsidRPr="0019265B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в соответствии с Инструкцией Банка России от 28 декабря 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178-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«Об установлении размеров (лимитов) открытых валютных позиций, методике их расчета и особенностях осуществления надзора за их соблюдением кредитными организациями» </w:t>
            </w:r>
          </w:p>
          <w:p w14:paraId="133C532D" w14:textId="7DED23D1" w:rsidR="00325A45" w:rsidRPr="0019265B" w:rsidRDefault="00325A45" w:rsidP="00325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(лимиты) ОВП рассчитываются как соотношение открытых валютных позиций и собственных средств (капитала) кредитных организаций. Также в рамках требований по ВПОДК (согласно 3624-У) и при расчете показателя уровня процентного риска (ПР согласно 4336-У) в расчетах используется весь объем капитала кредитной организации.</w:t>
            </w:r>
          </w:p>
          <w:p w14:paraId="7B71EB70" w14:textId="77777777" w:rsidR="0014538B" w:rsidRPr="002E4227" w:rsidRDefault="0014538B" w:rsidP="0097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B" w14:paraId="2DDE451B" w14:textId="77777777" w:rsidTr="00974F77">
        <w:tc>
          <w:tcPr>
            <w:tcW w:w="988" w:type="dxa"/>
          </w:tcPr>
          <w:p w14:paraId="54A3C9A1" w14:textId="77777777" w:rsidR="0014538B" w:rsidRPr="00501423" w:rsidRDefault="0014538B" w:rsidP="005014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22D586DD" w14:textId="1058455B" w:rsidR="0019265B" w:rsidRPr="00BC4C5B" w:rsidRDefault="00325A45" w:rsidP="001926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9265B" w:rsidRPr="00BC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главе 2.</w:t>
            </w:r>
          </w:p>
          <w:p w14:paraId="74A39EC7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35CA8" w14:textId="15E12509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целях приведения нормативной базы к стандартам БКБН считаем целесообразным изложить пункт 2.3 в следующей редакции: </w:t>
            </w:r>
          </w:p>
          <w:p w14:paraId="5976A3CC" w14:textId="79567E0B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«2.3. Кредитной организации (головной кредитной организации банковской группы) рекомендуется относить потоки денежных средств по позициям, за исключением нестандартизируемых позиций, к временным бакетам по дате пересмотра процентной ставки либо к серединам временных интервалов, приведенных в приложении к настоящим Методическим рекомендациям, в которые потоки денежных средств классифицируются в соответствии с условиями договора с учетом следующего:»</w:t>
            </w:r>
            <w:r w:rsidR="00BC4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76B23C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52BB5" w14:textId="70849993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C4C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редлагаем изложить первое предложение второго абзаца п.2.3.2. в следующей редакции:</w:t>
            </w:r>
          </w:p>
          <w:p w14:paraId="7B8294F4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«Потоки денежных средств по балансовым и внебалансовым инструментам с плавающей процентной ставкой в части платежей в счет уплаты процентов, фактическая величина которых является определенной на дату расчета ПРБП, рекомендуется распределять во временные интервалы исходя из срока до пересмотра (установления) процентной ставки, установленного договором.»</w:t>
            </w:r>
          </w:p>
          <w:p w14:paraId="5B99615B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B1462" w14:textId="0A3B8333" w:rsidR="0014538B" w:rsidRPr="00FA7E02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Представляется целесообразным исключать потоки денежных средств по процентным платежам при расчете ПРПБ методом оценки ЧПД.</w:t>
            </w:r>
          </w:p>
        </w:tc>
        <w:tc>
          <w:tcPr>
            <w:tcW w:w="4359" w:type="dxa"/>
          </w:tcPr>
          <w:p w14:paraId="3DFF2794" w14:textId="77777777" w:rsidR="00BC4C5B" w:rsidRPr="0019265B" w:rsidRDefault="00BC4C5B" w:rsidP="00BC4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101 Стандартов Базельского комитета по банковскому надзору по оценке процентного риска Банковской книги    предполагается два подхода к отнесению процентных инструментов во временные бакеты: </w:t>
            </w:r>
          </w:p>
          <w:p w14:paraId="009E1BAE" w14:textId="77777777" w:rsidR="00BC4C5B" w:rsidRPr="0019265B" w:rsidRDefault="00BC4C5B" w:rsidP="00BC4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дате пересмотра процентной ставки;</w:t>
            </w:r>
          </w:p>
          <w:p w14:paraId="4C989D8E" w14:textId="5D5AE7ED" w:rsidR="00BC4C5B" w:rsidRPr="0019265B" w:rsidRDefault="00BC4C5B" w:rsidP="00BC4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середине временного интервала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C9C6D9" w14:textId="03806989" w:rsidR="0014538B" w:rsidRPr="00BC4C5B" w:rsidRDefault="00BC4C5B" w:rsidP="00974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вторым абзацем п.2.3.2. процентные платежи по инструментам с плавающей ставкой, фактическая величина которых не определена на дату расчета, предлагается распределять во временные интервалы в сумме премии к плавающей ставке на сроки до погашения, при этом основной долг отражается по дате пересмотра ставки, что наступает ранее дат уплаты процентных платежей по фиксированной части.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а наш взгляд, представляется не совсем корректным.</w:t>
            </w:r>
          </w:p>
        </w:tc>
      </w:tr>
      <w:tr w:rsidR="0014538B" w14:paraId="7BA93226" w14:textId="77777777" w:rsidTr="00974F77">
        <w:tc>
          <w:tcPr>
            <w:tcW w:w="988" w:type="dxa"/>
          </w:tcPr>
          <w:p w14:paraId="71B522D9" w14:textId="77777777" w:rsidR="0014538B" w:rsidRPr="00501423" w:rsidRDefault="0014538B" w:rsidP="005014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02DDB72" w14:textId="29FB94DE" w:rsidR="0019265B" w:rsidRPr="00C944C9" w:rsidRDefault="00BC4C5B" w:rsidP="001926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9265B" w:rsidRPr="00C9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главе 3</w:t>
            </w:r>
          </w:p>
          <w:p w14:paraId="0A487EEE" w14:textId="77777777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88BFE" w14:textId="5AD93902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944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редставляется целесообразным разработать и использовать единую кривую ставок дисконтирования, которая будет применяться при расчете ПРБП во всех банках.</w:t>
            </w:r>
          </w:p>
          <w:p w14:paraId="3BB56D69" w14:textId="77777777" w:rsidR="00C944C9" w:rsidRDefault="00C944C9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F613F" w14:textId="1C888079" w:rsidR="0019265B" w:rsidRPr="0019265B" w:rsidRDefault="0019265B" w:rsidP="00192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альтернативного подхода просим рассмотреть возможность использования  при расчете базовых ставок дисконтирования внутренних трансфертных ставок, поскольку указанные ставки служат единым базисным элементом ценообразования как по активным (кредиты юридическим и физическим лицам), так и по пассивным (клиентские депозиты) операциям Банковской книги.</w:t>
            </w:r>
          </w:p>
          <w:p w14:paraId="4D06DAB0" w14:textId="77777777" w:rsidR="0014538B" w:rsidRPr="00FA7E02" w:rsidRDefault="0014538B" w:rsidP="00974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39429EE" w14:textId="77777777" w:rsidR="00C944C9" w:rsidRPr="0019265B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предлагают два способа определения базовых ставок дисконтирования для расчета ПРБП методом ЭСК:</w:t>
            </w:r>
          </w:p>
          <w:p w14:paraId="3619408A" w14:textId="77777777" w:rsidR="00C944C9" w:rsidRPr="0019265B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основе ставок по фактическим операциям;</w:t>
            </w:r>
          </w:p>
          <w:p w14:paraId="01CDC700" w14:textId="77777777" w:rsidR="00C944C9" w:rsidRPr="0019265B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основе безрисковых ставок (бескупонные государственные облигации) и скорректированных процентных платежей на маржу прибыли.</w:t>
            </w:r>
          </w:p>
          <w:p w14:paraId="233D03CE" w14:textId="581CF10A" w:rsidR="00C944C9" w:rsidRPr="0019265B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Оба предлагаемых способа определения базовой ставки дисконтирования не учитывают специфику отдельных банков, поскольку фактические ставки и маржа прибыли у банков может существенно отличаться, что не позволяет считать указанные методы стандартизированными. </w:t>
            </w:r>
          </w:p>
          <w:p w14:paraId="1B007585" w14:textId="6957DFA7" w:rsidR="0014538B" w:rsidRPr="00C944C9" w:rsidRDefault="00C944C9" w:rsidP="00974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5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при втором способе подход к определению маржи прибыли не определен как в данном документе, так и в документе IFRS, на который дается ссылка.</w:t>
            </w:r>
          </w:p>
        </w:tc>
      </w:tr>
      <w:tr w:rsidR="0019265B" w14:paraId="2CF5D2DC" w14:textId="77777777" w:rsidTr="00974F77">
        <w:tc>
          <w:tcPr>
            <w:tcW w:w="988" w:type="dxa"/>
          </w:tcPr>
          <w:p w14:paraId="339B74A1" w14:textId="77777777" w:rsidR="0019265B" w:rsidRPr="00501423" w:rsidRDefault="0019265B" w:rsidP="005014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06FBB9EC" w14:textId="5E83AFCD" w:rsidR="00C944C9" w:rsidRPr="00C944C9" w:rsidRDefault="00C944C9" w:rsidP="00C944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главе 4</w:t>
            </w:r>
          </w:p>
          <w:p w14:paraId="02184B9C" w14:textId="77777777" w:rsidR="00C944C9" w:rsidRPr="00C944C9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94DF9" w14:textId="1E976B2F" w:rsidR="00C944C9" w:rsidRPr="00C944C9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9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ПРБП методом ЧПД подразумевает оценку возможного снижения процентных доходов банка. Вместе с тем, указанная в п.4.3. формула использует максимум между нулем и рассчитанной величиной ΔЧПД, что исключает отрицательные значения. </w:t>
            </w:r>
          </w:p>
          <w:p w14:paraId="5AD15367" w14:textId="77777777" w:rsidR="00C944C9" w:rsidRPr="00C944C9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сопоставимой срочности активов и пассивов на горизонте 1 год и превышении объема обязательств над объемом требований рассчитанная по указанной формуле максимальная величина  ΔЧПД в рублях формируется при сценарии снижения ставок, что представляется нелогичным, поскольку при снижении ставок при таком направлении позиции чистый процентный доход банка должен увеличиваться. </w:t>
            </w:r>
          </w:p>
          <w:p w14:paraId="6DD61FAC" w14:textId="27B4AACA" w:rsidR="0019265B" w:rsidRPr="0019265B" w:rsidRDefault="00C944C9" w:rsidP="00C9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считаем целесообразным при оценке ПРБП методом ЧПД </w:t>
            </w:r>
            <w:r w:rsidR="00B36CDD" w:rsidRPr="00C944C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суммарное</w:t>
            </w:r>
            <w:r w:rsidRPr="00C9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ΔЧПД с учетом знака полученного результата в различных валютах.  </w:t>
            </w:r>
          </w:p>
        </w:tc>
        <w:tc>
          <w:tcPr>
            <w:tcW w:w="4359" w:type="dxa"/>
          </w:tcPr>
          <w:p w14:paraId="4A8A0BDC" w14:textId="77777777" w:rsidR="0019265B" w:rsidRPr="002E4227" w:rsidRDefault="0019265B" w:rsidP="0097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1AFE4" w14:textId="77777777" w:rsidR="009F6A7A" w:rsidRDefault="00966068"/>
    <w:sectPr w:rsidR="009F6A7A" w:rsidSect="0014538B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B392" w14:textId="77777777" w:rsidR="00767181" w:rsidRDefault="00767181" w:rsidP="00767181">
      <w:r>
        <w:separator/>
      </w:r>
    </w:p>
  </w:endnote>
  <w:endnote w:type="continuationSeparator" w:id="0">
    <w:p w14:paraId="43F2592E" w14:textId="77777777" w:rsidR="00767181" w:rsidRDefault="00767181" w:rsidP="0076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6296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9468C9" w14:textId="2746BC59" w:rsidR="00767181" w:rsidRPr="00767181" w:rsidRDefault="0076718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71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1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71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7181">
          <w:rPr>
            <w:rFonts w:ascii="Times New Roman" w:hAnsi="Times New Roman" w:cs="Times New Roman"/>
            <w:sz w:val="24"/>
            <w:szCs w:val="24"/>
          </w:rPr>
          <w:t>2</w:t>
        </w:r>
        <w:r w:rsidRPr="007671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730FF7" w14:textId="77777777" w:rsidR="00767181" w:rsidRDefault="007671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0716" w14:textId="77777777" w:rsidR="00767181" w:rsidRDefault="00767181" w:rsidP="00767181">
      <w:r>
        <w:separator/>
      </w:r>
    </w:p>
  </w:footnote>
  <w:footnote w:type="continuationSeparator" w:id="0">
    <w:p w14:paraId="632CB54B" w14:textId="77777777" w:rsidR="00767181" w:rsidRDefault="00767181" w:rsidP="0076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06665"/>
    <w:multiLevelType w:val="hybridMultilevel"/>
    <w:tmpl w:val="1064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B4798"/>
    <w:multiLevelType w:val="hybridMultilevel"/>
    <w:tmpl w:val="8E9E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8B"/>
    <w:rsid w:val="0003201B"/>
    <w:rsid w:val="0014538B"/>
    <w:rsid w:val="001652F5"/>
    <w:rsid w:val="0019265B"/>
    <w:rsid w:val="002921A2"/>
    <w:rsid w:val="00325A45"/>
    <w:rsid w:val="00501423"/>
    <w:rsid w:val="00767181"/>
    <w:rsid w:val="0078007F"/>
    <w:rsid w:val="00941521"/>
    <w:rsid w:val="00966068"/>
    <w:rsid w:val="00B36CDD"/>
    <w:rsid w:val="00BC4C5B"/>
    <w:rsid w:val="00C944C9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7534"/>
  <w15:chartTrackingRefBased/>
  <w15:docId w15:val="{1D0EFD21-C659-48CD-BEA3-63C47BC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8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38B"/>
    <w:pPr>
      <w:ind w:left="720"/>
    </w:pPr>
  </w:style>
  <w:style w:type="paragraph" w:styleId="a5">
    <w:name w:val="header"/>
    <w:basedOn w:val="a"/>
    <w:link w:val="a6"/>
    <w:uiPriority w:val="99"/>
    <w:unhideWhenUsed/>
    <w:rsid w:val="00767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181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767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1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</dc:creator>
  <cp:keywords/>
  <dc:description/>
  <cp:lastModifiedBy>Елена Вен</cp:lastModifiedBy>
  <cp:revision>10</cp:revision>
  <dcterms:created xsi:type="dcterms:W3CDTF">2020-08-05T11:07:00Z</dcterms:created>
  <dcterms:modified xsi:type="dcterms:W3CDTF">2020-09-24T09:42:00Z</dcterms:modified>
</cp:coreProperties>
</file>