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D" w:rsidRDefault="00FC40AD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0B1B62" w:rsidP="00FC40AD">
      <w:pPr>
        <w:ind w:firstLine="709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24.07.14 № 06/179</w:t>
      </w: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C40AD" w:rsidRPr="00C64280" w:rsidRDefault="00FC40AD" w:rsidP="00C64280">
      <w:pPr>
        <w:ind w:firstLine="567"/>
        <w:contextualSpacing/>
        <w:jc w:val="right"/>
        <w:rPr>
          <w:b/>
          <w:sz w:val="26"/>
          <w:szCs w:val="26"/>
        </w:rPr>
      </w:pPr>
    </w:p>
    <w:p w:rsidR="00B90512" w:rsidRPr="00C64280" w:rsidRDefault="00B90512" w:rsidP="00C64280">
      <w:pPr>
        <w:ind w:firstLine="567"/>
        <w:contextualSpacing/>
        <w:jc w:val="right"/>
        <w:rPr>
          <w:b/>
          <w:sz w:val="26"/>
          <w:szCs w:val="26"/>
        </w:rPr>
      </w:pPr>
    </w:p>
    <w:p w:rsidR="00FC40AD" w:rsidRPr="00C64280" w:rsidRDefault="00FC40AD" w:rsidP="00C64280">
      <w:pPr>
        <w:ind w:firstLine="567"/>
        <w:contextualSpacing/>
        <w:jc w:val="right"/>
        <w:rPr>
          <w:b/>
          <w:sz w:val="26"/>
          <w:szCs w:val="26"/>
        </w:rPr>
      </w:pPr>
      <w:r w:rsidRPr="00C64280">
        <w:rPr>
          <w:b/>
          <w:sz w:val="26"/>
          <w:szCs w:val="26"/>
        </w:rPr>
        <w:t xml:space="preserve">Главному бухгалтеру Банка России – </w:t>
      </w:r>
    </w:p>
    <w:p w:rsidR="00FC40AD" w:rsidRPr="00C64280" w:rsidRDefault="00FC40AD" w:rsidP="00C64280">
      <w:pPr>
        <w:ind w:firstLine="567"/>
        <w:contextualSpacing/>
        <w:jc w:val="right"/>
        <w:rPr>
          <w:b/>
          <w:sz w:val="26"/>
          <w:szCs w:val="26"/>
        </w:rPr>
      </w:pPr>
      <w:r w:rsidRPr="00C64280">
        <w:rPr>
          <w:b/>
          <w:sz w:val="26"/>
          <w:szCs w:val="26"/>
        </w:rPr>
        <w:t xml:space="preserve"> директору Департамента </w:t>
      </w:r>
    </w:p>
    <w:p w:rsidR="00FC40AD" w:rsidRPr="00C64280" w:rsidRDefault="00FC40AD" w:rsidP="00C64280">
      <w:pPr>
        <w:ind w:firstLine="567"/>
        <w:contextualSpacing/>
        <w:jc w:val="right"/>
        <w:rPr>
          <w:b/>
          <w:sz w:val="26"/>
          <w:szCs w:val="26"/>
        </w:rPr>
      </w:pPr>
      <w:r w:rsidRPr="00C64280">
        <w:rPr>
          <w:b/>
          <w:sz w:val="26"/>
          <w:szCs w:val="26"/>
        </w:rPr>
        <w:t>бухгалтерского учета и отчетности</w:t>
      </w:r>
    </w:p>
    <w:p w:rsidR="00FC40AD" w:rsidRPr="00C64280" w:rsidRDefault="00FC40AD" w:rsidP="00C64280">
      <w:pPr>
        <w:ind w:firstLine="567"/>
        <w:contextualSpacing/>
        <w:jc w:val="right"/>
        <w:rPr>
          <w:b/>
          <w:sz w:val="26"/>
          <w:szCs w:val="26"/>
        </w:rPr>
      </w:pPr>
    </w:p>
    <w:p w:rsidR="00FC40AD" w:rsidRPr="00C64280" w:rsidRDefault="00FC40AD" w:rsidP="00C64280">
      <w:pPr>
        <w:ind w:firstLine="567"/>
        <w:contextualSpacing/>
        <w:jc w:val="right"/>
        <w:rPr>
          <w:sz w:val="26"/>
          <w:szCs w:val="26"/>
        </w:rPr>
      </w:pPr>
      <w:r w:rsidRPr="00C64280">
        <w:rPr>
          <w:b/>
          <w:sz w:val="26"/>
          <w:szCs w:val="26"/>
        </w:rPr>
        <w:t>КРУЖАЛОВУ А.В.</w:t>
      </w:r>
    </w:p>
    <w:p w:rsidR="00FC40AD" w:rsidRPr="00C64280" w:rsidRDefault="00FC40AD" w:rsidP="00C64280">
      <w:pPr>
        <w:ind w:firstLine="567"/>
        <w:contextualSpacing/>
        <w:jc w:val="both"/>
        <w:rPr>
          <w:sz w:val="26"/>
          <w:szCs w:val="26"/>
        </w:rPr>
      </w:pPr>
    </w:p>
    <w:p w:rsidR="00E829EB" w:rsidRPr="00C64280" w:rsidRDefault="00E829EB" w:rsidP="00C64280">
      <w:pPr>
        <w:ind w:firstLine="567"/>
        <w:contextualSpacing/>
        <w:jc w:val="both"/>
        <w:rPr>
          <w:sz w:val="26"/>
          <w:szCs w:val="26"/>
        </w:rPr>
      </w:pPr>
    </w:p>
    <w:p w:rsidR="00FC40AD" w:rsidRPr="0002542A" w:rsidRDefault="00FC40AD" w:rsidP="00C64280">
      <w:pPr>
        <w:ind w:firstLine="567"/>
        <w:contextualSpacing/>
        <w:jc w:val="center"/>
        <w:rPr>
          <w:b/>
          <w:sz w:val="26"/>
          <w:szCs w:val="26"/>
        </w:rPr>
      </w:pPr>
      <w:r w:rsidRPr="0002542A">
        <w:rPr>
          <w:b/>
          <w:sz w:val="26"/>
          <w:szCs w:val="26"/>
        </w:rPr>
        <w:t>Уважаемый Андрей Васильевич!</w:t>
      </w:r>
    </w:p>
    <w:p w:rsidR="00FC40AD" w:rsidRPr="00C64280" w:rsidRDefault="00FC40AD" w:rsidP="00C64280">
      <w:pPr>
        <w:ind w:firstLine="567"/>
        <w:contextualSpacing/>
        <w:jc w:val="both"/>
        <w:rPr>
          <w:sz w:val="26"/>
          <w:szCs w:val="26"/>
        </w:rPr>
      </w:pPr>
    </w:p>
    <w:p w:rsidR="00C64280" w:rsidRPr="00C64280" w:rsidRDefault="00C64280" w:rsidP="00C64280">
      <w:pPr>
        <w:spacing w:line="276" w:lineRule="auto"/>
        <w:ind w:firstLine="567"/>
        <w:jc w:val="both"/>
        <w:rPr>
          <w:sz w:val="26"/>
          <w:szCs w:val="26"/>
        </w:rPr>
      </w:pPr>
      <w:r w:rsidRPr="00C64280">
        <w:rPr>
          <w:spacing w:val="-1"/>
          <w:sz w:val="26"/>
          <w:szCs w:val="26"/>
        </w:rPr>
        <w:t>Ассоциаци</w:t>
      </w:r>
      <w:r w:rsidR="0039238F">
        <w:rPr>
          <w:spacing w:val="-1"/>
          <w:sz w:val="26"/>
          <w:szCs w:val="26"/>
        </w:rPr>
        <w:t>я</w:t>
      </w:r>
      <w:r w:rsidRPr="00C64280">
        <w:rPr>
          <w:spacing w:val="-1"/>
          <w:sz w:val="26"/>
          <w:szCs w:val="26"/>
        </w:rPr>
        <w:t xml:space="preserve"> «Россия» </w:t>
      </w:r>
      <w:r w:rsidR="00A32847">
        <w:rPr>
          <w:spacing w:val="-1"/>
          <w:sz w:val="26"/>
          <w:szCs w:val="26"/>
        </w:rPr>
        <w:t xml:space="preserve">провела опрос среди </w:t>
      </w:r>
      <w:r w:rsidRPr="00C64280">
        <w:rPr>
          <w:spacing w:val="-1"/>
          <w:sz w:val="26"/>
          <w:szCs w:val="26"/>
        </w:rPr>
        <w:t>кредитны</w:t>
      </w:r>
      <w:r w:rsidR="00A32847">
        <w:rPr>
          <w:spacing w:val="-1"/>
          <w:sz w:val="26"/>
          <w:szCs w:val="26"/>
        </w:rPr>
        <w:t>х</w:t>
      </w:r>
      <w:r w:rsidRPr="00C64280">
        <w:rPr>
          <w:spacing w:val="-1"/>
          <w:sz w:val="26"/>
          <w:szCs w:val="26"/>
        </w:rPr>
        <w:t xml:space="preserve"> организаци</w:t>
      </w:r>
      <w:r w:rsidR="00A32847">
        <w:rPr>
          <w:spacing w:val="-1"/>
          <w:sz w:val="26"/>
          <w:szCs w:val="26"/>
        </w:rPr>
        <w:t>й</w:t>
      </w:r>
      <w:r w:rsidR="00394758">
        <w:rPr>
          <w:spacing w:val="-1"/>
          <w:sz w:val="26"/>
          <w:szCs w:val="26"/>
        </w:rPr>
        <w:t xml:space="preserve"> по </w:t>
      </w:r>
      <w:r w:rsidRPr="00C64280">
        <w:rPr>
          <w:spacing w:val="-1"/>
          <w:sz w:val="26"/>
          <w:szCs w:val="26"/>
        </w:rPr>
        <w:t>п</w:t>
      </w:r>
      <w:r w:rsidR="004836ED" w:rsidRPr="00C64280">
        <w:rPr>
          <w:bCs/>
          <w:sz w:val="26"/>
          <w:szCs w:val="26"/>
        </w:rPr>
        <w:t>роект</w:t>
      </w:r>
      <w:r w:rsidR="00394758">
        <w:rPr>
          <w:bCs/>
          <w:sz w:val="26"/>
          <w:szCs w:val="26"/>
        </w:rPr>
        <w:t>у</w:t>
      </w:r>
      <w:r w:rsidR="004836ED" w:rsidRPr="00C64280">
        <w:rPr>
          <w:bCs/>
          <w:sz w:val="26"/>
          <w:szCs w:val="26"/>
        </w:rPr>
        <w:t xml:space="preserve"> </w:t>
      </w:r>
      <w:r w:rsidR="00FE3B57">
        <w:rPr>
          <w:sz w:val="26"/>
          <w:szCs w:val="26"/>
        </w:rPr>
        <w:t>Положения Банка России «</w:t>
      </w:r>
      <w:r w:rsidRPr="00C64280">
        <w:rPr>
          <w:sz w:val="26"/>
          <w:szCs w:val="26"/>
        </w:rPr>
        <w:t xml:space="preserve">О порядке определения доходов, расходов и прочего совокупного дохода кредитных организаций, расположенных на </w:t>
      </w:r>
      <w:r w:rsidR="00FE3B57">
        <w:rPr>
          <w:sz w:val="26"/>
          <w:szCs w:val="26"/>
        </w:rPr>
        <w:t>территории Российской Федерации»</w:t>
      </w:r>
      <w:r w:rsidRPr="00C64280">
        <w:rPr>
          <w:sz w:val="26"/>
          <w:szCs w:val="26"/>
        </w:rPr>
        <w:t xml:space="preserve"> (далее  - проект Положения). </w:t>
      </w:r>
    </w:p>
    <w:p w:rsidR="00C64280" w:rsidRPr="00C64280" w:rsidRDefault="00C64280" w:rsidP="00C64280">
      <w:pPr>
        <w:spacing w:line="276" w:lineRule="auto"/>
        <w:ind w:firstLine="567"/>
        <w:jc w:val="both"/>
        <w:rPr>
          <w:sz w:val="26"/>
          <w:szCs w:val="26"/>
        </w:rPr>
      </w:pPr>
      <w:r w:rsidRPr="00C64280">
        <w:rPr>
          <w:sz w:val="26"/>
          <w:szCs w:val="26"/>
        </w:rPr>
        <w:t>Прошу Вас рассмотреть замечания и предложения по проекту Положения</w:t>
      </w:r>
      <w:r w:rsidR="00394758">
        <w:rPr>
          <w:sz w:val="26"/>
          <w:szCs w:val="26"/>
        </w:rPr>
        <w:t xml:space="preserve"> и предоставить ответы на возникшие у кредитных организаций вопросы по порядку его применения.</w:t>
      </w:r>
    </w:p>
    <w:p w:rsidR="00C01262" w:rsidRPr="00C64280" w:rsidRDefault="00C01262" w:rsidP="006725CA">
      <w:pPr>
        <w:jc w:val="both"/>
        <w:rPr>
          <w:i/>
          <w:sz w:val="26"/>
          <w:szCs w:val="26"/>
        </w:rPr>
      </w:pPr>
    </w:p>
    <w:p w:rsidR="00FC40AD" w:rsidRDefault="00FC40AD" w:rsidP="006725CA">
      <w:pPr>
        <w:jc w:val="both"/>
        <w:rPr>
          <w:i/>
          <w:sz w:val="26"/>
          <w:szCs w:val="26"/>
        </w:rPr>
      </w:pPr>
      <w:r w:rsidRPr="008E69AD">
        <w:rPr>
          <w:i/>
          <w:sz w:val="26"/>
          <w:szCs w:val="26"/>
        </w:rPr>
        <w:t xml:space="preserve">Приложение: на </w:t>
      </w:r>
      <w:r w:rsidR="006725CA">
        <w:rPr>
          <w:i/>
          <w:sz w:val="26"/>
          <w:szCs w:val="26"/>
        </w:rPr>
        <w:t>7</w:t>
      </w:r>
      <w:r w:rsidRPr="008E69AD">
        <w:rPr>
          <w:i/>
          <w:sz w:val="26"/>
          <w:szCs w:val="26"/>
        </w:rPr>
        <w:t xml:space="preserve"> стр.</w:t>
      </w:r>
    </w:p>
    <w:p w:rsidR="006725CA" w:rsidRPr="00C64280" w:rsidRDefault="006725CA" w:rsidP="006725CA">
      <w:pPr>
        <w:jc w:val="both"/>
        <w:rPr>
          <w:i/>
          <w:sz w:val="26"/>
          <w:szCs w:val="26"/>
        </w:rPr>
      </w:pPr>
    </w:p>
    <w:p w:rsidR="00FC40AD" w:rsidRPr="00C64280" w:rsidRDefault="00FC40AD" w:rsidP="00C64280">
      <w:pPr>
        <w:ind w:firstLine="567"/>
        <w:jc w:val="both"/>
        <w:rPr>
          <w:i/>
          <w:sz w:val="26"/>
          <w:szCs w:val="26"/>
        </w:rPr>
      </w:pPr>
    </w:p>
    <w:p w:rsidR="00B90512" w:rsidRPr="00C64280" w:rsidRDefault="00B90512" w:rsidP="006725CA">
      <w:pPr>
        <w:spacing w:before="240" w:line="360" w:lineRule="auto"/>
        <w:ind w:firstLine="567"/>
        <w:jc w:val="both"/>
        <w:rPr>
          <w:i/>
          <w:sz w:val="26"/>
          <w:szCs w:val="26"/>
        </w:rPr>
      </w:pPr>
      <w:r w:rsidRPr="00C64280">
        <w:rPr>
          <w:sz w:val="26"/>
          <w:szCs w:val="26"/>
        </w:rPr>
        <w:t>С уважением,</w:t>
      </w:r>
    </w:p>
    <w:tbl>
      <w:tblPr>
        <w:tblW w:w="10103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42"/>
        <w:gridCol w:w="2126"/>
        <w:gridCol w:w="2835"/>
      </w:tblGrid>
      <w:tr w:rsidR="00B90512" w:rsidRPr="00C64280" w:rsidTr="006725CA">
        <w:trPr>
          <w:trHeight w:val="1"/>
        </w:trPr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64280">
              <w:rPr>
                <w:sz w:val="26"/>
                <w:szCs w:val="26"/>
              </w:rPr>
              <w:tab/>
            </w:r>
          </w:p>
          <w:p w:rsidR="00B90512" w:rsidRPr="00C64280" w:rsidRDefault="006725CA" w:rsidP="006725CA">
            <w:pPr>
              <w:spacing w:line="360" w:lineRule="auto"/>
              <w:ind w:firstLine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 - п</w:t>
            </w:r>
            <w:r w:rsidR="00B90512" w:rsidRPr="00C64280">
              <w:rPr>
                <w:sz w:val="26"/>
                <w:szCs w:val="26"/>
              </w:rPr>
              <w:t>резидент Ассоциации</w:t>
            </w:r>
            <w:r>
              <w:rPr>
                <w:sz w:val="26"/>
                <w:szCs w:val="26"/>
              </w:rPr>
              <w:t xml:space="preserve"> </w:t>
            </w:r>
            <w:r w:rsidR="00B90512" w:rsidRPr="00C64280">
              <w:rPr>
                <w:sz w:val="26"/>
                <w:szCs w:val="26"/>
              </w:rPr>
              <w:t>«Россия»</w:t>
            </w:r>
          </w:p>
          <w:p w:rsidR="00B90512" w:rsidRPr="00C64280" w:rsidRDefault="00B90512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C64280">
            <w:pPr>
              <w:spacing w:after="120" w:line="360" w:lineRule="auto"/>
              <w:ind w:left="72" w:firstLine="567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B90512" w:rsidRPr="00C64280" w:rsidRDefault="006725CA" w:rsidP="006725CA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B90512" w:rsidRPr="00C64280">
              <w:rPr>
                <w:sz w:val="26"/>
                <w:szCs w:val="26"/>
              </w:rPr>
              <w:t xml:space="preserve">  А.</w:t>
            </w:r>
            <w:r>
              <w:rPr>
                <w:sz w:val="26"/>
                <w:szCs w:val="26"/>
              </w:rPr>
              <w:t>В</w:t>
            </w:r>
            <w:r w:rsidR="00B90512" w:rsidRPr="00C642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B90512" w:rsidRPr="00C64280" w:rsidRDefault="00B90512" w:rsidP="00C64280">
      <w:pPr>
        <w:ind w:firstLine="567"/>
        <w:jc w:val="both"/>
        <w:rPr>
          <w:i/>
          <w:sz w:val="26"/>
          <w:szCs w:val="26"/>
        </w:rPr>
      </w:pPr>
    </w:p>
    <w:p w:rsidR="00B90512" w:rsidRDefault="00B90512" w:rsidP="00C64280">
      <w:pPr>
        <w:ind w:firstLine="567"/>
        <w:jc w:val="both"/>
        <w:rPr>
          <w:i/>
          <w:sz w:val="26"/>
          <w:szCs w:val="26"/>
        </w:rPr>
      </w:pPr>
    </w:p>
    <w:p w:rsidR="00C64280" w:rsidRDefault="00C64280" w:rsidP="00C64280">
      <w:pPr>
        <w:ind w:firstLine="567"/>
        <w:jc w:val="both"/>
        <w:rPr>
          <w:i/>
          <w:sz w:val="26"/>
          <w:szCs w:val="26"/>
        </w:rPr>
      </w:pPr>
    </w:p>
    <w:p w:rsidR="0039238F" w:rsidRDefault="0039238F" w:rsidP="00C64280">
      <w:pPr>
        <w:ind w:firstLine="567"/>
        <w:jc w:val="both"/>
        <w:rPr>
          <w:i/>
          <w:sz w:val="26"/>
          <w:szCs w:val="26"/>
        </w:rPr>
      </w:pPr>
    </w:p>
    <w:p w:rsidR="0039238F" w:rsidRDefault="0039238F" w:rsidP="00C64280">
      <w:pPr>
        <w:ind w:firstLine="567"/>
        <w:jc w:val="both"/>
        <w:rPr>
          <w:i/>
          <w:sz w:val="26"/>
          <w:szCs w:val="26"/>
        </w:rPr>
      </w:pPr>
    </w:p>
    <w:p w:rsidR="00C64280" w:rsidRDefault="00C64280" w:rsidP="00C64280">
      <w:pPr>
        <w:ind w:firstLine="567"/>
        <w:jc w:val="both"/>
        <w:rPr>
          <w:i/>
          <w:sz w:val="26"/>
          <w:szCs w:val="26"/>
        </w:rPr>
      </w:pPr>
    </w:p>
    <w:p w:rsidR="00C01262" w:rsidRPr="00C64280" w:rsidRDefault="00C01262" w:rsidP="00C64280">
      <w:pPr>
        <w:ind w:firstLine="567"/>
        <w:jc w:val="both"/>
        <w:rPr>
          <w:sz w:val="26"/>
          <w:szCs w:val="26"/>
        </w:rPr>
      </w:pPr>
    </w:p>
    <w:p w:rsidR="00FC40AD" w:rsidRPr="00C64280" w:rsidRDefault="00FC40AD" w:rsidP="00C64280">
      <w:pPr>
        <w:pStyle w:val="a3"/>
        <w:ind w:right="360" w:firstLine="567"/>
        <w:jc w:val="both"/>
        <w:rPr>
          <w:sz w:val="20"/>
          <w:szCs w:val="20"/>
        </w:rPr>
      </w:pPr>
      <w:r w:rsidRPr="00C64280">
        <w:rPr>
          <w:sz w:val="20"/>
          <w:szCs w:val="20"/>
        </w:rPr>
        <w:t xml:space="preserve">Исп.: </w:t>
      </w:r>
      <w:r w:rsidR="00A32847">
        <w:rPr>
          <w:sz w:val="20"/>
          <w:szCs w:val="20"/>
        </w:rPr>
        <w:t>Зотова М.Д</w:t>
      </w:r>
      <w:r w:rsidRPr="00C64280">
        <w:rPr>
          <w:sz w:val="20"/>
          <w:szCs w:val="20"/>
        </w:rPr>
        <w:t>.</w:t>
      </w:r>
    </w:p>
    <w:p w:rsidR="00FC40AD" w:rsidRPr="00C64280" w:rsidRDefault="00FC40AD" w:rsidP="00C64280">
      <w:pPr>
        <w:pStyle w:val="a3"/>
        <w:ind w:right="360" w:firstLine="567"/>
        <w:jc w:val="both"/>
        <w:rPr>
          <w:sz w:val="20"/>
          <w:szCs w:val="20"/>
        </w:rPr>
      </w:pPr>
      <w:r w:rsidRPr="00C64280">
        <w:rPr>
          <w:sz w:val="20"/>
          <w:szCs w:val="20"/>
        </w:rPr>
        <w:t>тел/факс: 785-29-9</w:t>
      </w:r>
      <w:r w:rsidR="00A32847">
        <w:rPr>
          <w:sz w:val="20"/>
          <w:szCs w:val="20"/>
        </w:rPr>
        <w:t>1</w:t>
      </w:r>
    </w:p>
    <w:p w:rsidR="004836ED" w:rsidRDefault="004836ED" w:rsidP="000232BB">
      <w:pPr>
        <w:tabs>
          <w:tab w:val="left" w:pos="567"/>
        </w:tabs>
        <w:jc w:val="both"/>
        <w:rPr>
          <w:rFonts w:eastAsia="Times New Roman"/>
          <w:b/>
          <w:sz w:val="25"/>
          <w:szCs w:val="25"/>
        </w:rPr>
      </w:pPr>
    </w:p>
    <w:p w:rsidR="00CE3D51" w:rsidRDefault="00CE3D51" w:rsidP="000232BB">
      <w:pPr>
        <w:tabs>
          <w:tab w:val="left" w:pos="567"/>
        </w:tabs>
        <w:jc w:val="both"/>
        <w:rPr>
          <w:rFonts w:eastAsia="Times New Roman"/>
          <w:b/>
          <w:sz w:val="25"/>
          <w:szCs w:val="25"/>
        </w:rPr>
      </w:pPr>
    </w:p>
    <w:p w:rsidR="00CE3D51" w:rsidRPr="00B416DF" w:rsidRDefault="00CE3D51" w:rsidP="00CE3D51">
      <w:pPr>
        <w:tabs>
          <w:tab w:val="left" w:pos="426"/>
        </w:tabs>
        <w:spacing w:after="240"/>
        <w:ind w:left="-567" w:firstLine="567"/>
        <w:jc w:val="right"/>
        <w:rPr>
          <w:i/>
          <w:sz w:val="26"/>
          <w:szCs w:val="26"/>
          <w:u w:val="single"/>
        </w:rPr>
      </w:pPr>
      <w:r w:rsidRPr="00B416DF">
        <w:rPr>
          <w:i/>
          <w:sz w:val="26"/>
          <w:szCs w:val="26"/>
          <w:u w:val="single"/>
        </w:rPr>
        <w:lastRenderedPageBreak/>
        <w:t>Приложение</w:t>
      </w:r>
    </w:p>
    <w:p w:rsidR="00CE3D51" w:rsidRDefault="00CE3D51" w:rsidP="00CE3D51">
      <w:pPr>
        <w:tabs>
          <w:tab w:val="left" w:pos="426"/>
        </w:tabs>
        <w:spacing w:after="240"/>
        <w:ind w:left="-567" w:firstLine="567"/>
        <w:jc w:val="center"/>
        <w:rPr>
          <w:sz w:val="26"/>
          <w:szCs w:val="26"/>
        </w:rPr>
      </w:pPr>
      <w:r w:rsidRPr="00B416DF">
        <w:rPr>
          <w:b/>
          <w:sz w:val="26"/>
          <w:szCs w:val="26"/>
        </w:rPr>
        <w:t>Комментарии и предложения по проекту Положения «О порядке определения доходов, расходов и прочего совокупного дохода кредитных организаций, расположенных на территории Российской Федерации»</w:t>
      </w:r>
      <w:r w:rsidRPr="0072491D">
        <w:rPr>
          <w:sz w:val="26"/>
          <w:szCs w:val="26"/>
        </w:rPr>
        <w:t xml:space="preserve"> </w:t>
      </w:r>
    </w:p>
    <w:p w:rsidR="00CE3D51" w:rsidRPr="00B416DF" w:rsidRDefault="00CE3D51" w:rsidP="00CE3D51">
      <w:pPr>
        <w:tabs>
          <w:tab w:val="left" w:pos="426"/>
        </w:tabs>
        <w:ind w:left="-567" w:firstLine="567"/>
        <w:jc w:val="center"/>
        <w:rPr>
          <w:b/>
          <w:sz w:val="26"/>
          <w:szCs w:val="26"/>
        </w:rPr>
      </w:pPr>
      <w:r w:rsidRPr="0072491D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72491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2491D">
        <w:rPr>
          <w:sz w:val="26"/>
          <w:szCs w:val="26"/>
        </w:rPr>
        <w:t>роект</w:t>
      </w:r>
      <w:r>
        <w:rPr>
          <w:sz w:val="26"/>
          <w:szCs w:val="26"/>
        </w:rPr>
        <w:t xml:space="preserve"> Положения/проект</w:t>
      </w:r>
      <w:r w:rsidRPr="0072491D">
        <w:rPr>
          <w:sz w:val="26"/>
          <w:szCs w:val="26"/>
        </w:rPr>
        <w:t>)</w:t>
      </w:r>
    </w:p>
    <w:p w:rsidR="00CE3D51" w:rsidRPr="0072491D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Pr="00EA53B2" w:rsidRDefault="00CE3D51" w:rsidP="00CE3D51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-567" w:firstLine="567"/>
        <w:contextualSpacing/>
        <w:jc w:val="both"/>
        <w:rPr>
          <w:rFonts w:eastAsia="Times New Roman"/>
          <w:sz w:val="26"/>
          <w:szCs w:val="26"/>
        </w:rPr>
      </w:pPr>
      <w:r w:rsidRPr="0072491D">
        <w:rPr>
          <w:rFonts w:eastAsia="Times New Roman"/>
          <w:sz w:val="26"/>
          <w:szCs w:val="26"/>
        </w:rPr>
        <w:t xml:space="preserve">В соответствии с </w:t>
      </w:r>
      <w:r w:rsidRPr="00EA53B2">
        <w:rPr>
          <w:rFonts w:eastAsia="Times New Roman"/>
          <w:sz w:val="26"/>
          <w:szCs w:val="26"/>
        </w:rPr>
        <w:t>п. 1.5 проекта Положения аналитический учет должен обеспечить получение информации о доходах, расходах и изменении прочего совокупного дохода, полученных при определении справедливой стоимости активов и обязательств, по уровням исходных данных, указанным в настоящем пункте. Правильно</w:t>
      </w:r>
      <w:r>
        <w:rPr>
          <w:rFonts w:eastAsia="Times New Roman"/>
          <w:sz w:val="26"/>
          <w:szCs w:val="26"/>
        </w:rPr>
        <w:t xml:space="preserve"> ли суждение, что счета доходов, </w:t>
      </w:r>
      <w:r w:rsidRPr="00EA53B2">
        <w:rPr>
          <w:rFonts w:eastAsia="Times New Roman"/>
          <w:sz w:val="26"/>
          <w:szCs w:val="26"/>
        </w:rPr>
        <w:t>расходов или счета добавочного капитала, предназначенные для отражения изменения справедливой стоимости активов и обязательств, должны быть открыты в разрезе уровней исходных данных?</w:t>
      </w:r>
    </w:p>
    <w:p w:rsidR="00CE3D51" w:rsidRDefault="00CE3D51" w:rsidP="00CE3D51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 xml:space="preserve">Если вышеприведенное суждение является верным, предлагается исключить последний абзац п. 1.5 проекта Положения, предусматривающий такое </w:t>
      </w:r>
      <w:r w:rsidRPr="00EA53B2">
        <w:rPr>
          <w:spacing w:val="-1"/>
          <w:sz w:val="26"/>
          <w:szCs w:val="26"/>
        </w:rPr>
        <w:t>ведение аналитического учета доходов, расходов и прочего совокупного дохода</w:t>
      </w:r>
      <w:r w:rsidRPr="00EA53B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53B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A53B2">
        <w:rPr>
          <w:sz w:val="26"/>
          <w:szCs w:val="26"/>
        </w:rPr>
        <w:t xml:space="preserve">виду того, что </w:t>
      </w:r>
      <w:r w:rsidRPr="00EA53B2">
        <w:rPr>
          <w:spacing w:val="-1"/>
          <w:sz w:val="26"/>
          <w:szCs w:val="26"/>
        </w:rPr>
        <w:t xml:space="preserve">отражение финансового результата от переоценки - это отражение факта </w:t>
      </w:r>
      <w:r w:rsidRPr="00EA53B2">
        <w:rPr>
          <w:sz w:val="26"/>
          <w:szCs w:val="26"/>
        </w:rPr>
        <w:t xml:space="preserve">проведения оценки, по итогам которой была определена надежная справедливая стоимость. </w:t>
      </w:r>
      <w:r>
        <w:rPr>
          <w:spacing w:val="-1"/>
          <w:sz w:val="26"/>
          <w:szCs w:val="26"/>
        </w:rPr>
        <w:t>Д</w:t>
      </w:r>
      <w:r w:rsidRPr="00EA53B2">
        <w:rPr>
          <w:spacing w:val="-1"/>
          <w:sz w:val="26"/>
          <w:szCs w:val="26"/>
        </w:rPr>
        <w:t xml:space="preserve">ля целей признания в учете полученного </w:t>
      </w:r>
      <w:r w:rsidRPr="00EA53B2">
        <w:rPr>
          <w:iCs/>
          <w:spacing w:val="-1"/>
          <w:sz w:val="26"/>
          <w:szCs w:val="26"/>
        </w:rPr>
        <w:t>финансового результата</w:t>
      </w:r>
      <w:r w:rsidRPr="00EA53B2">
        <w:rPr>
          <w:i/>
          <w:iCs/>
          <w:spacing w:val="-1"/>
          <w:sz w:val="26"/>
          <w:szCs w:val="26"/>
        </w:rPr>
        <w:t xml:space="preserve"> </w:t>
      </w:r>
      <w:r w:rsidRPr="00EA53B2">
        <w:rPr>
          <w:sz w:val="26"/>
          <w:szCs w:val="26"/>
        </w:rPr>
        <w:t>способ определения справедливой стоимости не имеет принципиального значения.</w:t>
      </w:r>
      <w:r>
        <w:rPr>
          <w:sz w:val="26"/>
          <w:szCs w:val="26"/>
        </w:rPr>
        <w:t xml:space="preserve"> П</w:t>
      </w:r>
      <w:r w:rsidRPr="00EA53B2">
        <w:rPr>
          <w:sz w:val="26"/>
          <w:szCs w:val="26"/>
        </w:rPr>
        <w:t>роект</w:t>
      </w:r>
      <w:r>
        <w:rPr>
          <w:sz w:val="26"/>
          <w:szCs w:val="26"/>
        </w:rPr>
        <w:t xml:space="preserve"> также не </w:t>
      </w:r>
      <w:r w:rsidRPr="00EA53B2">
        <w:rPr>
          <w:sz w:val="26"/>
          <w:szCs w:val="26"/>
        </w:rPr>
        <w:t>содержит каких-либо положений, определяющих цели применении данной аналитики</w:t>
      </w:r>
      <w:r>
        <w:rPr>
          <w:sz w:val="26"/>
          <w:szCs w:val="26"/>
        </w:rPr>
        <w:t>.</w:t>
      </w:r>
      <w:r w:rsidRPr="00BD3140">
        <w:rPr>
          <w:sz w:val="26"/>
          <w:szCs w:val="26"/>
        </w:rPr>
        <w:t xml:space="preserve"> </w:t>
      </w:r>
      <w:r w:rsidRPr="00EA53B2">
        <w:rPr>
          <w:spacing w:val="-1"/>
          <w:sz w:val="26"/>
          <w:szCs w:val="26"/>
        </w:rPr>
        <w:t xml:space="preserve">Положения МСФО 13 требуют раскрытия информации об используемых исходных </w:t>
      </w:r>
      <w:r w:rsidRPr="00EA53B2">
        <w:rPr>
          <w:sz w:val="26"/>
          <w:szCs w:val="26"/>
        </w:rPr>
        <w:t>данных для проведения переоценки применительно к активам и обязательствам, а не полученному финансовому результату в разрезе уровней исходных данных.</w:t>
      </w:r>
    </w:p>
    <w:p w:rsidR="00A42B8B" w:rsidRPr="00EA53B2" w:rsidRDefault="00A42B8B" w:rsidP="00CE3D51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color w:val="000000"/>
          <w:sz w:val="26"/>
          <w:szCs w:val="26"/>
        </w:rPr>
      </w:pPr>
      <w:r w:rsidRPr="00EA53B2">
        <w:rPr>
          <w:color w:val="000000"/>
          <w:sz w:val="26"/>
          <w:szCs w:val="26"/>
        </w:rPr>
        <w:t>В соответствии с п. 1.5 проекта Положения изменение кредитного риска по выпущенным долговым ценным бумагам зависит от способности кредитной организации своевременно и в полном объеме исполнить обязательства по выпущенным долговым ценным бумагам. Предлагается определить в проекте Положения критерии оценки способности кредитной организации своевременно и в полном объеме исполнить свои обязательства по выпущенным ценным бумагам.</w:t>
      </w:r>
    </w:p>
    <w:p w:rsidR="00A42B8B" w:rsidRPr="00A42B8B" w:rsidRDefault="00A42B8B" w:rsidP="00A42B8B">
      <w:pPr>
        <w:widowControl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color w:val="000000"/>
          <w:sz w:val="26"/>
          <w:szCs w:val="26"/>
        </w:rPr>
      </w:pPr>
      <w:r w:rsidRPr="00EA53B2">
        <w:rPr>
          <w:color w:val="000000"/>
          <w:sz w:val="26"/>
          <w:szCs w:val="26"/>
        </w:rPr>
        <w:t>Может ли кредитная организация для определения справедливой стоимости активов и обязательств в качестве исходных данных для оценки использовать исходные данные 3 уровня, получив их расчетным путем, используя собственную информацию, и составив соответствующее профессиональное суждение?</w:t>
      </w:r>
    </w:p>
    <w:p w:rsidR="00A42B8B" w:rsidRPr="00A42B8B" w:rsidRDefault="00A42B8B" w:rsidP="00A42B8B">
      <w:pPr>
        <w:widowControl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color w:val="000000"/>
          <w:sz w:val="26"/>
          <w:szCs w:val="26"/>
        </w:rPr>
      </w:pPr>
      <w:r w:rsidRPr="00EA53B2">
        <w:rPr>
          <w:color w:val="000000"/>
          <w:sz w:val="26"/>
          <w:szCs w:val="26"/>
        </w:rPr>
        <w:t xml:space="preserve">Правильно ли суждение, что </w:t>
      </w:r>
      <w:r w:rsidRPr="00BD3140">
        <w:rPr>
          <w:color w:val="000000"/>
          <w:sz w:val="26"/>
          <w:szCs w:val="26"/>
        </w:rPr>
        <w:t>в бухгалтерском учете и в ОФР</w:t>
      </w:r>
      <w:r w:rsidRPr="00EA53B2">
        <w:rPr>
          <w:color w:val="000000"/>
          <w:sz w:val="26"/>
          <w:szCs w:val="26"/>
        </w:rPr>
        <w:t xml:space="preserve"> процентные доходы (процентные расходы) отражаются в суммах, рассчитанных в соответствии с условиями соответствующих договоров, без учета дисконтирования? </w:t>
      </w:r>
    </w:p>
    <w:p w:rsidR="00A42B8B" w:rsidRPr="00A42B8B" w:rsidRDefault="00A42B8B" w:rsidP="00A42B8B">
      <w:pPr>
        <w:widowControl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color w:val="000000"/>
          <w:sz w:val="26"/>
          <w:szCs w:val="26"/>
        </w:rPr>
      </w:pPr>
      <w:r w:rsidRPr="00EA53B2">
        <w:rPr>
          <w:color w:val="000000"/>
          <w:sz w:val="26"/>
          <w:szCs w:val="26"/>
        </w:rPr>
        <w:t xml:space="preserve">Так как в </w:t>
      </w:r>
      <w:r>
        <w:rPr>
          <w:color w:val="000000"/>
          <w:sz w:val="26"/>
          <w:szCs w:val="26"/>
        </w:rPr>
        <w:t>ОФР</w:t>
      </w:r>
      <w:r w:rsidRPr="00EA53B2">
        <w:rPr>
          <w:color w:val="000000"/>
          <w:sz w:val="26"/>
          <w:szCs w:val="26"/>
        </w:rPr>
        <w:t xml:space="preserve"> отражается разница, возникающая между процентными доходами (расходами), рассчитанными с применением ставки дисконтирования, и процентными доходами (расходами), начисленными в соответствии с договором, </w:t>
      </w:r>
      <w:r>
        <w:rPr>
          <w:color w:val="000000"/>
          <w:sz w:val="26"/>
          <w:szCs w:val="26"/>
        </w:rPr>
        <w:t>правильно ли полагать</w:t>
      </w:r>
      <w:r w:rsidRPr="00EA53B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что</w:t>
      </w:r>
      <w:r w:rsidRPr="00EA53B2">
        <w:rPr>
          <w:color w:val="000000"/>
          <w:sz w:val="26"/>
          <w:szCs w:val="26"/>
        </w:rPr>
        <w:t xml:space="preserve"> кредитная организация должна организовать внесистемный учет процентных доходов (расходов) по финансовым активам и обязательствам, оцениваемым по дисконтированной стоимости?</w:t>
      </w:r>
    </w:p>
    <w:p w:rsidR="00A42B8B" w:rsidRPr="00EA53B2" w:rsidRDefault="00A42B8B" w:rsidP="00A42B8B">
      <w:pPr>
        <w:pStyle w:val="a5"/>
        <w:widowControl/>
        <w:tabs>
          <w:tab w:val="left" w:pos="426"/>
        </w:tabs>
        <w:ind w:left="0"/>
        <w:jc w:val="both"/>
        <w:rPr>
          <w:color w:val="000000"/>
          <w:sz w:val="26"/>
          <w:szCs w:val="26"/>
        </w:rPr>
      </w:pPr>
    </w:p>
    <w:p w:rsidR="00CE3D51" w:rsidRDefault="00CE3D51" w:rsidP="00CE3D51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-567" w:firstLine="567"/>
        <w:contextualSpacing/>
        <w:jc w:val="both"/>
        <w:rPr>
          <w:rFonts w:eastAsia="Times New Roman"/>
          <w:i/>
          <w:sz w:val="26"/>
          <w:szCs w:val="26"/>
        </w:rPr>
      </w:pPr>
      <w:r w:rsidRPr="00EA53B2">
        <w:rPr>
          <w:rFonts w:eastAsia="Times New Roman"/>
          <w:sz w:val="26"/>
          <w:szCs w:val="26"/>
        </w:rPr>
        <w:t xml:space="preserve">В соответствии с п. 1.7 проекта Положения при расчете ставки дисконтирования учитываются комиссионные доходы и (или) комиссионные расходы, составляющие неотъемлемую часть ставки дисконтирования, вознаграждения, затраты по сделке, а также </w:t>
      </w:r>
      <w:r w:rsidRPr="00EA53B2">
        <w:rPr>
          <w:rFonts w:eastAsia="Times New Roman"/>
          <w:sz w:val="26"/>
          <w:szCs w:val="26"/>
        </w:rPr>
        <w:lastRenderedPageBreak/>
        <w:t xml:space="preserve">все прочие премии и скидки. Предлагается внести уточнение в п. 1.7, согласно которому учитываются прочие премии и скидки, </w:t>
      </w:r>
      <w:r w:rsidRPr="006E4E8F">
        <w:rPr>
          <w:rFonts w:eastAsia="Times New Roman"/>
          <w:i/>
          <w:sz w:val="26"/>
          <w:szCs w:val="26"/>
        </w:rPr>
        <w:t>которые возможно учесть на дату первоначального признания.</w:t>
      </w:r>
    </w:p>
    <w:p w:rsidR="00A42B8B" w:rsidRPr="006E4E8F" w:rsidRDefault="00A42B8B" w:rsidP="00A42B8B">
      <w:pPr>
        <w:widowControl/>
        <w:tabs>
          <w:tab w:val="left" w:pos="426"/>
        </w:tabs>
        <w:autoSpaceDE/>
        <w:autoSpaceDN/>
        <w:adjustRightInd/>
        <w:contextualSpacing/>
        <w:jc w:val="both"/>
        <w:rPr>
          <w:rFonts w:eastAsia="Times New Roman"/>
          <w:i/>
          <w:sz w:val="26"/>
          <w:szCs w:val="26"/>
        </w:rPr>
      </w:pPr>
    </w:p>
    <w:p w:rsidR="00CE3D51" w:rsidRPr="00652905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sz w:val="26"/>
          <w:szCs w:val="26"/>
        </w:rPr>
        <w:t>Согласно п. 1.7 проекта Положения расчет дисконтированной стоимости, в т.ч. перечень дисконтируемых потоков, определяется законодательством Российской Федерации, в том числе нормативными правовыми актами Минфина России.</w:t>
      </w:r>
    </w:p>
    <w:p w:rsidR="00CE3D51" w:rsidRPr="00652905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sz w:val="26"/>
          <w:szCs w:val="26"/>
        </w:rPr>
        <w:t>В то же время рассматриваемый пункт устанавливает, что при расчете дисконтированной стоимости используется ставка дисконтирования, порядок расчета которой согласно проекту определяется кредитной организацией самостоятельно.</w:t>
      </w:r>
    </w:p>
    <w:p w:rsidR="00CE3D51" w:rsidRPr="00652905" w:rsidRDefault="00CE3D51" w:rsidP="00CE3D51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color w:val="000000"/>
          <w:sz w:val="26"/>
          <w:szCs w:val="26"/>
          <w:shd w:val="clear" w:color="auto" w:fill="FFFFFF"/>
        </w:rPr>
        <w:t xml:space="preserve">Федеральный закон от 21.12.2013 № </w:t>
      </w:r>
      <w:r w:rsidRPr="00652905">
        <w:rPr>
          <w:sz w:val="26"/>
          <w:szCs w:val="26"/>
        </w:rPr>
        <w:t xml:space="preserve">353-ФЗ «О потребительском кредите (займе)» (далее – Закон № 353-ФЗ) в действующей редакции требует включения в расчет ставки полной стоимости кредита помимо потоков в рамках кредитного договора еще и платежи в пользу третьих лиц. </w:t>
      </w:r>
    </w:p>
    <w:p w:rsidR="00CE3D51" w:rsidRPr="00652905" w:rsidRDefault="00CE3D51" w:rsidP="00CE3D51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sz w:val="26"/>
          <w:szCs w:val="26"/>
        </w:rPr>
        <w:t>Данные платежи в пользу третьих лиц влияют на величину ставки, и соответственно, на величину дисконтирования, отражаемую согласно п. 4.12 проекта как корректировка процентных доходов Банка.</w:t>
      </w:r>
    </w:p>
    <w:p w:rsidR="00CE3D51" w:rsidRPr="00652905" w:rsidRDefault="00CE3D51" w:rsidP="00CE3D51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sz w:val="26"/>
          <w:szCs w:val="26"/>
        </w:rPr>
        <w:t xml:space="preserve">Таким образом, при подходе, аналогичном </w:t>
      </w:r>
      <w:proofErr w:type="gramStart"/>
      <w:r w:rsidRPr="00652905">
        <w:rPr>
          <w:sz w:val="26"/>
          <w:szCs w:val="26"/>
        </w:rPr>
        <w:t>изложенному</w:t>
      </w:r>
      <w:proofErr w:type="gramEnd"/>
      <w:r w:rsidRPr="00652905">
        <w:rPr>
          <w:sz w:val="26"/>
          <w:szCs w:val="26"/>
        </w:rPr>
        <w:t xml:space="preserve"> в Законе № 353-ФЗ, может возникнуть ситуация, при которой процентные доходы кредитной организации корректируются на величину, в расчете которой были использованы доходы третьих лиц, что некорректно для целей корректировки доходов.</w:t>
      </w:r>
    </w:p>
    <w:p w:rsidR="00CE3D51" w:rsidRDefault="00CE3D51" w:rsidP="00CE3D51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sz w:val="26"/>
          <w:szCs w:val="26"/>
        </w:rPr>
        <w:t xml:space="preserve">Для исключения такой ситуации необходимо обеспечить единый перечень потоков, используемых как для расчета ставки дисконтирования, так и при расчете дисконтирования. Предлагается в вышеуказанных нормативных актах уточнить перечень дисконтируемых потоков. </w:t>
      </w:r>
    </w:p>
    <w:p w:rsidR="00A42B8B" w:rsidRPr="00652905" w:rsidRDefault="00A42B8B" w:rsidP="00CE3D51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 xml:space="preserve">Использованный в п. 1.7 проекта Положения подход, в соответствии с которым для расчета дисконтированной стоимости </w:t>
      </w:r>
      <w:proofErr w:type="gramStart"/>
      <w:r w:rsidRPr="00EA53B2">
        <w:rPr>
          <w:sz w:val="26"/>
          <w:szCs w:val="26"/>
        </w:rPr>
        <w:t>исходя из ожидаемых потоков денежных средств и ожидаемого срока обращения финансовых активов и финансовых обязательств используется</w:t>
      </w:r>
      <w:proofErr w:type="gramEnd"/>
      <w:r w:rsidRPr="00EA53B2">
        <w:rPr>
          <w:sz w:val="26"/>
          <w:szCs w:val="26"/>
        </w:rPr>
        <w:t xml:space="preserve"> ставка дисконтирования, рассчитанная при первоначальном признании, не учитывает ситуации, когда возникает необходимость пересчета ставки после первоначального признания.</w:t>
      </w:r>
      <w:r>
        <w:rPr>
          <w:sz w:val="26"/>
          <w:szCs w:val="26"/>
        </w:rPr>
        <w:t xml:space="preserve"> </w:t>
      </w:r>
      <w:r w:rsidRPr="008E54AB">
        <w:rPr>
          <w:sz w:val="26"/>
          <w:szCs w:val="26"/>
        </w:rPr>
        <w:t>Например, при досрочном частичном погашении кредита, выданного клиенту -</w:t>
      </w:r>
      <w:r>
        <w:rPr>
          <w:sz w:val="26"/>
          <w:szCs w:val="26"/>
        </w:rPr>
        <w:t xml:space="preserve"> </w:t>
      </w:r>
      <w:r w:rsidRPr="008E54AB">
        <w:rPr>
          <w:sz w:val="26"/>
          <w:szCs w:val="26"/>
        </w:rPr>
        <w:t>физическому лицу, в рамках договора (или дополнительного соглашения к договору)</w:t>
      </w:r>
      <w:r>
        <w:rPr>
          <w:sz w:val="26"/>
          <w:szCs w:val="26"/>
        </w:rPr>
        <w:t>, когда</w:t>
      </w:r>
      <w:r w:rsidRPr="008E54AB">
        <w:rPr>
          <w:sz w:val="26"/>
          <w:szCs w:val="26"/>
        </w:rPr>
        <w:t xml:space="preserve"> происходит перестроение графика погашения.</w:t>
      </w:r>
    </w:p>
    <w:p w:rsidR="00A42B8B" w:rsidRPr="008E54AB" w:rsidRDefault="00A42B8B" w:rsidP="00A42B8B">
      <w:pPr>
        <w:pStyle w:val="a5"/>
        <w:widowControl/>
        <w:tabs>
          <w:tab w:val="left" w:pos="426"/>
        </w:tabs>
        <w:autoSpaceDE/>
        <w:autoSpaceDN/>
        <w:adjustRightInd/>
        <w:ind w:left="0"/>
        <w:jc w:val="both"/>
        <w:rPr>
          <w:sz w:val="26"/>
          <w:szCs w:val="26"/>
        </w:rPr>
      </w:pPr>
    </w:p>
    <w:p w:rsidR="00CE3D51" w:rsidRPr="00EA53B2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Кредитные организации просят разъяснить порядок начисления и признания процентных доходов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A53B2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A53B2">
        <w:rPr>
          <w:rFonts w:ascii="Times New Roman" w:hAnsi="Times New Roman" w:cs="Times New Roman"/>
          <w:sz w:val="26"/>
          <w:szCs w:val="26"/>
        </w:rPr>
        <w:t xml:space="preserve"> по суммам авансов, уплаченных/полученных кредитными организациями по договорам приобретения/реализации имущества в соответствии с п. 1.8 проекта Положения. В частности:</w:t>
      </w:r>
    </w:p>
    <w:p w:rsidR="00CE3D51" w:rsidRPr="00EA53B2" w:rsidRDefault="00CE3D51" w:rsidP="00CE3D51">
      <w:pPr>
        <w:pStyle w:val="aa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 xml:space="preserve">подлежат ли обязательному дисконтированию суммы таких авансовых платежей; </w:t>
      </w:r>
    </w:p>
    <w:p w:rsidR="00CE3D51" w:rsidRPr="00EA53B2" w:rsidRDefault="00CE3D51" w:rsidP="00CE3D51">
      <w:pPr>
        <w:pStyle w:val="aa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рассматривается ли для данных целей срок между датой перечисления/получения авансового платежа и датой фактической поставки имущества (более 1 года, менее 1 года).</w:t>
      </w:r>
    </w:p>
    <w:p w:rsidR="00CE3D51" w:rsidRPr="00A42B8B" w:rsidRDefault="00CE3D51" w:rsidP="00CE3D51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color w:val="000000"/>
          <w:sz w:val="26"/>
          <w:szCs w:val="26"/>
        </w:rPr>
        <w:t>В соответствии с пунктом 1.8 проекта Положения для расчета дисконтированной стоимости используется</w:t>
      </w:r>
      <w:r w:rsidRPr="00652905">
        <w:rPr>
          <w:i/>
          <w:color w:val="000000"/>
          <w:sz w:val="26"/>
          <w:szCs w:val="26"/>
        </w:rPr>
        <w:t xml:space="preserve"> </w:t>
      </w:r>
      <w:r w:rsidRPr="00652905">
        <w:rPr>
          <w:color w:val="000000"/>
          <w:sz w:val="26"/>
          <w:szCs w:val="26"/>
        </w:rPr>
        <w:t xml:space="preserve">ставка дисконтирования, рассчитанная при первоначальном признании. Предлагается отразить в проекте - используется ли для определения данной ставки дисконтирования при первоначальном признании текущая стоимость актива или финансового обязательства, определенная в соответствующем договоре. </w:t>
      </w:r>
    </w:p>
    <w:p w:rsidR="00A42B8B" w:rsidRPr="00652905" w:rsidRDefault="00A42B8B" w:rsidP="00A42B8B">
      <w:pPr>
        <w:pStyle w:val="a5"/>
        <w:widowControl/>
        <w:shd w:val="clear" w:color="auto" w:fill="FFFFFF"/>
        <w:tabs>
          <w:tab w:val="left" w:pos="426"/>
        </w:tabs>
        <w:ind w:left="0"/>
        <w:jc w:val="both"/>
        <w:rPr>
          <w:sz w:val="26"/>
          <w:szCs w:val="26"/>
        </w:rPr>
      </w:pPr>
    </w:p>
    <w:p w:rsidR="00CE3D51" w:rsidRPr="00652905" w:rsidRDefault="00CE3D51" w:rsidP="00CE3D51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52905">
        <w:rPr>
          <w:spacing w:val="26"/>
          <w:sz w:val="26"/>
          <w:szCs w:val="26"/>
        </w:rPr>
        <w:t>В п.1.7и 1.8</w:t>
      </w:r>
      <w:r w:rsidRPr="00652905">
        <w:rPr>
          <w:sz w:val="26"/>
          <w:szCs w:val="26"/>
        </w:rPr>
        <w:t xml:space="preserve"> </w:t>
      </w:r>
      <w:r w:rsidRPr="00652905">
        <w:rPr>
          <w:spacing w:val="-3"/>
          <w:sz w:val="26"/>
          <w:szCs w:val="26"/>
        </w:rPr>
        <w:t xml:space="preserve">проекта Положения предлагается определить критерии (походы), в соответствии с </w:t>
      </w:r>
      <w:r w:rsidRPr="00652905">
        <w:rPr>
          <w:sz w:val="26"/>
          <w:szCs w:val="26"/>
        </w:rPr>
        <w:t>которыми комиссионные доходы (расходы) включаются в расчет ставки дисконтирования либо относятся на счета по учету доходов (расходов).</w:t>
      </w:r>
    </w:p>
    <w:p w:rsidR="00CE3D51" w:rsidRDefault="00CE3D51" w:rsidP="00CE3D51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 xml:space="preserve">Представляется целесообразным в п. 1.8 проекта Положения прямо указать, что в </w:t>
      </w:r>
      <w:r w:rsidRPr="00EA53B2">
        <w:rPr>
          <w:spacing w:val="-1"/>
          <w:sz w:val="26"/>
          <w:szCs w:val="26"/>
        </w:rPr>
        <w:t xml:space="preserve">соответствии с п. 1.8, 3.7, 15.7 проекта отражаются только комиссионные доходы и </w:t>
      </w:r>
      <w:proofErr w:type="gramStart"/>
      <w:r w:rsidRPr="00EA53B2">
        <w:rPr>
          <w:spacing w:val="-1"/>
          <w:sz w:val="26"/>
          <w:szCs w:val="26"/>
        </w:rPr>
        <w:t>расходы</w:t>
      </w:r>
      <w:proofErr w:type="gramEnd"/>
      <w:r w:rsidRPr="00EA53B2">
        <w:rPr>
          <w:spacing w:val="-1"/>
          <w:sz w:val="26"/>
          <w:szCs w:val="26"/>
        </w:rPr>
        <w:t xml:space="preserve"> </w:t>
      </w:r>
      <w:r w:rsidRPr="00EA53B2">
        <w:rPr>
          <w:sz w:val="26"/>
          <w:szCs w:val="26"/>
        </w:rPr>
        <w:t>не включенные в расчет ставки дисконтирования.</w:t>
      </w:r>
    </w:p>
    <w:p w:rsidR="00CE3D51" w:rsidRDefault="00CE3D51" w:rsidP="00CE3D51">
      <w:pPr>
        <w:shd w:val="clear" w:color="auto" w:fill="FFFFFF"/>
        <w:tabs>
          <w:tab w:val="left" w:pos="426"/>
        </w:tabs>
        <w:ind w:left="-567" w:firstLine="567"/>
        <w:jc w:val="both"/>
        <w:rPr>
          <w:color w:val="000000"/>
          <w:sz w:val="26"/>
          <w:szCs w:val="26"/>
        </w:rPr>
      </w:pPr>
      <w:r w:rsidRPr="00EA53B2">
        <w:rPr>
          <w:color w:val="000000"/>
          <w:sz w:val="26"/>
          <w:szCs w:val="26"/>
        </w:rPr>
        <w:t>Предлагается в пункте 1.8 проекта Положения при описании процедуры дисконтирования сделать ссылку на МСФО и другие соответствующие документы, определяющие порядок дисконтирования.</w:t>
      </w:r>
    </w:p>
    <w:p w:rsidR="00A42B8B" w:rsidRPr="008E54AB" w:rsidRDefault="00A42B8B" w:rsidP="00CE3D51">
      <w:pPr>
        <w:shd w:val="clear" w:color="auto" w:fill="FFFFFF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E3D51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 xml:space="preserve">У кредитных организаций возникают вопросы по порядку применения п. 1.8 в части определения ожидаемых потоков денежных средств и ожидаемого срока обращения финансовых активов и финансовых обязательств. </w:t>
      </w:r>
    </w:p>
    <w:p w:rsidR="00CE3D51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4AB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8E54AB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8E54AB">
        <w:rPr>
          <w:rFonts w:ascii="Times New Roman" w:hAnsi="Times New Roman" w:cs="Times New Roman"/>
          <w:sz w:val="26"/>
          <w:szCs w:val="26"/>
        </w:rPr>
        <w:t xml:space="preserve"> каких критериев кредитные организации вправе определять ожидаемые потоки денежных средств и ожидаемые сроки обращения финансовых активов и финансовых обязательств? Например, при приобретении банком долговых ценных бумаг категории «предназначенные для погашения» вправе ли банк в качестве ожидаемого срока погашения ценной бумаги ориентироваться не на дату погашения ценной бумаги, а на дату первой оферты (даты досрочного выкупа эмитентом размещенной долговой ценной бумаги), как ожидаемую дату (срок) погашения финансового актива.</w:t>
      </w:r>
    </w:p>
    <w:p w:rsidR="00A42B8B" w:rsidRPr="008E54AB" w:rsidRDefault="00A42B8B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В п. 1.8 проекта упоминается термин «финансовый инструмент», однако его содержание не определено в нормативных актах Банка России. Предлагается включить определение данного термина в те</w:t>
      </w:r>
      <w:proofErr w:type="gramStart"/>
      <w:r w:rsidRPr="00EA53B2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EA53B2">
        <w:rPr>
          <w:rFonts w:ascii="Times New Roman" w:hAnsi="Times New Roman" w:cs="Times New Roman"/>
          <w:sz w:val="26"/>
          <w:szCs w:val="26"/>
        </w:rPr>
        <w:t>оекта Положения.</w:t>
      </w:r>
    </w:p>
    <w:p w:rsidR="00A42B8B" w:rsidRPr="00EA53B2" w:rsidRDefault="00A42B8B" w:rsidP="00A42B8B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Pr="00EA53B2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-567" w:firstLine="567"/>
        <w:jc w:val="both"/>
      </w:pPr>
      <w:proofErr w:type="gramStart"/>
      <w:r w:rsidRPr="00EA53B2">
        <w:rPr>
          <w:sz w:val="26"/>
          <w:szCs w:val="26"/>
        </w:rPr>
        <w:t xml:space="preserve">По п. 1.9, п. 1.10  и п. 21.1 проекта кредитные организации обращают внимание, что на текущий момент времени доходы и расходы по договорам купли-продажи иностранной валюты, на которые распространяется действие Положения Банка </w:t>
      </w:r>
      <w:r w:rsidRPr="006E4E8F">
        <w:rPr>
          <w:sz w:val="26"/>
          <w:szCs w:val="26"/>
        </w:rPr>
        <w:t xml:space="preserve">России </w:t>
      </w:r>
      <w:r w:rsidRPr="006E4E8F">
        <w:rPr>
          <w:color w:val="000000"/>
          <w:sz w:val="26"/>
          <w:szCs w:val="26"/>
          <w:shd w:val="clear" w:color="auto" w:fill="FFFFFF"/>
        </w:rPr>
        <w:t xml:space="preserve">от 4 июля 2011 г. </w:t>
      </w:r>
      <w:r w:rsidRPr="006E4E8F">
        <w:rPr>
          <w:sz w:val="26"/>
          <w:szCs w:val="26"/>
        </w:rPr>
        <w:t>№ 372-П</w:t>
      </w:r>
      <w:r w:rsidRPr="006E4E8F">
        <w:rPr>
          <w:color w:val="000000"/>
          <w:sz w:val="26"/>
          <w:szCs w:val="26"/>
          <w:shd w:val="clear" w:color="auto" w:fill="FFFFFF"/>
        </w:rPr>
        <w:t xml:space="preserve"> "О порядке бухгалтерского учета производных финансовых инструментов"</w:t>
      </w:r>
      <w:r>
        <w:rPr>
          <w:color w:val="000000"/>
          <w:sz w:val="26"/>
          <w:szCs w:val="26"/>
          <w:shd w:val="clear" w:color="auto" w:fill="FFFFFF"/>
        </w:rPr>
        <w:t xml:space="preserve"> (далее – Положение № 372-П)</w:t>
      </w:r>
      <w:r w:rsidRPr="006E4E8F">
        <w:rPr>
          <w:sz w:val="26"/>
          <w:szCs w:val="26"/>
        </w:rPr>
        <w:t>,</w:t>
      </w:r>
      <w:r w:rsidRPr="00EA53B2">
        <w:rPr>
          <w:sz w:val="26"/>
          <w:szCs w:val="26"/>
        </w:rPr>
        <w:t xml:space="preserve"> представляют собой разницу между курсом сделки и официальным курсом иностранной валюты</w:t>
      </w:r>
      <w:proofErr w:type="gramEnd"/>
      <w:r w:rsidRPr="00EA53B2">
        <w:rPr>
          <w:sz w:val="26"/>
          <w:szCs w:val="26"/>
        </w:rPr>
        <w:t xml:space="preserve"> по отношению к рублю на дату совершения сделки, </w:t>
      </w:r>
      <w:proofErr w:type="gramStart"/>
      <w:r w:rsidRPr="00EA53B2">
        <w:rPr>
          <w:sz w:val="26"/>
          <w:szCs w:val="26"/>
        </w:rPr>
        <w:t>увеличенным</w:t>
      </w:r>
      <w:proofErr w:type="gramEnd"/>
      <w:r w:rsidRPr="00EA53B2">
        <w:rPr>
          <w:sz w:val="26"/>
          <w:szCs w:val="26"/>
        </w:rPr>
        <w:t xml:space="preserve"> или уменьшенным на стоимость ПФИ. В проекте предусмотрено, что доходы по операциям (договорам) купли-продажи иностранной валюты, на которые распространяются требования Положения № 372-П, </w:t>
      </w:r>
      <w:r>
        <w:rPr>
          <w:sz w:val="26"/>
          <w:szCs w:val="26"/>
        </w:rPr>
        <w:t xml:space="preserve">будут </w:t>
      </w:r>
      <w:r w:rsidRPr="00EA53B2">
        <w:rPr>
          <w:sz w:val="26"/>
          <w:szCs w:val="26"/>
        </w:rPr>
        <w:t>определять</w:t>
      </w:r>
      <w:r>
        <w:rPr>
          <w:sz w:val="26"/>
          <w:szCs w:val="26"/>
        </w:rPr>
        <w:t>ся</w:t>
      </w:r>
      <w:r w:rsidRPr="00EA53B2">
        <w:rPr>
          <w:sz w:val="26"/>
          <w:szCs w:val="26"/>
        </w:rPr>
        <w:t xml:space="preserve"> без учета справедливой стоимости договора (ПФИ). </w:t>
      </w:r>
    </w:p>
    <w:p w:rsidR="00CE3D51" w:rsidRDefault="00CE3D51" w:rsidP="00CE3D51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 xml:space="preserve">Таким образом, нормы проекта Положения противоречат требованиям </w:t>
      </w:r>
      <w:r w:rsidRPr="00EA53B2">
        <w:rPr>
          <w:spacing w:val="-1"/>
          <w:sz w:val="26"/>
          <w:szCs w:val="26"/>
        </w:rPr>
        <w:t>Положения № 372-П.</w:t>
      </w:r>
      <w:r w:rsidRPr="00EA53B2">
        <w:rPr>
          <w:sz w:val="26"/>
          <w:szCs w:val="26"/>
        </w:rPr>
        <w:t xml:space="preserve"> Означает ли это</w:t>
      </w:r>
      <w:r>
        <w:rPr>
          <w:sz w:val="26"/>
          <w:szCs w:val="26"/>
        </w:rPr>
        <w:t xml:space="preserve">, что после </w:t>
      </w:r>
      <w:r w:rsidRPr="00EA53B2">
        <w:rPr>
          <w:sz w:val="26"/>
          <w:szCs w:val="26"/>
        </w:rPr>
        <w:t>введени</w:t>
      </w:r>
      <w:r>
        <w:rPr>
          <w:sz w:val="26"/>
          <w:szCs w:val="26"/>
        </w:rPr>
        <w:t>я</w:t>
      </w:r>
      <w:r w:rsidRPr="00EA53B2">
        <w:rPr>
          <w:sz w:val="26"/>
          <w:szCs w:val="26"/>
        </w:rPr>
        <w:t xml:space="preserve"> данной нормы </w:t>
      </w:r>
      <w:r>
        <w:rPr>
          <w:sz w:val="26"/>
          <w:szCs w:val="26"/>
        </w:rPr>
        <w:t xml:space="preserve">будут </w:t>
      </w:r>
      <w:r w:rsidRPr="00EA53B2">
        <w:rPr>
          <w:sz w:val="26"/>
          <w:szCs w:val="26"/>
        </w:rPr>
        <w:t>внесен</w:t>
      </w:r>
      <w:r>
        <w:rPr>
          <w:sz w:val="26"/>
          <w:szCs w:val="26"/>
        </w:rPr>
        <w:t>ы</w:t>
      </w:r>
      <w:r w:rsidRPr="00EA53B2">
        <w:rPr>
          <w:sz w:val="26"/>
          <w:szCs w:val="26"/>
        </w:rPr>
        <w:t xml:space="preserve"> соответствующи</w:t>
      </w:r>
      <w:r>
        <w:rPr>
          <w:sz w:val="26"/>
          <w:szCs w:val="26"/>
        </w:rPr>
        <w:t>е</w:t>
      </w:r>
      <w:r w:rsidRPr="00EA53B2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EA53B2">
        <w:rPr>
          <w:sz w:val="26"/>
          <w:szCs w:val="26"/>
        </w:rPr>
        <w:t xml:space="preserve"> в Положение № 372-П?</w:t>
      </w:r>
    </w:p>
    <w:p w:rsidR="00A42B8B" w:rsidRPr="00EA53B2" w:rsidRDefault="00A42B8B" w:rsidP="00CE3D51">
      <w:pPr>
        <w:tabs>
          <w:tab w:val="left" w:pos="426"/>
        </w:tabs>
        <w:ind w:left="-567" w:firstLine="567"/>
        <w:jc w:val="both"/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 xml:space="preserve">В пункте 1.13 </w:t>
      </w:r>
      <w:r>
        <w:rPr>
          <w:sz w:val="26"/>
          <w:szCs w:val="26"/>
        </w:rPr>
        <w:t xml:space="preserve">проекта </w:t>
      </w:r>
      <w:r w:rsidRPr="00EA53B2">
        <w:rPr>
          <w:sz w:val="26"/>
          <w:szCs w:val="26"/>
        </w:rPr>
        <w:t>предусмотрено, что переоценка долей в уставном капитале дочерних и зависимых организаций, стоимость которых при приобретении была выражена в иностранной валюте, учитываемых на счетах по учету участия в дочерних и зависимых акционерных обществах, паевых инвестиционных фондах с даты их признания не осуществляется. Предлагается в проекте Положения опр</w:t>
      </w:r>
      <w:r>
        <w:rPr>
          <w:sz w:val="26"/>
          <w:szCs w:val="26"/>
        </w:rPr>
        <w:t>еделить порядок учета доходов (</w:t>
      </w:r>
      <w:r w:rsidRPr="00EA53B2">
        <w:rPr>
          <w:sz w:val="26"/>
          <w:szCs w:val="26"/>
        </w:rPr>
        <w:t>расходов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>, возникающих в случае необходимости переноса долевых ценных бумаг со счетов 506 (суммы переоцениваются)  на счет 601 (не переоценивается).</w:t>
      </w:r>
    </w:p>
    <w:p w:rsidR="00A42B8B" w:rsidRPr="00EA53B2" w:rsidRDefault="00A42B8B" w:rsidP="00A42B8B">
      <w:pPr>
        <w:pStyle w:val="a5"/>
        <w:widowControl/>
        <w:tabs>
          <w:tab w:val="left" w:pos="426"/>
        </w:tabs>
        <w:autoSpaceDE/>
        <w:autoSpaceDN/>
        <w:adjustRightInd/>
        <w:ind w:left="0"/>
        <w:jc w:val="both"/>
        <w:rPr>
          <w:sz w:val="26"/>
          <w:szCs w:val="26"/>
        </w:rPr>
      </w:pPr>
    </w:p>
    <w:p w:rsidR="00CE3D51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В соответствии с п. 2.8 проекта Положения лицевые счета открываются по символам ОФР. При этом количество лицевых счетов по каждому символу определяется кредитной организацией самостоятельно. Одновременно, на основании требований Банка России к нумерации лицевых счетов по учету доходов и расходов, возможное количество лицевых счетов не может превышать 100 счетов. При этом п. 6.2 проекта определено, что аналитический учет доходов от переоценки приобретенных долговых и долевых ценных бумаг ведется  в разрезе государственных регистрационных номеров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A53B2">
        <w:rPr>
          <w:rFonts w:ascii="Times New Roman" w:hAnsi="Times New Roman" w:cs="Times New Roman"/>
          <w:sz w:val="26"/>
          <w:szCs w:val="26"/>
        </w:rPr>
        <w:t>количество которых может превысить зна</w:t>
      </w:r>
      <w:r>
        <w:rPr>
          <w:rFonts w:ascii="Times New Roman" w:hAnsi="Times New Roman" w:cs="Times New Roman"/>
          <w:sz w:val="26"/>
          <w:szCs w:val="26"/>
        </w:rPr>
        <w:t>чение 100</w:t>
      </w:r>
      <w:r w:rsidRPr="00EA53B2">
        <w:rPr>
          <w:rFonts w:ascii="Times New Roman" w:hAnsi="Times New Roman" w:cs="Times New Roman"/>
          <w:sz w:val="26"/>
          <w:szCs w:val="26"/>
        </w:rPr>
        <w:t xml:space="preserve">. С учетом наличия  ограничения на количество открываемых лицевых счетов на одном символе предлагается рассмотреть возможность внесения уточнений в порядок ведения аналитического учета, установленный   п. 6.2 проекта. </w:t>
      </w:r>
    </w:p>
    <w:p w:rsidR="00CE3D51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Аналогичные комментарии были высказаны в отношении порядка учета расходов от переоценки приобретенных долговых и долевых ценных бумаг.</w:t>
      </w:r>
    </w:p>
    <w:p w:rsidR="00A42B8B" w:rsidRPr="00EA53B2" w:rsidRDefault="00A42B8B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Pr="00EA53B2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Согласно п. 3.2 проекта Положения доходы по операциям поставки (реализации) активов определяются на основе «справедливой стоимости полученного или причитающегося возмещения». Предлагается установить в проекте Положения:</w:t>
      </w:r>
    </w:p>
    <w:p w:rsidR="00CE3D51" w:rsidRPr="00EA53B2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A53B2">
        <w:rPr>
          <w:rFonts w:ascii="Times New Roman" w:hAnsi="Times New Roman" w:cs="Times New Roman"/>
          <w:sz w:val="26"/>
          <w:szCs w:val="26"/>
        </w:rPr>
        <w:t>порядок и критерии, в соответствии с которыми кредитные организации должны определять справедливую стоимость полученного или причитающегося возмещения;</w:t>
      </w:r>
    </w:p>
    <w:p w:rsidR="00CE3D51" w:rsidRPr="00EA53B2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53B2">
        <w:rPr>
          <w:rFonts w:ascii="Times New Roman" w:hAnsi="Times New Roman" w:cs="Times New Roman"/>
          <w:sz w:val="26"/>
          <w:szCs w:val="26"/>
        </w:rPr>
        <w:t>порядок, которым кредитным организациям надлежит осуществлять документальное оформление операции по реализации активов в случае продажи актива по цене, отличной от справедливой стоимости полученного или причитающегося возмещения;</w:t>
      </w:r>
    </w:p>
    <w:p w:rsidR="00CE3D51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- какими бухгалтерскими проводками в бухгалтерском учете отражается факт реализации актива по стоимости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3B2">
        <w:rPr>
          <w:rFonts w:ascii="Times New Roman" w:hAnsi="Times New Roman" w:cs="Times New Roman"/>
          <w:sz w:val="26"/>
          <w:szCs w:val="26"/>
        </w:rPr>
        <w:t xml:space="preserve"> отличной от справедливой стоимости полученного или причитающегося возмещения.</w:t>
      </w:r>
    </w:p>
    <w:p w:rsidR="00A42B8B" w:rsidRPr="00EA53B2" w:rsidRDefault="00A42B8B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Pr="00EA53B2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after="200"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В соответствии с п. 3.3 (</w:t>
      </w:r>
      <w:proofErr w:type="spellStart"/>
      <w:r w:rsidRPr="00EA53B2">
        <w:rPr>
          <w:sz w:val="26"/>
          <w:szCs w:val="26"/>
        </w:rPr>
        <w:t>д</w:t>
      </w:r>
      <w:proofErr w:type="spellEnd"/>
      <w:r w:rsidRPr="00EA53B2">
        <w:rPr>
          <w:sz w:val="26"/>
          <w:szCs w:val="26"/>
        </w:rPr>
        <w:t>) поступления в виде разницы между фактическими затратами на выкуп собственных акций или долей и их балансовой стоимостью не признаются доходами кредитной организации.  При этом в Главе 15 «Принципы признания и определения расходов» отсутствуют положения</w:t>
      </w:r>
      <w:r>
        <w:rPr>
          <w:sz w:val="26"/>
          <w:szCs w:val="26"/>
        </w:rPr>
        <w:t>,</w:t>
      </w:r>
      <w:r w:rsidRPr="00EA53B2">
        <w:rPr>
          <w:sz w:val="26"/>
          <w:szCs w:val="26"/>
        </w:rPr>
        <w:t xml:space="preserve"> определяющие порядок признания расходов по данным операциям. Исходя из этого следует вывод, что положительная и отрицательная разница между фактическими затратами на выкуп собственных акций или долей и их балансовой стоимостью отражаются в бухгалтерском учете по-разному.</w:t>
      </w:r>
    </w:p>
    <w:p w:rsidR="00CE3D51" w:rsidRPr="00EA53B2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В связи с тем, что в бухгалтерском учете стоимость размещенных собственных акций учитывается в разрезе номинальной стоимости и эмиссионного дохода, предлагается внести  в проект Положения уточнение, что следует понимать под «балансовой стоимостью собственных акций».</w:t>
      </w:r>
    </w:p>
    <w:p w:rsidR="00CE3D51" w:rsidRPr="00EA53B2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Также предлагается дополнить проект Положения порядком отнесения на расходы разницы между фактическими затратами на выкуп собственных акций или долей и их балансовой стоимостью (символ статьи расходов).</w:t>
      </w:r>
    </w:p>
    <w:p w:rsidR="00CE3D51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proofErr w:type="gramStart"/>
      <w:r w:rsidRPr="00EA53B2">
        <w:rPr>
          <w:sz w:val="26"/>
          <w:szCs w:val="26"/>
        </w:rPr>
        <w:t xml:space="preserve">В связи с вышеизложенным необходимо установить в Положении </w:t>
      </w:r>
      <w:r w:rsidRPr="00133BB7">
        <w:rPr>
          <w:color w:val="000000"/>
          <w:sz w:val="26"/>
          <w:szCs w:val="26"/>
          <w:shd w:val="clear" w:color="auto" w:fill="FFFFFF"/>
        </w:rPr>
        <w:t xml:space="preserve">Банка России от 16 июля 2012 г. </w:t>
      </w:r>
      <w:r w:rsidRPr="00133BB7">
        <w:rPr>
          <w:sz w:val="26"/>
          <w:szCs w:val="26"/>
        </w:rPr>
        <w:t xml:space="preserve">№ 385-П </w:t>
      </w:r>
      <w:r w:rsidRPr="00133BB7">
        <w:rPr>
          <w:color w:val="000000"/>
          <w:sz w:val="26"/>
          <w:szCs w:val="26"/>
          <w:shd w:val="clear" w:color="auto" w:fill="FFFFFF"/>
        </w:rPr>
        <w:t>"О правилах ведения бухгалтерского учета в кредитных организациях, расположенных на территории Российской Федерации"</w:t>
      </w:r>
      <w:r w:rsidRPr="00133BB7">
        <w:rPr>
          <w:color w:val="000000"/>
          <w:sz w:val="26"/>
          <w:szCs w:val="26"/>
        </w:rPr>
        <w:t xml:space="preserve"> (далее – Положение № 385-П)</w:t>
      </w:r>
      <w:r>
        <w:rPr>
          <w:color w:val="000000"/>
          <w:sz w:val="26"/>
          <w:szCs w:val="26"/>
        </w:rPr>
        <w:t xml:space="preserve"> </w:t>
      </w:r>
      <w:r w:rsidRPr="00EA53B2">
        <w:rPr>
          <w:sz w:val="26"/>
          <w:szCs w:val="26"/>
        </w:rPr>
        <w:t xml:space="preserve">порядок отражения разницы (положительной/отрицательной) между фактическими затратами на выкуп собственных акций или долей и их балансовой стоимостью.  </w:t>
      </w:r>
      <w:proofErr w:type="gramEnd"/>
    </w:p>
    <w:p w:rsidR="00A42B8B" w:rsidRPr="00EA53B2" w:rsidRDefault="00A42B8B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E3D51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 xml:space="preserve">В соответствии с п. 4.6 проекта Положения </w:t>
      </w:r>
      <w:r w:rsidRPr="00EA53B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процентным доходам относится комиссионный доход в виде перечисленных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EA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комиссионных вознаграждений (сборов) по операциям, которые приносят процентный доход. </w:t>
      </w:r>
      <w:r w:rsidRPr="00EA53B2">
        <w:rPr>
          <w:rFonts w:ascii="Times New Roman" w:hAnsi="Times New Roman" w:cs="Times New Roman"/>
          <w:sz w:val="26"/>
          <w:szCs w:val="26"/>
        </w:rPr>
        <w:t xml:space="preserve"> Предлагается отразить в проекте Положения необходимость определения отсутствия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A53B2">
        <w:rPr>
          <w:rFonts w:ascii="Times New Roman" w:hAnsi="Times New Roman" w:cs="Times New Roman"/>
          <w:sz w:val="26"/>
          <w:szCs w:val="26"/>
        </w:rPr>
        <w:t>наличия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A53B2">
        <w:rPr>
          <w:rFonts w:ascii="Times New Roman" w:hAnsi="Times New Roman" w:cs="Times New Roman"/>
          <w:sz w:val="26"/>
          <w:szCs w:val="26"/>
        </w:rPr>
        <w:t xml:space="preserve"> неопределенности в получении указанных доходов на основании оценки качества требований в соответствии с п. 4.1 проекта.</w:t>
      </w:r>
    </w:p>
    <w:p w:rsidR="00A42B8B" w:rsidRDefault="00A42B8B" w:rsidP="00A42B8B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284"/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Просьба разъяснить порядок отражения п</w:t>
      </w:r>
      <w:r>
        <w:rPr>
          <w:sz w:val="26"/>
          <w:szCs w:val="26"/>
        </w:rPr>
        <w:t>роцентных доходов от размещения средств в иностранной валюте. Правильно ли понимать, что они отражаются в ОФР как процентные доходы по прочим размещенным средствам по соответствующим символам раздела 101 «Процентные доходы» главы I «Процентные доходы и доходы от восстановления резервов на возможные потери» в графе 5?</w:t>
      </w:r>
    </w:p>
    <w:p w:rsidR="00A42B8B" w:rsidRPr="00091857" w:rsidRDefault="00A42B8B" w:rsidP="00A42B8B">
      <w:pPr>
        <w:pStyle w:val="a5"/>
        <w:widowControl/>
        <w:tabs>
          <w:tab w:val="left" w:pos="284"/>
          <w:tab w:val="left" w:pos="426"/>
        </w:tabs>
        <w:ind w:left="0"/>
        <w:jc w:val="both"/>
        <w:rPr>
          <w:sz w:val="26"/>
          <w:szCs w:val="26"/>
        </w:rPr>
      </w:pPr>
    </w:p>
    <w:p w:rsidR="00CE3D51" w:rsidRPr="00EA53B2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В связи с тем, что в Положении № 372-П не отражен порядок признания доходов и расходов от производных финансовых инструментов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3B2">
        <w:rPr>
          <w:rFonts w:ascii="Times New Roman" w:hAnsi="Times New Roman" w:cs="Times New Roman"/>
          <w:sz w:val="26"/>
          <w:szCs w:val="26"/>
        </w:rPr>
        <w:t xml:space="preserve"> предлагается более детально описать данный вопрос в п. 6.3 проекта Положения. В частности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53B2">
        <w:rPr>
          <w:rFonts w:ascii="Times New Roman" w:hAnsi="Times New Roman" w:cs="Times New Roman"/>
          <w:sz w:val="26"/>
          <w:szCs w:val="26"/>
        </w:rPr>
        <w:t xml:space="preserve"> предлагается регламентировать следующие аспекты:</w:t>
      </w:r>
    </w:p>
    <w:p w:rsidR="00CE3D51" w:rsidRPr="00EA53B2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- порядок определения даты признания доходов и расходов от ПФИ, включая расчетные договоры;</w:t>
      </w:r>
    </w:p>
    <w:p w:rsidR="00CE3D51" w:rsidRDefault="00CE3D51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- особенности признания  и необходимость отдельного выделения доходов и расходов от переоценки ПФИ по справедливой стоимости.</w:t>
      </w:r>
    </w:p>
    <w:p w:rsidR="00A42B8B" w:rsidRPr="00EA53B2" w:rsidRDefault="00A42B8B" w:rsidP="00CE3D51">
      <w:pPr>
        <w:pStyle w:val="aa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>Согласно п. 3.4. Части III Положения № 385-П не являются ошибками неточности или пропуски в отражении фактов хозяйственной жизни в бухгалтерском учете, выявленные в результате получения новой информации, которая не была доступна кредитной организации на момент отражения (</w:t>
      </w:r>
      <w:proofErr w:type="spellStart"/>
      <w:r w:rsidRPr="00EA53B2">
        <w:rPr>
          <w:rFonts w:ascii="Times New Roman" w:hAnsi="Times New Roman" w:cs="Times New Roman"/>
          <w:sz w:val="26"/>
          <w:szCs w:val="26"/>
        </w:rPr>
        <w:t>неотражения</w:t>
      </w:r>
      <w:proofErr w:type="spellEnd"/>
      <w:r w:rsidRPr="00EA53B2">
        <w:rPr>
          <w:rFonts w:ascii="Times New Roman" w:hAnsi="Times New Roman" w:cs="Times New Roman"/>
          <w:sz w:val="26"/>
          <w:szCs w:val="26"/>
        </w:rPr>
        <w:t>) таких фактов хозяйственной жизни в бухгалтерском учете. В связи с чем, предлагается указать в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A53B2">
        <w:rPr>
          <w:rFonts w:ascii="Times New Roman" w:hAnsi="Times New Roman" w:cs="Times New Roman"/>
          <w:sz w:val="26"/>
          <w:szCs w:val="26"/>
        </w:rPr>
        <w:t xml:space="preserve"> п. 14.3 проекта Положения, что к доходам прошлых лет в т.ч.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53B2">
        <w:rPr>
          <w:rFonts w:ascii="Times New Roman" w:hAnsi="Times New Roman" w:cs="Times New Roman"/>
          <w:sz w:val="26"/>
          <w:szCs w:val="26"/>
        </w:rPr>
        <w:t>относятся доходы, выявленные в результате получения новой информации, которая не была доступна кредитной организации на момент (период) признания указанных доходов в бухгалтерском учете. Аналогичные комментарии были высказаны в отношении п. 25.4 проекта в части признания расходов прошлых лет.</w:t>
      </w:r>
    </w:p>
    <w:p w:rsidR="00A42B8B" w:rsidRPr="00EA53B2" w:rsidRDefault="00A42B8B" w:rsidP="00A42B8B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Default="00CE3D51" w:rsidP="00CE3D51">
      <w:pPr>
        <w:pStyle w:val="aa"/>
        <w:numPr>
          <w:ilvl w:val="0"/>
          <w:numId w:val="3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3B2">
        <w:rPr>
          <w:rFonts w:ascii="Times New Roman" w:hAnsi="Times New Roman" w:cs="Times New Roman"/>
          <w:sz w:val="26"/>
          <w:szCs w:val="26"/>
        </w:rPr>
        <w:t xml:space="preserve"> Предлагается дополнить п. 14.3 и п. 25.4 проекта хозяйственными операциями. В рассматриваемой редакции Порядка обозначены только банковские операции.</w:t>
      </w:r>
    </w:p>
    <w:p w:rsidR="00A42B8B" w:rsidRPr="00EA53B2" w:rsidRDefault="00A42B8B" w:rsidP="00A42B8B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-567" w:firstLine="567"/>
        <w:jc w:val="both"/>
        <w:rPr>
          <w:sz w:val="26"/>
          <w:szCs w:val="26"/>
        </w:rPr>
      </w:pPr>
      <w:proofErr w:type="gramStart"/>
      <w:r w:rsidRPr="00EA53B2">
        <w:rPr>
          <w:sz w:val="26"/>
          <w:szCs w:val="26"/>
        </w:rPr>
        <w:t xml:space="preserve">Предлагается конкретизировать даты признания расходов по заработной плате в Главе </w:t>
      </w:r>
      <w:r w:rsidRPr="000718B9">
        <w:rPr>
          <w:sz w:val="26"/>
          <w:szCs w:val="26"/>
        </w:rPr>
        <w:t>24 проекта Положения, а также проанализировать</w:t>
      </w:r>
      <w:r w:rsidRPr="00D904EA">
        <w:rPr>
          <w:sz w:val="26"/>
          <w:szCs w:val="26"/>
        </w:rPr>
        <w:t xml:space="preserve"> содержание п. 24.12 проекта на предмет отсутствия противоречия с п. 6.23 Части </w:t>
      </w:r>
      <w:r w:rsidRPr="00D904EA">
        <w:rPr>
          <w:sz w:val="26"/>
          <w:szCs w:val="26"/>
          <w:lang w:val="en-US"/>
        </w:rPr>
        <w:t>II</w:t>
      </w:r>
      <w:r w:rsidRPr="00D904EA">
        <w:rPr>
          <w:sz w:val="26"/>
          <w:szCs w:val="26"/>
        </w:rPr>
        <w:t xml:space="preserve"> Положения № 385-П в части отнесения к расходам будущих периодов сумм заработной платы, начисленной за будущие отчетные годы (например, начисление в декабре отпускных за январь-февраль следующего года).</w:t>
      </w:r>
      <w:proofErr w:type="gramEnd"/>
    </w:p>
    <w:p w:rsidR="00A42B8B" w:rsidRPr="00D904EA" w:rsidRDefault="00A42B8B" w:rsidP="00A42B8B">
      <w:pPr>
        <w:pStyle w:val="a5"/>
        <w:widowControl/>
        <w:tabs>
          <w:tab w:val="left" w:pos="426"/>
        </w:tabs>
        <w:autoSpaceDE/>
        <w:autoSpaceDN/>
        <w:adjustRightInd/>
        <w:ind w:left="0"/>
        <w:jc w:val="both"/>
        <w:rPr>
          <w:sz w:val="26"/>
          <w:szCs w:val="26"/>
        </w:rPr>
      </w:pPr>
    </w:p>
    <w:p w:rsidR="00CE3D51" w:rsidRDefault="00CE3D51" w:rsidP="00CE3D51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-567" w:firstLine="567"/>
        <w:contextualSpacing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proofErr w:type="gramStart"/>
      <w:r w:rsidRPr="00133BB7">
        <w:rPr>
          <w:rFonts w:eastAsia="Times New Roman"/>
          <w:sz w:val="26"/>
          <w:szCs w:val="26"/>
        </w:rPr>
        <w:t>Пунктом 18.3 проекта Положения установлено, что расходы, связанные со списанием безнадежных к взысканию долговых ценных бумаг, не погашенных в срок, отражаются в ОФР по соответствующим символам Раздела 2 «Расходы (кроме процентных) по операциям с приобретенными долговыми ценными бумагами» в корреспонденции со счетами по учету выбытия/реализации ценных бумаг</w:t>
      </w:r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 xml:space="preserve"> П</w:t>
      </w:r>
      <w:r w:rsidRPr="00133BB7">
        <w:rPr>
          <w:rFonts w:eastAsia="Times New Roman"/>
          <w:sz w:val="26"/>
          <w:szCs w:val="26"/>
        </w:rPr>
        <w:t>редусмотрено ли проектом Положения  списание долговых ценных бумаг за счет сформированного резерва на возможные</w:t>
      </w:r>
      <w:r>
        <w:rPr>
          <w:rFonts w:eastAsia="Times New Roman"/>
          <w:sz w:val="26"/>
          <w:szCs w:val="26"/>
        </w:rPr>
        <w:t xml:space="preserve"> потери?</w:t>
      </w:r>
    </w:p>
    <w:p w:rsidR="00A42B8B" w:rsidRPr="00133BB7" w:rsidRDefault="00A42B8B" w:rsidP="00A42B8B">
      <w:pPr>
        <w:widowControl/>
        <w:tabs>
          <w:tab w:val="left" w:pos="426"/>
        </w:tabs>
        <w:autoSpaceDE/>
        <w:autoSpaceDN/>
        <w:adjustRightInd/>
        <w:contextualSpacing/>
        <w:jc w:val="both"/>
        <w:rPr>
          <w:rFonts w:eastAsia="Times New Roman"/>
          <w:sz w:val="26"/>
          <w:szCs w:val="26"/>
        </w:rPr>
      </w:pPr>
    </w:p>
    <w:p w:rsidR="00CE3D51" w:rsidRPr="00EA53B2" w:rsidRDefault="00CE3D51" w:rsidP="00CE3D51">
      <w:pPr>
        <w:pStyle w:val="a5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after="200"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В соответствии с п. 3.3 (</w:t>
      </w:r>
      <w:proofErr w:type="spellStart"/>
      <w:r w:rsidRPr="00EA53B2">
        <w:rPr>
          <w:sz w:val="26"/>
          <w:szCs w:val="26"/>
        </w:rPr>
        <w:t>д</w:t>
      </w:r>
      <w:proofErr w:type="spellEnd"/>
      <w:r w:rsidRPr="00EA53B2">
        <w:rPr>
          <w:sz w:val="26"/>
          <w:szCs w:val="26"/>
        </w:rPr>
        <w:t>) поступления в виде разницы между фактическими затратами на выкуп собственных акций или долей и их балансовой стоимостью не признаются доходами кредитной организации.  При этом в Главе 15 «Принципы признания и определения расходов» отсутствуют положения</w:t>
      </w:r>
      <w:r>
        <w:rPr>
          <w:sz w:val="26"/>
          <w:szCs w:val="26"/>
        </w:rPr>
        <w:t>,</w:t>
      </w:r>
      <w:r w:rsidRPr="00EA53B2">
        <w:rPr>
          <w:sz w:val="26"/>
          <w:szCs w:val="26"/>
        </w:rPr>
        <w:t xml:space="preserve"> определяющие порядок признания расходов по данным операциям. Исходя из этого следует вывод, что положительная и отрицательная разница между фактическими затратами на выкуп собственных акций или долей и их балансовой стоимостью отражаются в бухгалтерском учете по-разному.</w:t>
      </w:r>
    </w:p>
    <w:p w:rsidR="00CE3D51" w:rsidRPr="00EA53B2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В связи с тем, что в бухгалтерском учете стоимость размещенных собственных акций учитывается в разрезе номинальной стоимости и эмиссионного дохода, предлагается внести  в проект Положения уточнение, что следует понимать под «балансовой стоимостью собственных акций».</w:t>
      </w:r>
    </w:p>
    <w:p w:rsidR="00CE3D51" w:rsidRPr="00EA53B2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Также предлагается дополнить проект Положения порядком отнесения на расходы разницы между фактическими затратами на выкуп собственных акций или долей и их балансовой стоимостью (символ статьи расходов).</w:t>
      </w:r>
    </w:p>
    <w:p w:rsidR="00CE3D51" w:rsidRDefault="00CE3D51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 xml:space="preserve">В связи с </w:t>
      </w:r>
      <w:proofErr w:type="gramStart"/>
      <w:r w:rsidRPr="00EA53B2">
        <w:rPr>
          <w:sz w:val="26"/>
          <w:szCs w:val="26"/>
        </w:rPr>
        <w:t>вышеизложенным</w:t>
      </w:r>
      <w:proofErr w:type="gramEnd"/>
      <w:r w:rsidRPr="00EA53B2">
        <w:rPr>
          <w:sz w:val="26"/>
          <w:szCs w:val="26"/>
        </w:rPr>
        <w:t xml:space="preserve"> необходимо определить в Положении № 385-П порядок отражения разницы (положительной/отрицательной) между фактическими затратами на выкуп собственных акций или долей и их балансовой стоимостью.  </w:t>
      </w:r>
    </w:p>
    <w:p w:rsidR="00A42B8B" w:rsidRPr="00EA53B2" w:rsidRDefault="00A42B8B" w:rsidP="00CE3D51">
      <w:pPr>
        <w:pStyle w:val="a5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27"/>
        </w:numPr>
        <w:shd w:val="clear" w:color="auto" w:fill="FFFFFF"/>
        <w:tabs>
          <w:tab w:val="left" w:pos="426"/>
          <w:tab w:val="left" w:pos="989"/>
        </w:tabs>
        <w:autoSpaceDE/>
        <w:autoSpaceDN/>
        <w:adjustRightInd/>
        <w:spacing w:after="200"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В структуре отсутствую</w:t>
      </w:r>
      <w:r>
        <w:rPr>
          <w:sz w:val="26"/>
          <w:szCs w:val="26"/>
        </w:rPr>
        <w:t>т символы для отражения доходов (</w:t>
      </w:r>
      <w:r w:rsidRPr="00EA53B2">
        <w:rPr>
          <w:sz w:val="26"/>
          <w:szCs w:val="26"/>
        </w:rPr>
        <w:t>расходов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 xml:space="preserve"> прошлых лет, </w:t>
      </w:r>
      <w:r w:rsidRPr="00EA53B2">
        <w:rPr>
          <w:spacing w:val="-1"/>
          <w:sz w:val="26"/>
          <w:szCs w:val="26"/>
        </w:rPr>
        <w:t xml:space="preserve">выявленных в отчетном году, по операциям привлечения и предоставления (размещения) </w:t>
      </w:r>
      <w:r w:rsidRPr="00EA53B2">
        <w:rPr>
          <w:sz w:val="26"/>
          <w:szCs w:val="26"/>
        </w:rPr>
        <w:t>денежных средств. Предусмотрены только символ</w:t>
      </w:r>
      <w:r>
        <w:rPr>
          <w:sz w:val="26"/>
          <w:szCs w:val="26"/>
        </w:rPr>
        <w:t>ы для отражения доходов (</w:t>
      </w:r>
      <w:r w:rsidRPr="00EA53B2">
        <w:rPr>
          <w:sz w:val="26"/>
          <w:szCs w:val="26"/>
        </w:rPr>
        <w:t>расходов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 xml:space="preserve"> </w:t>
      </w:r>
      <w:r w:rsidRPr="00EA53B2">
        <w:rPr>
          <w:spacing w:val="-1"/>
          <w:sz w:val="26"/>
          <w:szCs w:val="26"/>
        </w:rPr>
        <w:t>прошлых лет, выявленных в отчетно</w:t>
      </w:r>
      <w:r>
        <w:rPr>
          <w:spacing w:val="-1"/>
          <w:sz w:val="26"/>
          <w:szCs w:val="26"/>
        </w:rPr>
        <w:t>м году, по операционным доходам (</w:t>
      </w:r>
      <w:r w:rsidRPr="00EA53B2">
        <w:rPr>
          <w:spacing w:val="-1"/>
          <w:sz w:val="26"/>
          <w:szCs w:val="26"/>
        </w:rPr>
        <w:t>расходам</w:t>
      </w:r>
      <w:r>
        <w:rPr>
          <w:spacing w:val="-1"/>
          <w:sz w:val="26"/>
          <w:szCs w:val="26"/>
        </w:rPr>
        <w:t>)</w:t>
      </w:r>
      <w:r w:rsidRPr="00EA53B2">
        <w:rPr>
          <w:spacing w:val="-1"/>
          <w:sz w:val="26"/>
          <w:szCs w:val="26"/>
        </w:rPr>
        <w:t xml:space="preserve">. </w:t>
      </w:r>
      <w:proofErr w:type="gramStart"/>
      <w:r w:rsidRPr="00EA53B2">
        <w:rPr>
          <w:spacing w:val="-1"/>
          <w:sz w:val="26"/>
          <w:szCs w:val="26"/>
        </w:rPr>
        <w:t xml:space="preserve">Требует уточнения, следует ли, в частности, корректировку процентов, полученных (выплаченных) в </w:t>
      </w:r>
      <w:r w:rsidRPr="00EA53B2">
        <w:rPr>
          <w:sz w:val="26"/>
          <w:szCs w:val="26"/>
        </w:rPr>
        <w:t>предшествующие годы, отражать на счетах по учету доходов (расходов) текущего года.</w:t>
      </w:r>
      <w:proofErr w:type="gramEnd"/>
    </w:p>
    <w:p w:rsidR="00A42B8B" w:rsidRPr="00EA53B2" w:rsidRDefault="00A42B8B" w:rsidP="00A42B8B">
      <w:pPr>
        <w:pStyle w:val="a5"/>
        <w:widowControl/>
        <w:shd w:val="clear" w:color="auto" w:fill="FFFFFF"/>
        <w:tabs>
          <w:tab w:val="left" w:pos="426"/>
          <w:tab w:val="left" w:pos="989"/>
        </w:tabs>
        <w:autoSpaceDE/>
        <w:autoSpaceDN/>
        <w:adjustRightInd/>
        <w:spacing w:after="200"/>
        <w:ind w:left="0"/>
        <w:jc w:val="both"/>
        <w:rPr>
          <w:sz w:val="26"/>
          <w:szCs w:val="26"/>
        </w:rPr>
      </w:pPr>
    </w:p>
    <w:p w:rsidR="00CE3D51" w:rsidRPr="00EA53B2" w:rsidRDefault="00CE3D51" w:rsidP="00CE3D51">
      <w:pPr>
        <w:pStyle w:val="a5"/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after="200"/>
        <w:ind w:left="-567" w:firstLine="567"/>
        <w:jc w:val="both"/>
        <w:rPr>
          <w:color w:val="FF0000"/>
          <w:sz w:val="26"/>
          <w:szCs w:val="26"/>
        </w:rPr>
      </w:pPr>
      <w:proofErr w:type="gramStart"/>
      <w:r w:rsidRPr="00EA53B2">
        <w:rPr>
          <w:sz w:val="26"/>
          <w:szCs w:val="26"/>
        </w:rPr>
        <w:t>Предлагае</w:t>
      </w:r>
      <w:r>
        <w:rPr>
          <w:sz w:val="26"/>
          <w:szCs w:val="26"/>
        </w:rPr>
        <w:t>тся</w:t>
      </w:r>
      <w:r w:rsidRPr="00EA53B2">
        <w:rPr>
          <w:sz w:val="26"/>
          <w:szCs w:val="26"/>
        </w:rPr>
        <w:t xml:space="preserve"> исключить дета</w:t>
      </w:r>
      <w:r>
        <w:rPr>
          <w:sz w:val="26"/>
          <w:szCs w:val="26"/>
        </w:rPr>
        <w:t>лизацию статей по учету доходов (</w:t>
      </w:r>
      <w:r w:rsidRPr="00EA53B2">
        <w:rPr>
          <w:sz w:val="26"/>
          <w:szCs w:val="26"/>
        </w:rPr>
        <w:t>расходов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 xml:space="preserve"> от переоценки средств в иностранной валюте в разрезе видов валют (доллары США, евро, </w:t>
      </w:r>
      <w:r w:rsidRPr="00EA53B2">
        <w:rPr>
          <w:spacing w:val="-1"/>
          <w:sz w:val="26"/>
          <w:szCs w:val="26"/>
        </w:rPr>
        <w:t xml:space="preserve">фунты стерлингов, швейцарские франки, японские </w:t>
      </w:r>
      <w:proofErr w:type="spellStart"/>
      <w:r w:rsidRPr="00EA53B2">
        <w:rPr>
          <w:spacing w:val="-1"/>
          <w:sz w:val="26"/>
          <w:szCs w:val="26"/>
        </w:rPr>
        <w:t>йены</w:t>
      </w:r>
      <w:proofErr w:type="spellEnd"/>
      <w:r w:rsidRPr="00EA53B2">
        <w:rPr>
          <w:spacing w:val="-1"/>
          <w:sz w:val="26"/>
          <w:szCs w:val="26"/>
        </w:rPr>
        <w:t xml:space="preserve">), т.к. указанная детализация не используется ни при определении финансового результата от операций покупки-продажи </w:t>
      </w:r>
      <w:r w:rsidRPr="00EA53B2">
        <w:rPr>
          <w:sz w:val="26"/>
          <w:szCs w:val="26"/>
        </w:rPr>
        <w:t>иностранной в</w:t>
      </w:r>
      <w:r>
        <w:rPr>
          <w:sz w:val="26"/>
          <w:szCs w:val="26"/>
        </w:rPr>
        <w:t>алюты, ни при отражении доходов (</w:t>
      </w:r>
      <w:r w:rsidRPr="00EA53B2">
        <w:rPr>
          <w:sz w:val="26"/>
          <w:szCs w:val="26"/>
        </w:rPr>
        <w:t>расходов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 xml:space="preserve"> от применения НВПИ (в предлагаемой редакции </w:t>
      </w:r>
      <w:r>
        <w:rPr>
          <w:sz w:val="26"/>
          <w:szCs w:val="26"/>
        </w:rPr>
        <w:t>отсутствует детализация доходов (</w:t>
      </w:r>
      <w:r w:rsidRPr="00EA53B2">
        <w:rPr>
          <w:sz w:val="26"/>
          <w:szCs w:val="26"/>
        </w:rPr>
        <w:t>расходов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 xml:space="preserve"> от применения</w:t>
      </w:r>
      <w:proofErr w:type="gramEnd"/>
      <w:r w:rsidRPr="00EA53B2">
        <w:rPr>
          <w:sz w:val="26"/>
          <w:szCs w:val="26"/>
        </w:rPr>
        <w:t xml:space="preserve"> </w:t>
      </w:r>
      <w:proofErr w:type="gramStart"/>
      <w:r w:rsidRPr="00EA53B2">
        <w:rPr>
          <w:sz w:val="26"/>
          <w:szCs w:val="26"/>
        </w:rPr>
        <w:t>НВПИ даже в разрезе категорий базисных активов - валютный курс, курс ценной бумаги, индекс цен, другие переменные).</w:t>
      </w:r>
      <w:proofErr w:type="gramEnd"/>
      <w:r w:rsidRPr="00EA53B2">
        <w:rPr>
          <w:sz w:val="26"/>
          <w:szCs w:val="26"/>
        </w:rPr>
        <w:t xml:space="preserve"> </w:t>
      </w:r>
      <w:r>
        <w:rPr>
          <w:sz w:val="26"/>
          <w:szCs w:val="26"/>
        </w:rPr>
        <w:t>Кредитные организации выразили мнение о ц</w:t>
      </w:r>
      <w:r w:rsidRPr="00EA53B2">
        <w:rPr>
          <w:sz w:val="26"/>
          <w:szCs w:val="26"/>
        </w:rPr>
        <w:t>елесообразн</w:t>
      </w:r>
      <w:r>
        <w:rPr>
          <w:sz w:val="26"/>
          <w:szCs w:val="26"/>
        </w:rPr>
        <w:t xml:space="preserve">ости </w:t>
      </w:r>
      <w:r w:rsidRPr="00EA53B2">
        <w:rPr>
          <w:sz w:val="26"/>
          <w:szCs w:val="26"/>
        </w:rPr>
        <w:t>предусмотре</w:t>
      </w:r>
      <w:r>
        <w:rPr>
          <w:sz w:val="26"/>
          <w:szCs w:val="26"/>
        </w:rPr>
        <w:t>ния</w:t>
      </w:r>
      <w:r w:rsidRPr="00EA53B2">
        <w:rPr>
          <w:sz w:val="26"/>
          <w:szCs w:val="26"/>
        </w:rPr>
        <w:t xml:space="preserve"> возможност</w:t>
      </w:r>
      <w:r>
        <w:rPr>
          <w:sz w:val="26"/>
          <w:szCs w:val="26"/>
        </w:rPr>
        <w:t>и</w:t>
      </w:r>
      <w:r w:rsidRPr="00EA53B2">
        <w:rPr>
          <w:sz w:val="26"/>
          <w:szCs w:val="26"/>
        </w:rPr>
        <w:t xml:space="preserve"> осуществлять раскрытие информации об объемах накопленной переоценки активов</w:t>
      </w:r>
      <w:r>
        <w:rPr>
          <w:sz w:val="26"/>
          <w:szCs w:val="26"/>
        </w:rPr>
        <w:t xml:space="preserve"> (</w:t>
      </w:r>
      <w:r w:rsidRPr="00EA53B2">
        <w:rPr>
          <w:sz w:val="26"/>
          <w:szCs w:val="26"/>
        </w:rPr>
        <w:t>обязательств</w:t>
      </w:r>
      <w:r>
        <w:rPr>
          <w:sz w:val="26"/>
          <w:szCs w:val="26"/>
        </w:rPr>
        <w:t>)</w:t>
      </w:r>
      <w:r w:rsidRPr="00EA53B2">
        <w:rPr>
          <w:sz w:val="26"/>
          <w:szCs w:val="26"/>
        </w:rPr>
        <w:t xml:space="preserve"> кредитной организации в разрезе видов валют посредством предоставления соответствующей отчетности.</w:t>
      </w:r>
      <w:r w:rsidRPr="00EA53B2">
        <w:rPr>
          <w:color w:val="FF0000"/>
          <w:sz w:val="26"/>
          <w:szCs w:val="26"/>
        </w:rPr>
        <w:t xml:space="preserve"> </w:t>
      </w:r>
    </w:p>
    <w:p w:rsidR="00CE3D51" w:rsidRDefault="00CE3D51" w:rsidP="00CE3D51">
      <w:pPr>
        <w:pStyle w:val="a5"/>
        <w:tabs>
          <w:tab w:val="left" w:pos="426"/>
        </w:tabs>
        <w:ind w:left="-567" w:firstLine="567"/>
        <w:jc w:val="center"/>
        <w:rPr>
          <w:b/>
          <w:sz w:val="26"/>
          <w:szCs w:val="26"/>
        </w:rPr>
      </w:pPr>
    </w:p>
    <w:p w:rsidR="00A42B8B" w:rsidRPr="00EA53B2" w:rsidRDefault="00A42B8B" w:rsidP="00CE3D51">
      <w:pPr>
        <w:pStyle w:val="a5"/>
        <w:tabs>
          <w:tab w:val="left" w:pos="426"/>
        </w:tabs>
        <w:ind w:left="-567" w:firstLine="567"/>
        <w:jc w:val="center"/>
        <w:rPr>
          <w:b/>
          <w:sz w:val="26"/>
          <w:szCs w:val="26"/>
        </w:rPr>
      </w:pPr>
    </w:p>
    <w:p w:rsidR="00CE3D51" w:rsidRPr="00EA53B2" w:rsidRDefault="00CE3D51" w:rsidP="00A42B8B">
      <w:pPr>
        <w:pStyle w:val="a5"/>
        <w:tabs>
          <w:tab w:val="left" w:pos="426"/>
        </w:tabs>
        <w:spacing w:after="240"/>
        <w:ind w:left="-567" w:firstLine="567"/>
        <w:jc w:val="center"/>
        <w:rPr>
          <w:b/>
          <w:sz w:val="26"/>
          <w:szCs w:val="26"/>
        </w:rPr>
      </w:pPr>
      <w:r w:rsidRPr="00EA53B2">
        <w:rPr>
          <w:b/>
          <w:sz w:val="26"/>
          <w:szCs w:val="26"/>
        </w:rPr>
        <w:t>Опечатки</w:t>
      </w:r>
    </w:p>
    <w:p w:rsidR="00CE3D51" w:rsidRPr="00EA53B2" w:rsidRDefault="00CE3D51" w:rsidP="00A42B8B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  <w:tab w:val="left" w:pos="1042"/>
        </w:tabs>
        <w:spacing w:after="240"/>
        <w:ind w:left="-567" w:firstLine="567"/>
        <w:jc w:val="both"/>
        <w:rPr>
          <w:spacing w:val="-17"/>
          <w:sz w:val="26"/>
          <w:szCs w:val="26"/>
        </w:rPr>
      </w:pPr>
      <w:r w:rsidRPr="00EA53B2">
        <w:rPr>
          <w:sz w:val="26"/>
          <w:szCs w:val="26"/>
        </w:rPr>
        <w:t>Проект Положения содержит</w:t>
      </w:r>
      <w:r>
        <w:rPr>
          <w:sz w:val="26"/>
          <w:szCs w:val="26"/>
        </w:rPr>
        <w:t>, по мнению кредитных организаций, неточности на</w:t>
      </w:r>
      <w:r w:rsidRPr="00EA53B2">
        <w:rPr>
          <w:sz w:val="26"/>
          <w:szCs w:val="26"/>
        </w:rPr>
        <w:t xml:space="preserve">именований символов </w:t>
      </w:r>
      <w:r>
        <w:rPr>
          <w:sz w:val="26"/>
          <w:szCs w:val="26"/>
        </w:rPr>
        <w:t>ОФР</w:t>
      </w:r>
      <w:r w:rsidRPr="00EA53B2">
        <w:rPr>
          <w:sz w:val="26"/>
          <w:szCs w:val="26"/>
        </w:rPr>
        <w:t>. В частности</w:t>
      </w:r>
      <w:r>
        <w:rPr>
          <w:sz w:val="26"/>
          <w:szCs w:val="26"/>
        </w:rPr>
        <w:t>:</w:t>
      </w:r>
    </w:p>
    <w:p w:rsidR="00CE3D51" w:rsidRPr="00EA53B2" w:rsidRDefault="00CE3D51" w:rsidP="00CE3D51">
      <w:pPr>
        <w:shd w:val="clear" w:color="auto" w:fill="FFFFFF"/>
        <w:tabs>
          <w:tab w:val="left" w:pos="284"/>
          <w:tab w:val="left" w:pos="426"/>
          <w:tab w:val="left" w:pos="970"/>
        </w:tabs>
        <w:spacing w:before="5"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- п. 4.12 - неправильно указан номер раздела «Корректировки, уменьшающие</w:t>
      </w:r>
      <w:r w:rsidRPr="00EA53B2">
        <w:rPr>
          <w:sz w:val="26"/>
          <w:szCs w:val="26"/>
        </w:rPr>
        <w:br/>
        <w:t>процентные расходы»</w:t>
      </w:r>
    </w:p>
    <w:p w:rsidR="00CE3D51" w:rsidRPr="00EA53B2" w:rsidRDefault="00CE3D51" w:rsidP="00CE3D51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845"/>
        </w:tabs>
        <w:spacing w:before="5"/>
        <w:ind w:left="-567" w:firstLine="567"/>
        <w:jc w:val="both"/>
        <w:rPr>
          <w:sz w:val="26"/>
          <w:szCs w:val="26"/>
        </w:rPr>
      </w:pPr>
      <w:r w:rsidRPr="00EA53B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EA53B2">
        <w:rPr>
          <w:sz w:val="26"/>
          <w:szCs w:val="26"/>
        </w:rPr>
        <w:t xml:space="preserve">5.2.4, </w:t>
      </w:r>
      <w:r>
        <w:rPr>
          <w:sz w:val="26"/>
          <w:szCs w:val="26"/>
        </w:rPr>
        <w:t xml:space="preserve">п. </w:t>
      </w:r>
      <w:r w:rsidRPr="00EA53B2">
        <w:rPr>
          <w:sz w:val="26"/>
          <w:szCs w:val="26"/>
        </w:rPr>
        <w:t xml:space="preserve">5.3.1, </w:t>
      </w:r>
      <w:r>
        <w:rPr>
          <w:sz w:val="26"/>
          <w:szCs w:val="26"/>
        </w:rPr>
        <w:t xml:space="preserve">п. </w:t>
      </w:r>
      <w:r w:rsidRPr="00EA53B2">
        <w:rPr>
          <w:sz w:val="26"/>
          <w:szCs w:val="26"/>
        </w:rPr>
        <w:t xml:space="preserve">5.3.2, </w:t>
      </w:r>
      <w:r>
        <w:rPr>
          <w:sz w:val="26"/>
          <w:szCs w:val="26"/>
        </w:rPr>
        <w:t xml:space="preserve">п. </w:t>
      </w:r>
      <w:r w:rsidRPr="00EA53B2">
        <w:rPr>
          <w:sz w:val="26"/>
          <w:szCs w:val="26"/>
        </w:rPr>
        <w:t>5.3.3 - неправильно указан</w:t>
      </w:r>
      <w:r>
        <w:rPr>
          <w:sz w:val="26"/>
          <w:szCs w:val="26"/>
        </w:rPr>
        <w:t>о</w:t>
      </w:r>
      <w:r w:rsidRPr="00EA53B2">
        <w:rPr>
          <w:sz w:val="26"/>
          <w:szCs w:val="26"/>
        </w:rPr>
        <w:t xml:space="preserve"> номер раздела 8 части 2</w:t>
      </w:r>
      <w:r>
        <w:rPr>
          <w:sz w:val="26"/>
          <w:szCs w:val="26"/>
        </w:rPr>
        <w:t>;</w:t>
      </w:r>
    </w:p>
    <w:p w:rsidR="00CE3D51" w:rsidRDefault="00CE3D51" w:rsidP="00CE3D51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845"/>
        </w:tabs>
        <w:ind w:left="-567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п. 12.5, </w:t>
      </w:r>
      <w:r w:rsidRPr="00EA53B2">
        <w:rPr>
          <w:spacing w:val="-1"/>
          <w:sz w:val="26"/>
          <w:szCs w:val="26"/>
        </w:rPr>
        <w:t>п. 12.6 - неправильно указан</w:t>
      </w:r>
      <w:r>
        <w:rPr>
          <w:spacing w:val="-1"/>
          <w:sz w:val="26"/>
          <w:szCs w:val="26"/>
        </w:rPr>
        <w:t>ы</w:t>
      </w:r>
      <w:r w:rsidRPr="00EA53B2">
        <w:rPr>
          <w:spacing w:val="-1"/>
          <w:sz w:val="26"/>
          <w:szCs w:val="26"/>
        </w:rPr>
        <w:t xml:space="preserve"> номер</w:t>
      </w:r>
      <w:r>
        <w:rPr>
          <w:spacing w:val="-1"/>
          <w:sz w:val="26"/>
          <w:szCs w:val="26"/>
        </w:rPr>
        <w:t>а символов</w:t>
      </w:r>
      <w:r w:rsidRPr="00EA53B2">
        <w:rPr>
          <w:spacing w:val="-1"/>
          <w:sz w:val="26"/>
          <w:szCs w:val="26"/>
        </w:rPr>
        <w:t>;</w:t>
      </w:r>
    </w:p>
    <w:p w:rsidR="00CE3D51" w:rsidRPr="0074646C" w:rsidRDefault="00CE3D51" w:rsidP="00A42B8B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845"/>
        </w:tabs>
        <w:spacing w:after="240"/>
        <w:ind w:left="-567" w:firstLine="567"/>
        <w:jc w:val="both"/>
        <w:rPr>
          <w:sz w:val="26"/>
          <w:szCs w:val="26"/>
        </w:rPr>
      </w:pPr>
      <w:r w:rsidRPr="0074646C">
        <w:rPr>
          <w:sz w:val="26"/>
          <w:szCs w:val="26"/>
        </w:rPr>
        <w:t>п.23.1 - неправильно указано наименование символа 47702.</w:t>
      </w:r>
    </w:p>
    <w:p w:rsidR="00CE3D51" w:rsidRPr="00EA53B2" w:rsidRDefault="00CE3D51" w:rsidP="00A42B8B">
      <w:pPr>
        <w:widowControl/>
        <w:numPr>
          <w:ilvl w:val="0"/>
          <w:numId w:val="32"/>
        </w:numPr>
        <w:tabs>
          <w:tab w:val="left" w:pos="284"/>
          <w:tab w:val="left" w:pos="426"/>
        </w:tabs>
        <w:autoSpaceDE/>
        <w:autoSpaceDN/>
        <w:adjustRightInd/>
        <w:spacing w:before="240" w:after="240"/>
        <w:ind w:left="-567" w:firstLine="567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п</w:t>
      </w:r>
      <w:r w:rsidRPr="00EA53B2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10.4 проекта некорректно указан символ, по которому отражаются д</w:t>
      </w:r>
      <w:r w:rsidRPr="00EA53B2">
        <w:rPr>
          <w:rFonts w:eastAsia="Times New Roman"/>
          <w:sz w:val="26"/>
          <w:szCs w:val="26"/>
        </w:rPr>
        <w:t>оходы от п</w:t>
      </w:r>
      <w:r>
        <w:rPr>
          <w:rFonts w:eastAsia="Times New Roman"/>
          <w:sz w:val="26"/>
          <w:szCs w:val="26"/>
        </w:rPr>
        <w:t xml:space="preserve">ереоценки драгоценных металлов. В проекте указан символ </w:t>
      </w:r>
      <w:r w:rsidRPr="00EA53B2">
        <w:rPr>
          <w:rFonts w:eastAsia="Times New Roman"/>
          <w:sz w:val="26"/>
          <w:szCs w:val="26"/>
          <w:u w:val="single"/>
        </w:rPr>
        <w:t>10702</w:t>
      </w:r>
      <w:r w:rsidRPr="00EA53B2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однако т</w:t>
      </w:r>
      <w:r w:rsidRPr="00EA53B2">
        <w:rPr>
          <w:rFonts w:eastAsia="Times New Roman"/>
          <w:sz w:val="26"/>
          <w:szCs w:val="26"/>
        </w:rPr>
        <w:t>акого символа</w:t>
      </w:r>
      <w:r>
        <w:rPr>
          <w:rFonts w:eastAsia="Times New Roman"/>
          <w:sz w:val="26"/>
          <w:szCs w:val="26"/>
        </w:rPr>
        <w:t xml:space="preserve"> в ОФР</w:t>
      </w:r>
      <w:r w:rsidRPr="00EA53B2">
        <w:rPr>
          <w:rFonts w:eastAsia="Times New Roman"/>
          <w:sz w:val="26"/>
          <w:szCs w:val="26"/>
        </w:rPr>
        <w:t xml:space="preserve"> не</w:t>
      </w:r>
      <w:r>
        <w:rPr>
          <w:rFonts w:eastAsia="Times New Roman"/>
          <w:sz w:val="26"/>
          <w:szCs w:val="26"/>
        </w:rPr>
        <w:t xml:space="preserve"> предусмотрено.</w:t>
      </w:r>
      <w:r w:rsidRPr="00EA53B2">
        <w:rPr>
          <w:rFonts w:eastAsia="Times New Roman"/>
          <w:sz w:val="26"/>
          <w:szCs w:val="26"/>
        </w:rPr>
        <w:t xml:space="preserve"> Доходы от переоценки драгоценных металлов</w:t>
      </w:r>
      <w:r>
        <w:rPr>
          <w:rFonts w:eastAsia="Times New Roman"/>
          <w:sz w:val="26"/>
          <w:szCs w:val="26"/>
        </w:rPr>
        <w:t xml:space="preserve"> отражаются (Р</w:t>
      </w:r>
      <w:r w:rsidRPr="00EA53B2">
        <w:rPr>
          <w:rFonts w:eastAsia="Times New Roman"/>
          <w:sz w:val="26"/>
          <w:szCs w:val="26"/>
        </w:rPr>
        <w:t>аздел 6 части 2</w:t>
      </w:r>
      <w:r>
        <w:rPr>
          <w:rFonts w:eastAsia="Times New Roman"/>
          <w:sz w:val="26"/>
          <w:szCs w:val="26"/>
        </w:rPr>
        <w:t>) по</w:t>
      </w:r>
      <w:r w:rsidRPr="00EA53B2">
        <w:rPr>
          <w:rFonts w:eastAsia="Times New Roman"/>
          <w:sz w:val="26"/>
          <w:szCs w:val="26"/>
        </w:rPr>
        <w:t xml:space="preserve"> символа</w:t>
      </w:r>
      <w:r>
        <w:rPr>
          <w:rFonts w:eastAsia="Times New Roman"/>
          <w:sz w:val="26"/>
          <w:szCs w:val="26"/>
        </w:rPr>
        <w:t>м</w:t>
      </w:r>
      <w:r w:rsidRPr="00EA53B2">
        <w:rPr>
          <w:rFonts w:eastAsia="Times New Roman"/>
          <w:sz w:val="26"/>
          <w:szCs w:val="26"/>
        </w:rPr>
        <w:t xml:space="preserve"> 26501-26505.</w:t>
      </w:r>
    </w:p>
    <w:p w:rsidR="00CE3D51" w:rsidRDefault="00CE3D51" w:rsidP="00A42B8B">
      <w:pPr>
        <w:pStyle w:val="a5"/>
        <w:widowControl/>
        <w:numPr>
          <w:ilvl w:val="0"/>
          <w:numId w:val="32"/>
        </w:numPr>
        <w:tabs>
          <w:tab w:val="left" w:pos="284"/>
          <w:tab w:val="left" w:pos="426"/>
        </w:tabs>
        <w:autoSpaceDE/>
        <w:autoSpaceDN/>
        <w:adjustRightInd/>
        <w:spacing w:after="240"/>
        <w:ind w:left="-567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Вероятно в п. 23.1 абзац 4 проекта некорректно указан символ. В проекте Положения предусмотрено, что р</w:t>
      </w:r>
      <w:r w:rsidRPr="00EA53B2">
        <w:rPr>
          <w:rFonts w:eastAsia="Times New Roman"/>
          <w:sz w:val="26"/>
          <w:szCs w:val="26"/>
        </w:rPr>
        <w:t xml:space="preserve">асходы от выбытия (реализации) </w:t>
      </w:r>
      <w:r w:rsidRPr="00EA53B2">
        <w:rPr>
          <w:rFonts w:eastAsia="Times New Roman"/>
          <w:sz w:val="26"/>
          <w:szCs w:val="26"/>
          <w:u w:val="single"/>
        </w:rPr>
        <w:t>сре</w:t>
      </w:r>
      <w:proofErr w:type="gramStart"/>
      <w:r w:rsidRPr="00EA53B2">
        <w:rPr>
          <w:rFonts w:eastAsia="Times New Roman"/>
          <w:sz w:val="26"/>
          <w:szCs w:val="26"/>
          <w:u w:val="single"/>
        </w:rPr>
        <w:t>дств тр</w:t>
      </w:r>
      <w:proofErr w:type="gramEnd"/>
      <w:r w:rsidRPr="00EA53B2">
        <w:rPr>
          <w:rFonts w:eastAsia="Times New Roman"/>
          <w:sz w:val="26"/>
          <w:szCs w:val="26"/>
          <w:u w:val="single"/>
        </w:rPr>
        <w:t>уда</w:t>
      </w:r>
      <w:r w:rsidRPr="00EA53B2">
        <w:rPr>
          <w:rFonts w:eastAsia="Times New Roman"/>
          <w:sz w:val="26"/>
          <w:szCs w:val="26"/>
        </w:rPr>
        <w:t>, полученных по договорам отступного, залога, назначение которых не определено</w:t>
      </w:r>
      <w:r>
        <w:rPr>
          <w:rFonts w:eastAsia="Times New Roman"/>
          <w:sz w:val="26"/>
          <w:szCs w:val="26"/>
        </w:rPr>
        <w:t>,</w:t>
      </w:r>
      <w:r w:rsidRPr="00EA53B2">
        <w:rPr>
          <w:rFonts w:eastAsia="Times New Roman"/>
          <w:sz w:val="26"/>
          <w:szCs w:val="26"/>
        </w:rPr>
        <w:t xml:space="preserve"> отражаются в ОФР по символу 47702. </w:t>
      </w:r>
      <w:r>
        <w:rPr>
          <w:rFonts w:eastAsia="Times New Roman"/>
          <w:sz w:val="26"/>
          <w:szCs w:val="26"/>
        </w:rPr>
        <w:t>П</w:t>
      </w:r>
      <w:r w:rsidRPr="00EA53B2">
        <w:rPr>
          <w:rFonts w:eastAsia="Times New Roman"/>
          <w:sz w:val="26"/>
          <w:szCs w:val="26"/>
        </w:rPr>
        <w:t>о символу 47702 отражаются предметы труда</w:t>
      </w:r>
      <w:r>
        <w:rPr>
          <w:rFonts w:eastAsia="Times New Roman"/>
          <w:sz w:val="26"/>
          <w:szCs w:val="26"/>
        </w:rPr>
        <w:t>, с</w:t>
      </w:r>
      <w:r w:rsidRPr="00EA53B2">
        <w:rPr>
          <w:rFonts w:eastAsia="Times New Roman"/>
          <w:sz w:val="26"/>
          <w:szCs w:val="26"/>
        </w:rPr>
        <w:t>редства труда отража</w:t>
      </w:r>
      <w:r>
        <w:rPr>
          <w:rFonts w:eastAsia="Times New Roman"/>
          <w:sz w:val="26"/>
          <w:szCs w:val="26"/>
        </w:rPr>
        <w:t>ются по символу 47701</w:t>
      </w:r>
      <w:r w:rsidRPr="00EA53B2">
        <w:rPr>
          <w:rFonts w:eastAsia="Times New Roman"/>
          <w:sz w:val="26"/>
          <w:szCs w:val="26"/>
        </w:rPr>
        <w:t>.</w:t>
      </w:r>
    </w:p>
    <w:p w:rsidR="00A42B8B" w:rsidRPr="00EA53B2" w:rsidRDefault="00A42B8B" w:rsidP="00A42B8B">
      <w:pPr>
        <w:pStyle w:val="a5"/>
        <w:widowControl/>
        <w:tabs>
          <w:tab w:val="left" w:pos="284"/>
          <w:tab w:val="left" w:pos="426"/>
        </w:tabs>
        <w:autoSpaceDE/>
        <w:autoSpaceDN/>
        <w:adjustRightInd/>
        <w:spacing w:after="240"/>
        <w:ind w:left="0"/>
        <w:jc w:val="both"/>
        <w:rPr>
          <w:rFonts w:eastAsia="Times New Roman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2"/>
        </w:numPr>
        <w:tabs>
          <w:tab w:val="left" w:pos="284"/>
          <w:tab w:val="left" w:pos="426"/>
        </w:tabs>
        <w:autoSpaceDE/>
        <w:autoSpaceDN/>
        <w:adjustRightInd/>
        <w:ind w:left="-567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Согласно п</w:t>
      </w:r>
      <w:r w:rsidRPr="00EA53B2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24.8 п</w:t>
      </w:r>
      <w:r w:rsidRPr="00EA53B2">
        <w:rPr>
          <w:rFonts w:eastAsia="Times New Roman"/>
          <w:sz w:val="26"/>
          <w:szCs w:val="26"/>
        </w:rPr>
        <w:t>роекта</w:t>
      </w:r>
      <w:r>
        <w:rPr>
          <w:rFonts w:eastAsia="Times New Roman"/>
          <w:sz w:val="26"/>
          <w:szCs w:val="26"/>
        </w:rPr>
        <w:t xml:space="preserve"> Положения д</w:t>
      </w:r>
      <w:r w:rsidRPr="00EA53B2">
        <w:rPr>
          <w:rFonts w:eastAsia="Times New Roman"/>
          <w:sz w:val="26"/>
          <w:szCs w:val="26"/>
        </w:rPr>
        <w:t xml:space="preserve">ругие комиссионные расходы, </w:t>
      </w:r>
      <w:proofErr w:type="gramStart"/>
      <w:r w:rsidRPr="00EA53B2">
        <w:rPr>
          <w:rFonts w:eastAsia="Times New Roman"/>
          <w:sz w:val="26"/>
          <w:szCs w:val="26"/>
        </w:rPr>
        <w:t>кроме</w:t>
      </w:r>
      <w:proofErr w:type="gramEnd"/>
      <w:r w:rsidRPr="00EA53B2">
        <w:rPr>
          <w:rFonts w:eastAsia="Times New Roman"/>
          <w:sz w:val="26"/>
          <w:szCs w:val="26"/>
        </w:rPr>
        <w:t xml:space="preserve"> </w:t>
      </w:r>
      <w:proofErr w:type="gramStart"/>
      <w:r w:rsidRPr="00EA53B2">
        <w:rPr>
          <w:rFonts w:eastAsia="Times New Roman"/>
          <w:sz w:val="26"/>
          <w:szCs w:val="26"/>
        </w:rPr>
        <w:t>перечисленных</w:t>
      </w:r>
      <w:proofErr w:type="gramEnd"/>
      <w:r w:rsidRPr="00EA53B2">
        <w:rPr>
          <w:rFonts w:eastAsia="Times New Roman"/>
          <w:sz w:val="26"/>
          <w:szCs w:val="26"/>
        </w:rPr>
        <w:t xml:space="preserve"> в прочих главах </w:t>
      </w:r>
      <w:r>
        <w:rPr>
          <w:rFonts w:eastAsia="Times New Roman"/>
          <w:sz w:val="26"/>
          <w:szCs w:val="26"/>
        </w:rPr>
        <w:t>проекта</w:t>
      </w:r>
      <w:r w:rsidRPr="00EA53B2">
        <w:rPr>
          <w:rFonts w:eastAsia="Times New Roman"/>
          <w:sz w:val="26"/>
          <w:szCs w:val="26"/>
        </w:rPr>
        <w:t>, отражаются в ОФР по символу 47107</w:t>
      </w:r>
      <w:r>
        <w:rPr>
          <w:rFonts w:eastAsia="Times New Roman"/>
          <w:sz w:val="26"/>
          <w:szCs w:val="26"/>
        </w:rPr>
        <w:t>. По с</w:t>
      </w:r>
      <w:r w:rsidRPr="00EA53B2">
        <w:rPr>
          <w:rFonts w:eastAsia="Times New Roman"/>
          <w:sz w:val="26"/>
          <w:szCs w:val="26"/>
        </w:rPr>
        <w:t>имвол</w:t>
      </w:r>
      <w:r>
        <w:rPr>
          <w:rFonts w:eastAsia="Times New Roman"/>
          <w:sz w:val="26"/>
          <w:szCs w:val="26"/>
        </w:rPr>
        <w:t>у</w:t>
      </w:r>
      <w:r w:rsidRPr="00EA53B2">
        <w:rPr>
          <w:rFonts w:eastAsia="Times New Roman"/>
          <w:sz w:val="26"/>
          <w:szCs w:val="26"/>
        </w:rPr>
        <w:t xml:space="preserve"> 47107</w:t>
      </w:r>
      <w:r>
        <w:rPr>
          <w:rFonts w:eastAsia="Times New Roman"/>
          <w:sz w:val="26"/>
          <w:szCs w:val="26"/>
        </w:rPr>
        <w:t xml:space="preserve"> отражаются</w:t>
      </w:r>
      <w:r w:rsidRPr="00EA53B2">
        <w:rPr>
          <w:rFonts w:eastAsia="Times New Roman"/>
          <w:sz w:val="26"/>
          <w:szCs w:val="26"/>
        </w:rPr>
        <w:t xml:space="preserve"> «расходы профессиональных участников рынка ценных бумаг, связанные с приобретением и реализацией ценных бумаг, кроме расходов на консультационные и информационные услуги». Другие комиссионные расходы </w:t>
      </w:r>
      <w:r w:rsidRPr="00F47F81">
        <w:rPr>
          <w:rFonts w:eastAsia="Times New Roman"/>
          <w:sz w:val="26"/>
          <w:szCs w:val="26"/>
        </w:rPr>
        <w:t>отражаются по символу 47109.</w:t>
      </w:r>
    </w:p>
    <w:p w:rsidR="00A42B8B" w:rsidRPr="00F47F81" w:rsidRDefault="00A42B8B" w:rsidP="00A42B8B">
      <w:pPr>
        <w:pStyle w:val="a5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eastAsia="Times New Roman"/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2"/>
        </w:numPr>
        <w:tabs>
          <w:tab w:val="left" w:pos="284"/>
          <w:tab w:val="left" w:pos="426"/>
        </w:tabs>
        <w:autoSpaceDE/>
        <w:autoSpaceDN/>
        <w:adjustRightInd/>
        <w:spacing w:after="200"/>
        <w:ind w:left="-567" w:firstLine="567"/>
        <w:jc w:val="both"/>
        <w:rPr>
          <w:sz w:val="26"/>
          <w:szCs w:val="26"/>
        </w:rPr>
      </w:pPr>
      <w:r w:rsidRPr="00F47F81">
        <w:rPr>
          <w:sz w:val="26"/>
          <w:szCs w:val="26"/>
        </w:rPr>
        <w:t>В п. 21.1. просим провести проверку на наличие опечатки – вероятно, имеется в виду ссылка на п. 1.10. проекта Положения.</w:t>
      </w:r>
    </w:p>
    <w:p w:rsidR="00A42B8B" w:rsidRPr="00F47F81" w:rsidRDefault="00A42B8B" w:rsidP="00A42B8B">
      <w:pPr>
        <w:pStyle w:val="a5"/>
        <w:widowControl/>
        <w:tabs>
          <w:tab w:val="left" w:pos="284"/>
          <w:tab w:val="left" w:pos="426"/>
        </w:tabs>
        <w:autoSpaceDE/>
        <w:autoSpaceDN/>
        <w:adjustRightInd/>
        <w:spacing w:after="200"/>
        <w:ind w:left="0"/>
        <w:jc w:val="both"/>
        <w:rPr>
          <w:sz w:val="26"/>
          <w:szCs w:val="26"/>
        </w:rPr>
      </w:pPr>
    </w:p>
    <w:p w:rsidR="00CE3D51" w:rsidRDefault="00CE3D51" w:rsidP="00CE3D51">
      <w:pPr>
        <w:pStyle w:val="a5"/>
        <w:widowControl/>
        <w:numPr>
          <w:ilvl w:val="0"/>
          <w:numId w:val="32"/>
        </w:numPr>
        <w:tabs>
          <w:tab w:val="left" w:pos="284"/>
          <w:tab w:val="left" w:pos="426"/>
        </w:tabs>
        <w:autoSpaceDE/>
        <w:autoSpaceDN/>
        <w:adjustRightInd/>
        <w:ind w:left="-567" w:firstLine="567"/>
        <w:jc w:val="both"/>
        <w:rPr>
          <w:sz w:val="26"/>
          <w:szCs w:val="26"/>
        </w:rPr>
      </w:pPr>
      <w:r w:rsidRPr="00F47F81">
        <w:rPr>
          <w:sz w:val="26"/>
          <w:szCs w:val="26"/>
        </w:rPr>
        <w:t>В п. 6.1 название раздела 2 в тексте пункта н</w:t>
      </w:r>
      <w:r>
        <w:rPr>
          <w:sz w:val="26"/>
          <w:szCs w:val="26"/>
        </w:rPr>
        <w:t xml:space="preserve">е соответствует названию в ОФР </w:t>
      </w:r>
      <w:r w:rsidRPr="00F47F81">
        <w:rPr>
          <w:sz w:val="26"/>
          <w:szCs w:val="26"/>
        </w:rPr>
        <w:t>«Доходы (</w:t>
      </w:r>
      <w:proofErr w:type="gramStart"/>
      <w:r w:rsidRPr="00F47F81">
        <w:rPr>
          <w:sz w:val="26"/>
          <w:szCs w:val="26"/>
        </w:rPr>
        <w:t>кроме</w:t>
      </w:r>
      <w:proofErr w:type="gramEnd"/>
      <w:r w:rsidRPr="00F47F81">
        <w:rPr>
          <w:sz w:val="26"/>
          <w:szCs w:val="26"/>
        </w:rPr>
        <w:t xml:space="preserve"> процентных) от операций с приобретенными долговыми ценными бумагами». </w:t>
      </w:r>
    </w:p>
    <w:p w:rsidR="00A42B8B" w:rsidRPr="00F47F81" w:rsidRDefault="00A42B8B" w:rsidP="00A42B8B">
      <w:pPr>
        <w:pStyle w:val="a5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sz w:val="26"/>
          <w:szCs w:val="26"/>
        </w:rPr>
      </w:pPr>
    </w:p>
    <w:p w:rsidR="00CE3D51" w:rsidRPr="00F47F81" w:rsidRDefault="00CE3D51" w:rsidP="00CE3D51">
      <w:pPr>
        <w:pStyle w:val="a5"/>
        <w:widowControl/>
        <w:numPr>
          <w:ilvl w:val="0"/>
          <w:numId w:val="32"/>
        </w:numPr>
        <w:tabs>
          <w:tab w:val="left" w:pos="284"/>
          <w:tab w:val="left" w:pos="426"/>
        </w:tabs>
        <w:autoSpaceDE/>
        <w:autoSpaceDN/>
        <w:adjustRightInd/>
        <w:ind w:left="-567" w:firstLine="567"/>
        <w:jc w:val="both"/>
        <w:rPr>
          <w:sz w:val="26"/>
          <w:szCs w:val="26"/>
        </w:rPr>
      </w:pPr>
      <w:r w:rsidRPr="00F47F81">
        <w:rPr>
          <w:sz w:val="26"/>
          <w:szCs w:val="26"/>
        </w:rPr>
        <w:t>В тексте проекта Положения после п. 26.3.1 следует п. 26.3.6, п. 26.3.7 и т.д. Предлагается привести в соответствие нумерацию пунктов.</w:t>
      </w:r>
    </w:p>
    <w:p w:rsidR="00CE3D51" w:rsidRPr="00EE3B0D" w:rsidRDefault="00CE3D51" w:rsidP="000232BB">
      <w:pPr>
        <w:tabs>
          <w:tab w:val="left" w:pos="567"/>
        </w:tabs>
        <w:jc w:val="both"/>
        <w:rPr>
          <w:rFonts w:eastAsia="Times New Roman"/>
          <w:b/>
          <w:sz w:val="25"/>
          <w:szCs w:val="25"/>
        </w:rPr>
      </w:pPr>
    </w:p>
    <w:sectPr w:rsidR="00CE3D51" w:rsidRPr="00EE3B0D" w:rsidSect="00EE3B0D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8B" w:rsidRDefault="00A42B8B" w:rsidP="008F2A15">
      <w:r>
        <w:separator/>
      </w:r>
    </w:p>
  </w:endnote>
  <w:endnote w:type="continuationSeparator" w:id="0">
    <w:p w:rsidR="00A42B8B" w:rsidRDefault="00A42B8B" w:rsidP="008F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800"/>
      <w:docPartObj>
        <w:docPartGallery w:val="Page Numbers (Bottom of Page)"/>
        <w:docPartUnique/>
      </w:docPartObj>
    </w:sdtPr>
    <w:sdtContent>
      <w:p w:rsidR="00A42B8B" w:rsidRDefault="00A42B8B">
        <w:pPr>
          <w:pStyle w:val="a3"/>
          <w:jc w:val="right"/>
        </w:pPr>
        <w:fldSimple w:instr=" PAGE   \* MERGEFORMAT ">
          <w:r w:rsidR="00A02A14">
            <w:rPr>
              <w:noProof/>
            </w:rPr>
            <w:t>6</w:t>
          </w:r>
        </w:fldSimple>
      </w:p>
    </w:sdtContent>
  </w:sdt>
  <w:p w:rsidR="00A42B8B" w:rsidRDefault="00A42B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8B" w:rsidRDefault="00A42B8B" w:rsidP="008F2A15">
      <w:r>
        <w:separator/>
      </w:r>
    </w:p>
  </w:footnote>
  <w:footnote w:type="continuationSeparator" w:id="0">
    <w:p w:rsidR="00A42B8B" w:rsidRDefault="00A42B8B" w:rsidP="008F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543064"/>
    <w:lvl w:ilvl="0">
      <w:numFmt w:val="bullet"/>
      <w:lvlText w:val="*"/>
      <w:lvlJc w:val="left"/>
    </w:lvl>
  </w:abstractNum>
  <w:abstractNum w:abstractNumId="1">
    <w:nsid w:val="0ACF68D5"/>
    <w:multiLevelType w:val="hybridMultilevel"/>
    <w:tmpl w:val="E7F2CFE0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B04DF7"/>
    <w:multiLevelType w:val="singleLevel"/>
    <w:tmpl w:val="85885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653E55"/>
    <w:multiLevelType w:val="hybridMultilevel"/>
    <w:tmpl w:val="710C630C"/>
    <w:lvl w:ilvl="0" w:tplc="41A0E5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A3700"/>
    <w:multiLevelType w:val="multilevel"/>
    <w:tmpl w:val="D9007AE0"/>
    <w:lvl w:ilvl="0">
      <w:start w:val="25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3E1BD9"/>
    <w:multiLevelType w:val="hybridMultilevel"/>
    <w:tmpl w:val="12EEBB0C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E0158"/>
    <w:multiLevelType w:val="hybridMultilevel"/>
    <w:tmpl w:val="58AC3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718A8"/>
    <w:multiLevelType w:val="hybridMultilevel"/>
    <w:tmpl w:val="366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743ED"/>
    <w:multiLevelType w:val="hybridMultilevel"/>
    <w:tmpl w:val="1D78D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ED5A2F"/>
    <w:multiLevelType w:val="hybridMultilevel"/>
    <w:tmpl w:val="1302B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0C1A4B"/>
    <w:multiLevelType w:val="hybridMultilevel"/>
    <w:tmpl w:val="E8B88F42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C75BA6"/>
    <w:multiLevelType w:val="hybridMultilevel"/>
    <w:tmpl w:val="4F0E2850"/>
    <w:lvl w:ilvl="0" w:tplc="E216E5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A4582"/>
    <w:multiLevelType w:val="hybridMultilevel"/>
    <w:tmpl w:val="B2BC8B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2CB4B26"/>
    <w:multiLevelType w:val="hybridMultilevel"/>
    <w:tmpl w:val="CC22EC6E"/>
    <w:lvl w:ilvl="0" w:tplc="B628A78C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E21B5"/>
    <w:multiLevelType w:val="hybridMultilevel"/>
    <w:tmpl w:val="9212209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B72B81"/>
    <w:multiLevelType w:val="hybridMultilevel"/>
    <w:tmpl w:val="BF1AC198"/>
    <w:lvl w:ilvl="0" w:tplc="40F2F63A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9575BF"/>
    <w:multiLevelType w:val="hybridMultilevel"/>
    <w:tmpl w:val="849CC06C"/>
    <w:lvl w:ilvl="0" w:tplc="355A307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02357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8884499"/>
    <w:multiLevelType w:val="hybridMultilevel"/>
    <w:tmpl w:val="CBF27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F508C5"/>
    <w:multiLevelType w:val="hybridMultilevel"/>
    <w:tmpl w:val="3E7A3EF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530131"/>
    <w:multiLevelType w:val="hybridMultilevel"/>
    <w:tmpl w:val="0CC074A0"/>
    <w:lvl w:ilvl="0" w:tplc="9B7EC3E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E2932"/>
    <w:multiLevelType w:val="hybridMultilevel"/>
    <w:tmpl w:val="5608D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A83E50"/>
    <w:multiLevelType w:val="hybridMultilevel"/>
    <w:tmpl w:val="A490C5D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BD0020C"/>
    <w:multiLevelType w:val="hybridMultilevel"/>
    <w:tmpl w:val="5B727FE2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F84626"/>
    <w:multiLevelType w:val="hybridMultilevel"/>
    <w:tmpl w:val="C062F92E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423AAD"/>
    <w:multiLevelType w:val="hybridMultilevel"/>
    <w:tmpl w:val="9D3ECCE4"/>
    <w:lvl w:ilvl="0" w:tplc="9E4C679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620CB"/>
    <w:multiLevelType w:val="singleLevel"/>
    <w:tmpl w:val="8374784E"/>
    <w:lvl w:ilvl="0">
      <w:start w:val="1"/>
      <w:numFmt w:val="decimal"/>
      <w:lvlText w:val="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7">
    <w:nsid w:val="6CDD1D79"/>
    <w:multiLevelType w:val="hybridMultilevel"/>
    <w:tmpl w:val="E774CA08"/>
    <w:lvl w:ilvl="0" w:tplc="355A307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EC41F59"/>
    <w:multiLevelType w:val="hybridMultilevel"/>
    <w:tmpl w:val="997CC348"/>
    <w:lvl w:ilvl="0" w:tplc="FA02DE0A">
      <w:start w:val="1"/>
      <w:numFmt w:val="bullet"/>
      <w:lvlText w:val=".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A81DCA"/>
    <w:multiLevelType w:val="hybridMultilevel"/>
    <w:tmpl w:val="1DEEB1AC"/>
    <w:lvl w:ilvl="0" w:tplc="68FE447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03BB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30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22"/>
  </w:num>
  <w:num w:numId="14">
    <w:abstractNumId w:val="15"/>
  </w:num>
  <w:num w:numId="15">
    <w:abstractNumId w:val="29"/>
  </w:num>
  <w:num w:numId="16">
    <w:abstractNumId w:val="12"/>
  </w:num>
  <w:num w:numId="17">
    <w:abstractNumId w:val="27"/>
  </w:num>
  <w:num w:numId="18">
    <w:abstractNumId w:val="28"/>
  </w:num>
  <w:num w:numId="19">
    <w:abstractNumId w:val="6"/>
  </w:num>
  <w:num w:numId="20">
    <w:abstractNumId w:val="21"/>
  </w:num>
  <w:num w:numId="21">
    <w:abstractNumId w:val="10"/>
  </w:num>
  <w:num w:numId="22">
    <w:abstractNumId w:val="16"/>
  </w:num>
  <w:num w:numId="23">
    <w:abstractNumId w:val="24"/>
  </w:num>
  <w:num w:numId="24">
    <w:abstractNumId w:val="1"/>
  </w:num>
  <w:num w:numId="25">
    <w:abstractNumId w:val="23"/>
  </w:num>
  <w:num w:numId="26">
    <w:abstractNumId w:val="5"/>
  </w:num>
  <w:num w:numId="27">
    <w:abstractNumId w:val="4"/>
  </w:num>
  <w:num w:numId="28">
    <w:abstractNumId w:val="25"/>
  </w:num>
  <w:num w:numId="29">
    <w:abstractNumId w:val="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D"/>
    <w:rsid w:val="0000020B"/>
    <w:rsid w:val="000028FD"/>
    <w:rsid w:val="00002CEA"/>
    <w:rsid w:val="000034FE"/>
    <w:rsid w:val="00003D32"/>
    <w:rsid w:val="000042DE"/>
    <w:rsid w:val="00005323"/>
    <w:rsid w:val="000061C4"/>
    <w:rsid w:val="00006359"/>
    <w:rsid w:val="00007EF0"/>
    <w:rsid w:val="00014059"/>
    <w:rsid w:val="000146E5"/>
    <w:rsid w:val="00014D59"/>
    <w:rsid w:val="00015FC3"/>
    <w:rsid w:val="00016B3F"/>
    <w:rsid w:val="00021016"/>
    <w:rsid w:val="00021CA1"/>
    <w:rsid w:val="000231C0"/>
    <w:rsid w:val="000232BB"/>
    <w:rsid w:val="00023DD3"/>
    <w:rsid w:val="000241EA"/>
    <w:rsid w:val="00024288"/>
    <w:rsid w:val="00024B30"/>
    <w:rsid w:val="00024C70"/>
    <w:rsid w:val="00024EAF"/>
    <w:rsid w:val="0002519D"/>
    <w:rsid w:val="0002542A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B62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53A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492E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5ED9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5202"/>
    <w:rsid w:val="001952CE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693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06CD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0E1D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1F7C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42D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4964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35F8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774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06A"/>
    <w:rsid w:val="003107C1"/>
    <w:rsid w:val="00311712"/>
    <w:rsid w:val="003126E8"/>
    <w:rsid w:val="0031401F"/>
    <w:rsid w:val="003143B1"/>
    <w:rsid w:val="00314E94"/>
    <w:rsid w:val="00315B7D"/>
    <w:rsid w:val="0031624F"/>
    <w:rsid w:val="0031631B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454"/>
    <w:rsid w:val="00380F2D"/>
    <w:rsid w:val="0038185C"/>
    <w:rsid w:val="0038193F"/>
    <w:rsid w:val="00383CEA"/>
    <w:rsid w:val="00384C61"/>
    <w:rsid w:val="003903BD"/>
    <w:rsid w:val="0039238F"/>
    <w:rsid w:val="00392ED1"/>
    <w:rsid w:val="00393A3B"/>
    <w:rsid w:val="00394758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310A"/>
    <w:rsid w:val="003A4DF8"/>
    <w:rsid w:val="003A6146"/>
    <w:rsid w:val="003A6A78"/>
    <w:rsid w:val="003A75FC"/>
    <w:rsid w:val="003B096E"/>
    <w:rsid w:val="003B107C"/>
    <w:rsid w:val="003B2F9D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19BC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05D8"/>
    <w:rsid w:val="00423597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68F"/>
    <w:rsid w:val="004571C2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6ED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3F1F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4875"/>
    <w:rsid w:val="005B5195"/>
    <w:rsid w:val="005B57E9"/>
    <w:rsid w:val="005B59B4"/>
    <w:rsid w:val="005B798B"/>
    <w:rsid w:val="005B7C0E"/>
    <w:rsid w:val="005C163D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D7C5A"/>
    <w:rsid w:val="005E0847"/>
    <w:rsid w:val="005E0F41"/>
    <w:rsid w:val="005E134E"/>
    <w:rsid w:val="005E190E"/>
    <w:rsid w:val="005E3AF3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A27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5CA"/>
    <w:rsid w:val="00672C1D"/>
    <w:rsid w:val="00672E17"/>
    <w:rsid w:val="006732CA"/>
    <w:rsid w:val="00676201"/>
    <w:rsid w:val="006807A8"/>
    <w:rsid w:val="00680EC3"/>
    <w:rsid w:val="006837BD"/>
    <w:rsid w:val="00683BF2"/>
    <w:rsid w:val="00683EB8"/>
    <w:rsid w:val="0068437A"/>
    <w:rsid w:val="00686DCE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96EBF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1E1D"/>
    <w:rsid w:val="006C4280"/>
    <w:rsid w:val="006C449B"/>
    <w:rsid w:val="006C45B0"/>
    <w:rsid w:val="006C4D61"/>
    <w:rsid w:val="006C5027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E15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570E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37B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7EE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348B"/>
    <w:rsid w:val="00864010"/>
    <w:rsid w:val="008641FB"/>
    <w:rsid w:val="00871489"/>
    <w:rsid w:val="008725DA"/>
    <w:rsid w:val="0087292B"/>
    <w:rsid w:val="00873184"/>
    <w:rsid w:val="0087341E"/>
    <w:rsid w:val="0087557E"/>
    <w:rsid w:val="0087581E"/>
    <w:rsid w:val="00875934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5E2E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9AD"/>
    <w:rsid w:val="008E6F40"/>
    <w:rsid w:val="008E7B40"/>
    <w:rsid w:val="008F0871"/>
    <w:rsid w:val="008F0C20"/>
    <w:rsid w:val="008F1654"/>
    <w:rsid w:val="008F1A62"/>
    <w:rsid w:val="008F2A15"/>
    <w:rsid w:val="008F2FB9"/>
    <w:rsid w:val="008F313A"/>
    <w:rsid w:val="008F398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56703"/>
    <w:rsid w:val="009601D9"/>
    <w:rsid w:val="0096106B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29DA"/>
    <w:rsid w:val="00974301"/>
    <w:rsid w:val="00976928"/>
    <w:rsid w:val="00980E16"/>
    <w:rsid w:val="00980E5A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5F8A"/>
    <w:rsid w:val="009B6405"/>
    <w:rsid w:val="009C0F03"/>
    <w:rsid w:val="009C12B4"/>
    <w:rsid w:val="009C19CF"/>
    <w:rsid w:val="009C378A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E7952"/>
    <w:rsid w:val="009F0658"/>
    <w:rsid w:val="009F0797"/>
    <w:rsid w:val="009F2C73"/>
    <w:rsid w:val="009F43E0"/>
    <w:rsid w:val="009F450F"/>
    <w:rsid w:val="009F6A72"/>
    <w:rsid w:val="009F7252"/>
    <w:rsid w:val="00A00507"/>
    <w:rsid w:val="00A007A0"/>
    <w:rsid w:val="00A01151"/>
    <w:rsid w:val="00A0159E"/>
    <w:rsid w:val="00A022AB"/>
    <w:rsid w:val="00A02A14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962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2847"/>
    <w:rsid w:val="00A33A5A"/>
    <w:rsid w:val="00A3454E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2B8B"/>
    <w:rsid w:val="00A4476D"/>
    <w:rsid w:val="00A4607E"/>
    <w:rsid w:val="00A47FF6"/>
    <w:rsid w:val="00A50792"/>
    <w:rsid w:val="00A51772"/>
    <w:rsid w:val="00A52487"/>
    <w:rsid w:val="00A52864"/>
    <w:rsid w:val="00A52E03"/>
    <w:rsid w:val="00A52E9B"/>
    <w:rsid w:val="00A532D2"/>
    <w:rsid w:val="00A53D33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775D"/>
    <w:rsid w:val="00A70111"/>
    <w:rsid w:val="00A704C2"/>
    <w:rsid w:val="00A705A5"/>
    <w:rsid w:val="00A71AD9"/>
    <w:rsid w:val="00A71C88"/>
    <w:rsid w:val="00A72C18"/>
    <w:rsid w:val="00A73F15"/>
    <w:rsid w:val="00A75004"/>
    <w:rsid w:val="00A75A21"/>
    <w:rsid w:val="00A76099"/>
    <w:rsid w:val="00A760E6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D7783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1A56"/>
    <w:rsid w:val="00B03E08"/>
    <w:rsid w:val="00B045C8"/>
    <w:rsid w:val="00B05763"/>
    <w:rsid w:val="00B058E7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3819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0512"/>
    <w:rsid w:val="00B91B8F"/>
    <w:rsid w:val="00B920C7"/>
    <w:rsid w:val="00B93733"/>
    <w:rsid w:val="00B9506E"/>
    <w:rsid w:val="00B9615C"/>
    <w:rsid w:val="00B96A7D"/>
    <w:rsid w:val="00BA0706"/>
    <w:rsid w:val="00BA1F62"/>
    <w:rsid w:val="00BA20E5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175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262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272"/>
    <w:rsid w:val="00C24665"/>
    <w:rsid w:val="00C26121"/>
    <w:rsid w:val="00C262E8"/>
    <w:rsid w:val="00C26C68"/>
    <w:rsid w:val="00C27049"/>
    <w:rsid w:val="00C27363"/>
    <w:rsid w:val="00C27502"/>
    <w:rsid w:val="00C276BB"/>
    <w:rsid w:val="00C30E91"/>
    <w:rsid w:val="00C32015"/>
    <w:rsid w:val="00C320A3"/>
    <w:rsid w:val="00C322AE"/>
    <w:rsid w:val="00C32B8C"/>
    <w:rsid w:val="00C32F7C"/>
    <w:rsid w:val="00C33ED1"/>
    <w:rsid w:val="00C340E2"/>
    <w:rsid w:val="00C341FD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280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97ABC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1BE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6ED0"/>
    <w:rsid w:val="00CC7110"/>
    <w:rsid w:val="00CD2612"/>
    <w:rsid w:val="00CD558B"/>
    <w:rsid w:val="00CD598D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3D51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391E"/>
    <w:rsid w:val="00D246FD"/>
    <w:rsid w:val="00D24AF8"/>
    <w:rsid w:val="00D24E11"/>
    <w:rsid w:val="00D2524D"/>
    <w:rsid w:val="00D2674D"/>
    <w:rsid w:val="00D26783"/>
    <w:rsid w:val="00D2781F"/>
    <w:rsid w:val="00D30B33"/>
    <w:rsid w:val="00D30CB9"/>
    <w:rsid w:val="00D31019"/>
    <w:rsid w:val="00D32624"/>
    <w:rsid w:val="00D32E8D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79B"/>
    <w:rsid w:val="00D81D2B"/>
    <w:rsid w:val="00D81D3E"/>
    <w:rsid w:val="00D822AB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9C0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4C3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3B0E"/>
    <w:rsid w:val="00E04686"/>
    <w:rsid w:val="00E05327"/>
    <w:rsid w:val="00E05923"/>
    <w:rsid w:val="00E06110"/>
    <w:rsid w:val="00E064B7"/>
    <w:rsid w:val="00E0683F"/>
    <w:rsid w:val="00E0716D"/>
    <w:rsid w:val="00E07791"/>
    <w:rsid w:val="00E11F34"/>
    <w:rsid w:val="00E126C2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67E77"/>
    <w:rsid w:val="00E70B31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29EB"/>
    <w:rsid w:val="00E82F63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AF0"/>
    <w:rsid w:val="00EC5D0B"/>
    <w:rsid w:val="00ED1AFF"/>
    <w:rsid w:val="00ED2B77"/>
    <w:rsid w:val="00ED3AC2"/>
    <w:rsid w:val="00ED3F5B"/>
    <w:rsid w:val="00ED511D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3B0D"/>
    <w:rsid w:val="00EE55A9"/>
    <w:rsid w:val="00EE6721"/>
    <w:rsid w:val="00EE7A44"/>
    <w:rsid w:val="00EF0E6C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165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112"/>
    <w:rsid w:val="00F324B4"/>
    <w:rsid w:val="00F34587"/>
    <w:rsid w:val="00F35D0B"/>
    <w:rsid w:val="00F36C82"/>
    <w:rsid w:val="00F36FD5"/>
    <w:rsid w:val="00F402C9"/>
    <w:rsid w:val="00F41C91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93F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4CDB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40AD"/>
    <w:rsid w:val="00FC53F5"/>
    <w:rsid w:val="00FC5597"/>
    <w:rsid w:val="00FC779B"/>
    <w:rsid w:val="00FC7A31"/>
    <w:rsid w:val="00FD0CBD"/>
    <w:rsid w:val="00FD1ABE"/>
    <w:rsid w:val="00FD25DC"/>
    <w:rsid w:val="00FD28B8"/>
    <w:rsid w:val="00FD2CFE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3B57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40AD"/>
    <w:pPr>
      <w:keepNext/>
      <w:widowControl/>
      <w:autoSpaceDE/>
      <w:autoSpaceDN/>
      <w:adjustRightInd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40A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FC40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Indent 2"/>
    <w:basedOn w:val="a"/>
    <w:link w:val="22"/>
    <w:rsid w:val="00FC40A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4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E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2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A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1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E3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67</cp:revision>
  <dcterms:created xsi:type="dcterms:W3CDTF">2013-12-17T10:24:00Z</dcterms:created>
  <dcterms:modified xsi:type="dcterms:W3CDTF">2014-08-04T13:04:00Z</dcterms:modified>
</cp:coreProperties>
</file>