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EB" w:rsidRPr="00BF077C" w:rsidRDefault="00CD4726" w:rsidP="00F11614">
      <w:pPr>
        <w:spacing w:after="0"/>
        <w:ind w:left="-284"/>
        <w:jc w:val="center"/>
        <w:rPr>
          <w:rFonts w:ascii="Times New Roman" w:hAnsi="Times New Roman" w:cs="Times New Roman"/>
          <w:b/>
          <w:sz w:val="24"/>
          <w:szCs w:val="24"/>
        </w:rPr>
      </w:pPr>
      <w:r w:rsidRPr="00BF077C">
        <w:rPr>
          <w:rFonts w:ascii="Times New Roman" w:hAnsi="Times New Roman" w:cs="Times New Roman"/>
          <w:b/>
          <w:sz w:val="24"/>
          <w:szCs w:val="24"/>
        </w:rPr>
        <w:t>Ответы на</w:t>
      </w:r>
      <w:r w:rsidR="006E3600" w:rsidRPr="00BF077C">
        <w:rPr>
          <w:rFonts w:ascii="Times New Roman" w:hAnsi="Times New Roman" w:cs="Times New Roman"/>
          <w:b/>
          <w:sz w:val="24"/>
          <w:szCs w:val="24"/>
        </w:rPr>
        <w:t xml:space="preserve"> вопросы, поступившие в рамках предстоящей ежегодной встречи руководства Банка России </w:t>
      </w:r>
      <w:r w:rsidRPr="00BF077C">
        <w:rPr>
          <w:rFonts w:ascii="Times New Roman" w:hAnsi="Times New Roman" w:cs="Times New Roman"/>
          <w:b/>
          <w:sz w:val="24"/>
          <w:szCs w:val="24"/>
        </w:rPr>
        <w:br/>
      </w:r>
      <w:r w:rsidR="006E3600" w:rsidRPr="00BF077C">
        <w:rPr>
          <w:rFonts w:ascii="Times New Roman" w:hAnsi="Times New Roman" w:cs="Times New Roman"/>
          <w:b/>
          <w:sz w:val="24"/>
          <w:szCs w:val="24"/>
        </w:rPr>
        <w:t>с кредитными организациями</w:t>
      </w:r>
      <w:r w:rsidR="00A90730" w:rsidRPr="00BF077C">
        <w:rPr>
          <w:rFonts w:ascii="Times New Roman" w:hAnsi="Times New Roman" w:cs="Times New Roman"/>
          <w:b/>
          <w:sz w:val="24"/>
          <w:szCs w:val="24"/>
        </w:rPr>
        <w:t xml:space="preserve"> в </w:t>
      </w:r>
      <w:r w:rsidR="006E3600" w:rsidRPr="00BF077C">
        <w:rPr>
          <w:rFonts w:ascii="Times New Roman" w:hAnsi="Times New Roman" w:cs="Times New Roman"/>
          <w:b/>
          <w:sz w:val="24"/>
          <w:szCs w:val="24"/>
        </w:rPr>
        <w:t>ОПК «Бор-Пансионат»</w:t>
      </w:r>
    </w:p>
    <w:p w:rsidR="00BB071B" w:rsidRPr="00BF077C" w:rsidRDefault="00BB071B">
      <w:pPr>
        <w:rPr>
          <w:rFonts w:ascii="Times New Roman" w:hAnsi="Times New Roman" w:cs="Times New Roman"/>
          <w:sz w:val="24"/>
          <w:szCs w:val="24"/>
        </w:rPr>
      </w:pPr>
    </w:p>
    <w:tbl>
      <w:tblPr>
        <w:tblStyle w:val="a3"/>
        <w:tblW w:w="5000" w:type="pct"/>
        <w:tblLook w:val="04A0" w:firstRow="1" w:lastRow="0" w:firstColumn="1" w:lastColumn="0" w:noHBand="0" w:noVBand="1"/>
      </w:tblPr>
      <w:tblGrid>
        <w:gridCol w:w="6479"/>
        <w:gridCol w:w="8081"/>
      </w:tblGrid>
      <w:tr w:rsidR="003416AD" w:rsidRPr="00BF077C" w:rsidTr="00DA10CC">
        <w:tc>
          <w:tcPr>
            <w:tcW w:w="6479" w:type="dxa"/>
            <w:vAlign w:val="center"/>
          </w:tcPr>
          <w:p w:rsidR="00CD4726" w:rsidRPr="00BF077C" w:rsidRDefault="003416AD" w:rsidP="00BC4677">
            <w:pPr>
              <w:spacing w:before="240" w:after="240"/>
              <w:jc w:val="center"/>
              <w:rPr>
                <w:rFonts w:ascii="Times New Roman" w:hAnsi="Times New Roman" w:cs="Times New Roman"/>
                <w:sz w:val="24"/>
                <w:szCs w:val="24"/>
              </w:rPr>
            </w:pPr>
            <w:r w:rsidRPr="00BF077C">
              <w:rPr>
                <w:rFonts w:ascii="Times New Roman" w:hAnsi="Times New Roman" w:cs="Times New Roman"/>
                <w:b/>
                <w:sz w:val="24"/>
                <w:szCs w:val="24"/>
              </w:rPr>
              <w:t>Вопросы и предложения</w:t>
            </w:r>
          </w:p>
        </w:tc>
        <w:tc>
          <w:tcPr>
            <w:tcW w:w="8081" w:type="dxa"/>
            <w:vAlign w:val="center"/>
          </w:tcPr>
          <w:p w:rsidR="003416AD" w:rsidRPr="00BF077C" w:rsidRDefault="007B688F" w:rsidP="00BC4677">
            <w:pPr>
              <w:spacing w:before="240" w:after="240"/>
              <w:jc w:val="center"/>
              <w:rPr>
                <w:rFonts w:ascii="Times New Roman" w:hAnsi="Times New Roman" w:cs="Times New Roman"/>
                <w:b/>
                <w:sz w:val="24"/>
                <w:szCs w:val="24"/>
              </w:rPr>
            </w:pPr>
            <w:r w:rsidRPr="00BF077C">
              <w:rPr>
                <w:rFonts w:ascii="Times New Roman" w:hAnsi="Times New Roman" w:cs="Times New Roman"/>
                <w:b/>
                <w:sz w:val="24"/>
                <w:szCs w:val="24"/>
              </w:rPr>
              <w:t>Ответы и комментарии</w:t>
            </w:r>
            <w:r w:rsidR="003416AD" w:rsidRPr="00BF077C">
              <w:rPr>
                <w:rFonts w:ascii="Times New Roman" w:hAnsi="Times New Roman" w:cs="Times New Roman"/>
                <w:b/>
                <w:sz w:val="24"/>
                <w:szCs w:val="24"/>
              </w:rPr>
              <w:t xml:space="preserve"> </w:t>
            </w:r>
          </w:p>
        </w:tc>
      </w:tr>
      <w:tr w:rsidR="003416AD" w:rsidRPr="00BF077C" w:rsidTr="00DA10CC">
        <w:tc>
          <w:tcPr>
            <w:tcW w:w="6479" w:type="dxa"/>
          </w:tcPr>
          <w:p w:rsidR="003416AD" w:rsidRPr="00BF077C" w:rsidRDefault="003416AD" w:rsidP="007376EF">
            <w:pPr>
              <w:ind w:firstLine="313"/>
              <w:jc w:val="both"/>
              <w:rPr>
                <w:rFonts w:ascii="Times New Roman" w:hAnsi="Times New Roman" w:cs="Times New Roman"/>
                <w:sz w:val="24"/>
                <w:szCs w:val="24"/>
              </w:rPr>
            </w:pPr>
            <w:r w:rsidRPr="00BF077C">
              <w:rPr>
                <w:rFonts w:ascii="Times New Roman" w:hAnsi="Times New Roman" w:cs="Times New Roman"/>
                <w:sz w:val="24"/>
                <w:szCs w:val="24"/>
                <w:lang w:eastAsia="ru-RU" w:bidi="ru-RU"/>
              </w:rPr>
              <w:t>1. Необходимо повторно вернуться к вопросу об</w:t>
            </w:r>
            <w:r w:rsidRPr="00BF077C">
              <w:rPr>
                <w:rFonts w:ascii="Times New Roman" w:hAnsi="Times New Roman" w:cs="Times New Roman"/>
                <w:sz w:val="24"/>
                <w:szCs w:val="24"/>
              </w:rPr>
              <w:t xml:space="preserve"> увеличении срока рассмотрения акта проверки – до 10 рабочих дней. Сроки рассмотрения акта проверки и составления акта разногласий необходимо увеличивать, т.к. акты содержат в среднем до 2000-2500 страниц. Прочитать такой акт, проанализировать имеющиеся замечания, написать пояснения, оформить их за 5 дней крайне затруднительно. Есть ли перспективы изменения данного требования, особенно при рассмотрении акта проверки на бумажном носителе?</w:t>
            </w:r>
          </w:p>
        </w:tc>
        <w:tc>
          <w:tcPr>
            <w:tcW w:w="8081" w:type="dxa"/>
            <w:vMerge w:val="restart"/>
          </w:tcPr>
          <w:p w:rsidR="00740EA2" w:rsidRPr="00740EA2" w:rsidRDefault="00740EA2" w:rsidP="00740EA2">
            <w:pPr>
              <w:ind w:firstLine="313"/>
              <w:jc w:val="both"/>
              <w:rPr>
                <w:rFonts w:ascii="Times New Roman" w:eastAsia="Times New Roman" w:hAnsi="Times New Roman" w:cs="Times New Roman"/>
                <w:sz w:val="24"/>
                <w:szCs w:val="24"/>
                <w:lang w:eastAsia="ru-RU"/>
              </w:rPr>
            </w:pPr>
            <w:r w:rsidRPr="00740EA2">
              <w:rPr>
                <w:rFonts w:ascii="Times New Roman" w:eastAsia="Times New Roman" w:hAnsi="Times New Roman" w:cs="Times New Roman"/>
                <w:sz w:val="24"/>
                <w:szCs w:val="24"/>
                <w:lang w:eastAsia="ru-RU"/>
              </w:rPr>
              <w:t>Возможность увеличения срока ознакомления с актом проверки до 10 рабочих дней по всем кредитным организациям в настоящее время рассматривается Банком России.</w:t>
            </w:r>
          </w:p>
          <w:p w:rsidR="002B795D" w:rsidRPr="00BF077C" w:rsidRDefault="00740EA2" w:rsidP="00740EA2">
            <w:pPr>
              <w:ind w:firstLine="313"/>
              <w:jc w:val="both"/>
              <w:rPr>
                <w:rFonts w:ascii="Times New Roman" w:eastAsia="Times New Roman" w:hAnsi="Times New Roman" w:cs="Times New Roman"/>
                <w:sz w:val="24"/>
                <w:szCs w:val="24"/>
                <w:lang w:eastAsia="ru-RU"/>
              </w:rPr>
            </w:pPr>
            <w:r w:rsidRPr="00740EA2">
              <w:rPr>
                <w:rFonts w:ascii="Times New Roman" w:eastAsia="Times New Roman" w:hAnsi="Times New Roman" w:cs="Times New Roman"/>
                <w:sz w:val="24"/>
                <w:szCs w:val="24"/>
                <w:lang w:eastAsia="ru-RU"/>
              </w:rPr>
              <w:t>Полагаем, что решению вопроса будет также содействовать и направление в кредитные организации актов проверки в электронном виде через личный кабинет. Указанное будет обеспечено в ближайшее время.</w:t>
            </w:r>
          </w:p>
        </w:tc>
      </w:tr>
      <w:tr w:rsidR="003416AD" w:rsidRPr="00BF077C" w:rsidTr="00DA10CC">
        <w:tc>
          <w:tcPr>
            <w:tcW w:w="6479" w:type="dxa"/>
          </w:tcPr>
          <w:p w:rsidR="003416AD" w:rsidRPr="00BF077C" w:rsidRDefault="003416AD" w:rsidP="00BB071B">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lang w:eastAsia="ru-RU" w:bidi="ru-RU"/>
              </w:rPr>
              <w:t>2. В какой стадии реализации в настоящее время находится проект по переходу к электронному формату акта проверки?</w:t>
            </w:r>
          </w:p>
        </w:tc>
        <w:tc>
          <w:tcPr>
            <w:tcW w:w="8081" w:type="dxa"/>
            <w:vMerge/>
          </w:tcPr>
          <w:p w:rsidR="003416AD" w:rsidRPr="00BF077C" w:rsidRDefault="003416AD" w:rsidP="00BB071B">
            <w:pPr>
              <w:ind w:firstLine="317"/>
              <w:jc w:val="both"/>
              <w:rPr>
                <w:rFonts w:ascii="Times New Roman" w:hAnsi="Times New Roman" w:cs="Times New Roman"/>
                <w:sz w:val="24"/>
                <w:szCs w:val="24"/>
              </w:rPr>
            </w:pPr>
          </w:p>
        </w:tc>
      </w:tr>
      <w:tr w:rsidR="00DA10CC" w:rsidRPr="00BF077C" w:rsidTr="00DA10CC">
        <w:tc>
          <w:tcPr>
            <w:tcW w:w="6479" w:type="dxa"/>
          </w:tcPr>
          <w:p w:rsidR="00DA10CC" w:rsidRPr="00BF077C" w:rsidRDefault="00DA10CC" w:rsidP="003544E3">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3. Учитывая, что основной задачей проверок является своевременное устранение недостатков</w:t>
            </w:r>
            <w:r w:rsidR="003544E3" w:rsidRPr="00BF077C">
              <w:rPr>
                <w:rFonts w:ascii="Times New Roman" w:hAnsi="Times New Roman" w:cs="Times New Roman"/>
                <w:sz w:val="24"/>
                <w:szCs w:val="24"/>
              </w:rPr>
              <w:t>,</w:t>
            </w:r>
            <w:r w:rsidRPr="00BF077C">
              <w:rPr>
                <w:rFonts w:ascii="Times New Roman" w:hAnsi="Times New Roman" w:cs="Times New Roman"/>
                <w:sz w:val="24"/>
                <w:szCs w:val="24"/>
              </w:rPr>
              <w:t xml:space="preserve"> целесообразно рассмотреть вопрос о предоставлении при проведении проверок банкам промежуточной информации. Кроме того, это позволит банкам в период проверок оперативно представлять Банку России необходимую уточняющую информацию.</w:t>
            </w:r>
          </w:p>
        </w:tc>
        <w:tc>
          <w:tcPr>
            <w:tcW w:w="8081" w:type="dxa"/>
          </w:tcPr>
          <w:p w:rsidR="000A3909" w:rsidRPr="00BF077C" w:rsidRDefault="000A3909" w:rsidP="00DA10CC">
            <w:pPr>
              <w:ind w:firstLine="313"/>
              <w:jc w:val="both"/>
              <w:rPr>
                <w:rFonts w:ascii="Times New Roman" w:hAnsi="Times New Roman" w:cs="Times New Roman"/>
                <w:sz w:val="24"/>
                <w:szCs w:val="24"/>
              </w:rPr>
            </w:pPr>
            <w:r w:rsidRPr="00BF077C">
              <w:rPr>
                <w:rFonts w:ascii="Times New Roman" w:hAnsi="Times New Roman" w:cs="Times New Roman"/>
                <w:sz w:val="24"/>
                <w:szCs w:val="24"/>
              </w:rPr>
              <w:t xml:space="preserve">В настоящее время в Банке России </w:t>
            </w:r>
            <w:r w:rsidR="00A905B7" w:rsidRPr="00BF077C">
              <w:rPr>
                <w:rFonts w:ascii="Times New Roman" w:hAnsi="Times New Roman" w:cs="Times New Roman"/>
                <w:sz w:val="24"/>
                <w:szCs w:val="24"/>
              </w:rPr>
              <w:t xml:space="preserve">вводится в практику проведение </w:t>
            </w:r>
            <w:r w:rsidRPr="00BF077C">
              <w:rPr>
                <w:rFonts w:ascii="Times New Roman" w:hAnsi="Times New Roman" w:cs="Times New Roman"/>
                <w:sz w:val="24"/>
                <w:szCs w:val="24"/>
              </w:rPr>
              <w:t>совещаний для обсуждения с кредитными организациями</w:t>
            </w:r>
            <w:r w:rsidR="00A905B7" w:rsidRPr="00BF077C">
              <w:rPr>
                <w:rFonts w:ascii="Times New Roman" w:hAnsi="Times New Roman" w:cs="Times New Roman"/>
                <w:sz w:val="24"/>
                <w:szCs w:val="24"/>
              </w:rPr>
              <w:t xml:space="preserve"> выявленных в ходе проверок нарушений</w:t>
            </w:r>
            <w:r w:rsidRPr="00BF077C">
              <w:rPr>
                <w:rFonts w:ascii="Times New Roman" w:hAnsi="Times New Roman" w:cs="Times New Roman"/>
                <w:sz w:val="24"/>
                <w:szCs w:val="24"/>
              </w:rPr>
              <w:t>.</w:t>
            </w:r>
          </w:p>
          <w:p w:rsidR="00DA10CC" w:rsidRPr="00BF077C" w:rsidRDefault="001E1E12" w:rsidP="009B2199">
            <w:pPr>
              <w:ind w:firstLine="313"/>
              <w:jc w:val="both"/>
              <w:rPr>
                <w:rFonts w:ascii="Times New Roman" w:hAnsi="Times New Roman" w:cs="Times New Roman"/>
                <w:sz w:val="24"/>
                <w:szCs w:val="24"/>
              </w:rPr>
            </w:pPr>
            <w:r w:rsidRPr="00BF077C">
              <w:rPr>
                <w:rFonts w:ascii="Times New Roman" w:hAnsi="Times New Roman" w:cs="Times New Roman"/>
                <w:sz w:val="24"/>
                <w:szCs w:val="24"/>
              </w:rPr>
              <w:t>При этом необходимо отметить, что решения о проведении таких обсуждений принима</w:t>
            </w:r>
            <w:r w:rsidR="009B2199" w:rsidRPr="00BF077C">
              <w:rPr>
                <w:rFonts w:ascii="Times New Roman" w:hAnsi="Times New Roman" w:cs="Times New Roman"/>
                <w:sz w:val="24"/>
                <w:szCs w:val="24"/>
              </w:rPr>
              <w:t>ю</w:t>
            </w:r>
            <w:r w:rsidRPr="00BF077C">
              <w:rPr>
                <w:rFonts w:ascii="Times New Roman" w:hAnsi="Times New Roman" w:cs="Times New Roman"/>
                <w:sz w:val="24"/>
                <w:szCs w:val="24"/>
              </w:rPr>
              <w:t>тся с учетом характера выявленных нарушений</w:t>
            </w:r>
            <w:r w:rsidR="009B2199" w:rsidRPr="00BF077C">
              <w:rPr>
                <w:rFonts w:ascii="Times New Roman" w:hAnsi="Times New Roman" w:cs="Times New Roman"/>
                <w:sz w:val="24"/>
                <w:szCs w:val="24"/>
              </w:rPr>
              <w:t xml:space="preserve"> и их существенности</w:t>
            </w:r>
            <w:r w:rsidRPr="00BF077C">
              <w:rPr>
                <w:rFonts w:ascii="Times New Roman" w:hAnsi="Times New Roman" w:cs="Times New Roman"/>
                <w:sz w:val="24"/>
                <w:szCs w:val="24"/>
              </w:rPr>
              <w:t xml:space="preserve">, а также оценки </w:t>
            </w:r>
            <w:proofErr w:type="spellStart"/>
            <w:r w:rsidR="009B2199" w:rsidRPr="00BF077C">
              <w:rPr>
                <w:rFonts w:ascii="Times New Roman" w:hAnsi="Times New Roman" w:cs="Times New Roman"/>
                <w:sz w:val="24"/>
                <w:szCs w:val="24"/>
              </w:rPr>
              <w:t>кооперативности</w:t>
            </w:r>
            <w:proofErr w:type="spellEnd"/>
            <w:r w:rsidRPr="00BF077C">
              <w:rPr>
                <w:rFonts w:ascii="Times New Roman" w:hAnsi="Times New Roman" w:cs="Times New Roman"/>
                <w:sz w:val="24"/>
                <w:szCs w:val="24"/>
              </w:rPr>
              <w:t xml:space="preserve"> проверяемой организации </w:t>
            </w:r>
            <w:r w:rsidR="009B2199" w:rsidRPr="00BF077C">
              <w:rPr>
                <w:rFonts w:ascii="Times New Roman" w:hAnsi="Times New Roman" w:cs="Times New Roman"/>
                <w:sz w:val="24"/>
                <w:szCs w:val="24"/>
              </w:rPr>
              <w:t>(</w:t>
            </w:r>
            <w:r w:rsidRPr="00BF077C">
              <w:rPr>
                <w:rFonts w:ascii="Times New Roman" w:hAnsi="Times New Roman" w:cs="Times New Roman"/>
                <w:sz w:val="24"/>
                <w:szCs w:val="24"/>
              </w:rPr>
              <w:t>рисков вывода активов</w:t>
            </w:r>
            <w:r w:rsidR="009B2199" w:rsidRPr="00BF077C">
              <w:rPr>
                <w:rFonts w:ascii="Times New Roman" w:hAnsi="Times New Roman" w:cs="Times New Roman"/>
                <w:sz w:val="24"/>
                <w:szCs w:val="24"/>
              </w:rPr>
              <w:t>)</w:t>
            </w:r>
            <w:r w:rsidRPr="00BF077C">
              <w:rPr>
                <w:rFonts w:ascii="Times New Roman" w:hAnsi="Times New Roman" w:cs="Times New Roman"/>
                <w:sz w:val="24"/>
                <w:szCs w:val="24"/>
              </w:rPr>
              <w:t>.</w:t>
            </w:r>
          </w:p>
        </w:tc>
      </w:tr>
      <w:tr w:rsidR="00F11614" w:rsidRPr="00BF077C" w:rsidTr="00DA10CC">
        <w:tc>
          <w:tcPr>
            <w:tcW w:w="6479" w:type="dxa"/>
          </w:tcPr>
          <w:p w:rsidR="00F11614" w:rsidRPr="00BF077C" w:rsidRDefault="00F11614" w:rsidP="00891E3C">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 xml:space="preserve">4. Планирует ли Банк России оценивать методики кредитных организаций по расчету ожидаемых кредитных убытков по МСФО 9 с участием Главной инспекции Банка России? </w:t>
            </w:r>
            <w:r w:rsidRPr="00BF077C">
              <w:rPr>
                <w:rFonts w:ascii="Times New Roman" w:hAnsi="Times New Roman" w:cs="Times New Roman"/>
                <w:iCs/>
                <w:sz w:val="24"/>
                <w:szCs w:val="24"/>
              </w:rPr>
              <w:t xml:space="preserve">Планируется ли проведение проверок банков в 2019 </w:t>
            </w:r>
            <w:r w:rsidRPr="00BF077C">
              <w:rPr>
                <w:rFonts w:ascii="Times New Roman" w:hAnsi="Times New Roman" w:cs="Times New Roman"/>
                <w:iCs/>
                <w:sz w:val="24"/>
                <w:szCs w:val="24"/>
              </w:rPr>
              <w:lastRenderedPageBreak/>
              <w:t>году в части оценки активов и адекватности создания резервов по МСФО 9?</w:t>
            </w:r>
          </w:p>
        </w:tc>
        <w:tc>
          <w:tcPr>
            <w:tcW w:w="8081" w:type="dxa"/>
          </w:tcPr>
          <w:p w:rsidR="007A4A4E" w:rsidRPr="00BF077C" w:rsidRDefault="00D650D3" w:rsidP="00891E3C">
            <w:pPr>
              <w:ind w:firstLine="313"/>
              <w:jc w:val="both"/>
              <w:rPr>
                <w:rFonts w:ascii="Times New Roman" w:hAnsi="Times New Roman" w:cs="Times New Roman"/>
                <w:sz w:val="24"/>
                <w:szCs w:val="24"/>
              </w:rPr>
            </w:pPr>
            <w:r w:rsidRPr="00BF077C">
              <w:rPr>
                <w:rFonts w:ascii="Times New Roman" w:hAnsi="Times New Roman" w:cs="Times New Roman"/>
                <w:sz w:val="24"/>
                <w:szCs w:val="24"/>
              </w:rPr>
              <w:lastRenderedPageBreak/>
              <w:t>Проверки по указанным вопросам будут осуществляться при возн</w:t>
            </w:r>
            <w:r w:rsidR="007A4A4E" w:rsidRPr="00BF077C">
              <w:rPr>
                <w:rFonts w:ascii="Times New Roman" w:hAnsi="Times New Roman" w:cs="Times New Roman"/>
                <w:sz w:val="24"/>
                <w:szCs w:val="24"/>
              </w:rPr>
              <w:t xml:space="preserve">икновении надзорной потребности, в том числе по вопросу достоверности учета (отчетности) кредитных организаций. В рамках указанного вопроса может осуществляться оценка достоверности отражения на счетах бухгалтерского учета и в отчетности резерва на возможные потери </w:t>
            </w:r>
            <w:r w:rsidR="007A4A4E" w:rsidRPr="00BF077C">
              <w:rPr>
                <w:rFonts w:ascii="Times New Roman" w:hAnsi="Times New Roman" w:cs="Times New Roman"/>
                <w:sz w:val="24"/>
                <w:szCs w:val="24"/>
              </w:rPr>
              <w:lastRenderedPageBreak/>
              <w:t xml:space="preserve">по ссудам, сформированного в соответствии с </w:t>
            </w:r>
            <w:proofErr w:type="spellStart"/>
            <w:r w:rsidR="007A4A4E" w:rsidRPr="00BF077C">
              <w:rPr>
                <w:rFonts w:ascii="Times New Roman" w:hAnsi="Times New Roman" w:cs="Times New Roman"/>
                <w:sz w:val="24"/>
                <w:szCs w:val="24"/>
              </w:rPr>
              <w:t>пруденциальными</w:t>
            </w:r>
            <w:proofErr w:type="spellEnd"/>
            <w:r w:rsidR="007A4A4E" w:rsidRPr="00BF077C">
              <w:rPr>
                <w:rFonts w:ascii="Times New Roman" w:hAnsi="Times New Roman" w:cs="Times New Roman"/>
                <w:sz w:val="24"/>
                <w:szCs w:val="24"/>
              </w:rPr>
              <w:t xml:space="preserve"> требованиями, и размера его корректировок</w:t>
            </w:r>
            <w:r w:rsidR="006801F1" w:rsidRPr="00BF077C">
              <w:rPr>
                <w:rStyle w:val="a6"/>
                <w:rFonts w:ascii="Times New Roman" w:hAnsi="Times New Roman" w:cs="Times New Roman"/>
                <w:sz w:val="24"/>
                <w:szCs w:val="24"/>
              </w:rPr>
              <w:footnoteReference w:id="1"/>
            </w:r>
            <w:r w:rsidR="007A4A4E" w:rsidRPr="00BF077C">
              <w:rPr>
                <w:rFonts w:ascii="Times New Roman" w:hAnsi="Times New Roman" w:cs="Times New Roman"/>
                <w:sz w:val="24"/>
                <w:szCs w:val="24"/>
              </w:rPr>
              <w:t xml:space="preserve"> в соответствии с МСФО 9</w:t>
            </w:r>
            <w:r w:rsidR="006801F1" w:rsidRPr="00BF077C">
              <w:rPr>
                <w:rFonts w:ascii="Times New Roman" w:hAnsi="Times New Roman" w:cs="Times New Roman"/>
                <w:sz w:val="24"/>
                <w:szCs w:val="24"/>
              </w:rPr>
              <w:t>, рассчитанных в соответствии с методиками кредитных организаций</w:t>
            </w:r>
            <w:r w:rsidR="007A4A4E" w:rsidRPr="00BF077C">
              <w:rPr>
                <w:rFonts w:ascii="Times New Roman" w:hAnsi="Times New Roman" w:cs="Times New Roman"/>
                <w:sz w:val="24"/>
                <w:szCs w:val="24"/>
              </w:rPr>
              <w:t>.</w:t>
            </w:r>
          </w:p>
          <w:p w:rsidR="00FE0DAC" w:rsidRPr="00BF077C" w:rsidRDefault="00FE0DAC" w:rsidP="00891E3C">
            <w:pPr>
              <w:ind w:firstLine="313"/>
              <w:jc w:val="both"/>
              <w:rPr>
                <w:rFonts w:ascii="Times New Roman" w:hAnsi="Times New Roman" w:cs="Times New Roman"/>
                <w:sz w:val="24"/>
                <w:szCs w:val="24"/>
              </w:rPr>
            </w:pPr>
            <w:r w:rsidRPr="00BF077C">
              <w:rPr>
                <w:rFonts w:ascii="Times New Roman" w:hAnsi="Times New Roman" w:cs="Times New Roman"/>
                <w:sz w:val="24"/>
                <w:szCs w:val="24"/>
              </w:rPr>
              <w:t>Одновременно сообщаю, что согласно письму первого заместителя Председателя Банка России Д.В. </w:t>
            </w:r>
            <w:proofErr w:type="spellStart"/>
            <w:r w:rsidRPr="00BF077C">
              <w:rPr>
                <w:rFonts w:ascii="Times New Roman" w:hAnsi="Times New Roman" w:cs="Times New Roman"/>
                <w:sz w:val="24"/>
                <w:szCs w:val="24"/>
              </w:rPr>
              <w:t>Тулина</w:t>
            </w:r>
            <w:proofErr w:type="spellEnd"/>
            <w:r w:rsidRPr="00BF077C">
              <w:rPr>
                <w:rFonts w:ascii="Times New Roman" w:hAnsi="Times New Roman" w:cs="Times New Roman"/>
                <w:sz w:val="24"/>
                <w:szCs w:val="24"/>
              </w:rPr>
              <w:t xml:space="preserve"> от 14.12.2018 № 03-41-1/10060 в некоммерческое партнерство «Национальный совет финансового рынка</w:t>
            </w:r>
            <w:proofErr w:type="gramStart"/>
            <w:r w:rsidRPr="00BF077C">
              <w:rPr>
                <w:rFonts w:ascii="Times New Roman" w:hAnsi="Times New Roman" w:cs="Times New Roman"/>
                <w:sz w:val="24"/>
                <w:szCs w:val="24"/>
              </w:rPr>
              <w:t>»</w:t>
            </w:r>
            <w:proofErr w:type="gramEnd"/>
            <w:r w:rsidRPr="00BF077C">
              <w:rPr>
                <w:rFonts w:ascii="Times New Roman" w:hAnsi="Times New Roman" w:cs="Times New Roman"/>
                <w:sz w:val="24"/>
                <w:szCs w:val="24"/>
              </w:rPr>
              <w:t>:</w:t>
            </w:r>
          </w:p>
          <w:p w:rsidR="00F11614" w:rsidRPr="00BF077C" w:rsidRDefault="00FE0DAC" w:rsidP="00DF7B5F">
            <w:pPr>
              <w:ind w:firstLine="313"/>
              <w:jc w:val="both"/>
              <w:rPr>
                <w:rFonts w:ascii="Times New Roman" w:hAnsi="Times New Roman" w:cs="Times New Roman"/>
                <w:sz w:val="24"/>
                <w:szCs w:val="24"/>
              </w:rPr>
            </w:pPr>
            <w:r w:rsidRPr="00BF077C">
              <w:rPr>
                <w:rFonts w:ascii="Times New Roman" w:hAnsi="Times New Roman" w:cs="Times New Roman"/>
                <w:sz w:val="24"/>
                <w:szCs w:val="24"/>
              </w:rPr>
              <w:t>«</w:t>
            </w:r>
            <w:r w:rsidR="00160F28" w:rsidRPr="00BF077C">
              <w:rPr>
                <w:rFonts w:ascii="Times New Roman" w:hAnsi="Times New Roman" w:cs="Times New Roman"/>
                <w:sz w:val="24"/>
                <w:szCs w:val="24"/>
              </w:rPr>
              <w:t>У</w:t>
            </w:r>
            <w:r w:rsidR="00D650D3" w:rsidRPr="00BF077C">
              <w:rPr>
                <w:rFonts w:ascii="Times New Roman" w:hAnsi="Times New Roman" w:cs="Times New Roman"/>
                <w:sz w:val="24"/>
                <w:szCs w:val="24"/>
              </w:rPr>
              <w:t>читывая существенность изменений, вносимых в бухгалтерский учет и отчетность кредитных организаций с 1 января 2019 года</w:t>
            </w:r>
            <w:r w:rsidR="00D80469" w:rsidRPr="00BF077C">
              <w:rPr>
                <w:rFonts w:ascii="Times New Roman" w:hAnsi="Times New Roman" w:cs="Times New Roman"/>
                <w:sz w:val="24"/>
                <w:szCs w:val="24"/>
              </w:rPr>
              <w:t>, при принятии решений о применении мер к кредитным организациям, допустившим ненадлежащее исполнение требований МСФО (</w:t>
            </w:r>
            <w:r w:rsidR="00D80469" w:rsidRPr="00BF077C">
              <w:rPr>
                <w:rFonts w:ascii="Times New Roman" w:hAnsi="Times New Roman" w:cs="Times New Roman"/>
                <w:sz w:val="24"/>
                <w:szCs w:val="24"/>
                <w:lang w:val="en-US"/>
              </w:rPr>
              <w:t>IFRS</w:t>
            </w:r>
            <w:r w:rsidR="00D80469" w:rsidRPr="00BF077C">
              <w:rPr>
                <w:rFonts w:ascii="Times New Roman" w:hAnsi="Times New Roman" w:cs="Times New Roman"/>
                <w:sz w:val="24"/>
                <w:szCs w:val="24"/>
              </w:rPr>
              <w:t>) 9 в бухгалтерском учете и отчетности, Банком России в соответствии с пунктом 4.1 Инструкции № 188-И будет учитываться характер допущенного нарушения, а также причины, обусловившие его возникновение.</w:t>
            </w:r>
            <w:r w:rsidRPr="00BF077C">
              <w:rPr>
                <w:rFonts w:ascii="Times New Roman" w:hAnsi="Times New Roman" w:cs="Times New Roman"/>
                <w:sz w:val="24"/>
                <w:szCs w:val="24"/>
              </w:rPr>
              <w:t>».</w:t>
            </w:r>
          </w:p>
        </w:tc>
      </w:tr>
      <w:tr w:rsidR="00F11614" w:rsidRPr="00BF077C"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lastRenderedPageBreak/>
              <w:t>5. В период проводимой Банком России проверки у банков запрашивается пакет документов по субъектам малого предпринимательства (использующих упрощенную систему налогообложения, упрощенные способы ведения бухгалтерского учета</w:t>
            </w:r>
            <w:r w:rsidRPr="00BF077C">
              <w:rPr>
                <w:rStyle w:val="a6"/>
                <w:rFonts w:ascii="Times New Roman" w:hAnsi="Times New Roman" w:cs="Times New Roman"/>
                <w:sz w:val="24"/>
                <w:szCs w:val="24"/>
              </w:rPr>
              <w:footnoteReference w:id="2"/>
            </w:r>
            <w:r w:rsidRPr="00BF077C">
              <w:rPr>
                <w:rFonts w:ascii="Times New Roman" w:hAnsi="Times New Roman" w:cs="Times New Roman"/>
                <w:sz w:val="24"/>
                <w:szCs w:val="24"/>
              </w:rPr>
              <w:t xml:space="preserve">), то есть аналогичный пакету документов заемщика юридического лица, не являющегося субъектом малого предпринимательства (например, управленческую отчетность с расшифровками). Предполагается ли изменения в подходах к проверкам указанных заемщиков в связи с введением в действие </w:t>
            </w:r>
            <w:r w:rsidRPr="00BF077C">
              <w:rPr>
                <w:rFonts w:ascii="Times New Roman" w:hAnsi="Times New Roman" w:cs="Times New Roman"/>
                <w:sz w:val="24"/>
                <w:szCs w:val="24"/>
              </w:rPr>
              <w:lastRenderedPageBreak/>
              <w:t>изменений Положения 590-П, предусмотренных в Указании 4874-У?</w:t>
            </w:r>
          </w:p>
        </w:tc>
        <w:tc>
          <w:tcPr>
            <w:tcW w:w="8081" w:type="dxa"/>
          </w:tcPr>
          <w:p w:rsidR="003E0859" w:rsidRDefault="003E0859" w:rsidP="003E0859">
            <w:pPr>
              <w:ind w:firstLine="31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Положением № 590-П с учетом изменений, внесенных Указанием № 4874-У, предусмотрена </w:t>
            </w:r>
            <w:r w:rsidR="007A03B1">
              <w:rPr>
                <w:rFonts w:ascii="Times New Roman" w:hAnsi="Times New Roman" w:cs="Times New Roman"/>
                <w:sz w:val="24"/>
                <w:szCs w:val="24"/>
              </w:rPr>
              <w:t>возможность использования сок</w:t>
            </w:r>
            <w:r>
              <w:rPr>
                <w:rFonts w:ascii="Times New Roman" w:hAnsi="Times New Roman" w:cs="Times New Roman"/>
                <w:sz w:val="24"/>
                <w:szCs w:val="24"/>
              </w:rPr>
              <w:t>р</w:t>
            </w:r>
            <w:r w:rsidR="007A03B1">
              <w:rPr>
                <w:rFonts w:ascii="Times New Roman" w:hAnsi="Times New Roman" w:cs="Times New Roman"/>
                <w:sz w:val="24"/>
                <w:szCs w:val="24"/>
              </w:rPr>
              <w:t>а</w:t>
            </w:r>
            <w:r>
              <w:rPr>
                <w:rFonts w:ascii="Times New Roman" w:hAnsi="Times New Roman" w:cs="Times New Roman"/>
                <w:sz w:val="24"/>
                <w:szCs w:val="24"/>
              </w:rPr>
              <w:t>щенного перечня источников информации для анализа финансового положения заемщика – субъекта малого предпринимательства, использующего упрощенную систему налогообложения, упрощенные способы ведения бухгалтерского учета, включая упрощенную бухгалтерскую (финансовую) отчетность.</w:t>
            </w:r>
          </w:p>
          <w:p w:rsidR="003E0859" w:rsidRDefault="003E0859" w:rsidP="003E0859">
            <w:pPr>
              <w:ind w:firstLine="317"/>
              <w:jc w:val="both"/>
              <w:rPr>
                <w:rFonts w:ascii="Times New Roman" w:hAnsi="Times New Roman" w:cs="Times New Roman"/>
                <w:sz w:val="24"/>
                <w:szCs w:val="24"/>
              </w:rPr>
            </w:pPr>
            <w:r>
              <w:rPr>
                <w:rFonts w:ascii="Times New Roman" w:hAnsi="Times New Roman" w:cs="Times New Roman"/>
                <w:sz w:val="24"/>
                <w:szCs w:val="24"/>
              </w:rPr>
              <w:t>При этом в соответствии с нормативными требованиями перечень таких источников</w:t>
            </w:r>
            <w:r w:rsidR="00B00CCB">
              <w:rPr>
                <w:rFonts w:ascii="Times New Roman" w:hAnsi="Times New Roman" w:cs="Times New Roman"/>
                <w:sz w:val="24"/>
                <w:szCs w:val="24"/>
              </w:rPr>
              <w:t xml:space="preserve">, используемых </w:t>
            </w:r>
            <w:r w:rsidR="007A03B1">
              <w:rPr>
                <w:rFonts w:ascii="Times New Roman" w:hAnsi="Times New Roman" w:cs="Times New Roman"/>
                <w:sz w:val="24"/>
                <w:szCs w:val="24"/>
              </w:rPr>
              <w:t>для анализа финансового положения заемщиков – субъектов</w:t>
            </w:r>
            <w:r w:rsidR="00B00CCB">
              <w:rPr>
                <w:rFonts w:ascii="Times New Roman" w:hAnsi="Times New Roman" w:cs="Times New Roman"/>
                <w:sz w:val="24"/>
                <w:szCs w:val="24"/>
              </w:rPr>
              <w:t xml:space="preserve"> МСП</w:t>
            </w:r>
            <w:r w:rsidR="007A03B1">
              <w:rPr>
                <w:rFonts w:ascii="Times New Roman" w:hAnsi="Times New Roman" w:cs="Times New Roman"/>
                <w:sz w:val="24"/>
                <w:szCs w:val="24"/>
              </w:rPr>
              <w:t>,</w:t>
            </w:r>
            <w:r w:rsidR="00B00CCB">
              <w:rPr>
                <w:rFonts w:ascii="Times New Roman" w:hAnsi="Times New Roman" w:cs="Times New Roman"/>
                <w:sz w:val="24"/>
                <w:szCs w:val="24"/>
              </w:rPr>
              <w:t xml:space="preserve"> должен</w:t>
            </w:r>
            <w:r>
              <w:rPr>
                <w:rFonts w:ascii="Times New Roman" w:hAnsi="Times New Roman" w:cs="Times New Roman"/>
                <w:sz w:val="24"/>
                <w:szCs w:val="24"/>
              </w:rPr>
              <w:t xml:space="preserve"> конкретизир</w:t>
            </w:r>
            <w:r w:rsidR="00B00CCB">
              <w:rPr>
                <w:rFonts w:ascii="Times New Roman" w:hAnsi="Times New Roman" w:cs="Times New Roman"/>
                <w:sz w:val="24"/>
                <w:szCs w:val="24"/>
              </w:rPr>
              <w:t>оваться</w:t>
            </w:r>
            <w:r>
              <w:rPr>
                <w:rFonts w:ascii="Times New Roman" w:hAnsi="Times New Roman" w:cs="Times New Roman"/>
                <w:sz w:val="24"/>
                <w:szCs w:val="24"/>
              </w:rPr>
              <w:t xml:space="preserve"> самой кредитной организацией во внутренних документах. </w:t>
            </w:r>
          </w:p>
          <w:p w:rsidR="00740EA2" w:rsidRPr="00740EA2" w:rsidRDefault="00740EA2" w:rsidP="00740EA2">
            <w:pPr>
              <w:ind w:firstLine="317"/>
              <w:jc w:val="both"/>
              <w:rPr>
                <w:rFonts w:ascii="Times New Roman" w:hAnsi="Times New Roman" w:cs="Times New Roman"/>
                <w:sz w:val="24"/>
                <w:szCs w:val="24"/>
              </w:rPr>
            </w:pPr>
            <w:r w:rsidRPr="00740EA2">
              <w:rPr>
                <w:rFonts w:ascii="Times New Roman" w:hAnsi="Times New Roman" w:cs="Times New Roman"/>
                <w:sz w:val="24"/>
                <w:szCs w:val="24"/>
              </w:rPr>
              <w:lastRenderedPageBreak/>
              <w:t>В связи с этим, рабочие группы должны запрашивать в ходе проверок ссудной задолженности субъектов МСП документы, указанные в перечне источников, определенном кредитной организацией.</w:t>
            </w:r>
          </w:p>
          <w:p w:rsidR="00740EA2" w:rsidRPr="00740EA2" w:rsidRDefault="00740EA2" w:rsidP="00740EA2">
            <w:pPr>
              <w:ind w:firstLine="317"/>
              <w:jc w:val="both"/>
              <w:rPr>
                <w:rFonts w:ascii="Times New Roman" w:hAnsi="Times New Roman" w:cs="Times New Roman"/>
                <w:sz w:val="24"/>
                <w:szCs w:val="24"/>
              </w:rPr>
            </w:pPr>
            <w:r w:rsidRPr="00740EA2">
              <w:rPr>
                <w:rFonts w:ascii="Times New Roman" w:hAnsi="Times New Roman" w:cs="Times New Roman"/>
                <w:sz w:val="24"/>
                <w:szCs w:val="24"/>
              </w:rPr>
              <w:t>Соответствующие разъяснения в отношении действий рабочих групп доведены до инспекционных подразделений.</w:t>
            </w:r>
          </w:p>
          <w:p w:rsidR="00F11614" w:rsidRPr="00BF077C" w:rsidRDefault="00740EA2" w:rsidP="00740EA2">
            <w:pPr>
              <w:ind w:firstLine="317"/>
              <w:jc w:val="both"/>
              <w:rPr>
                <w:rFonts w:ascii="Times New Roman" w:hAnsi="Times New Roman" w:cs="Times New Roman"/>
                <w:sz w:val="24"/>
                <w:szCs w:val="24"/>
              </w:rPr>
            </w:pPr>
            <w:r w:rsidRPr="00740EA2">
              <w:rPr>
                <w:rFonts w:ascii="Times New Roman" w:hAnsi="Times New Roman" w:cs="Times New Roman"/>
                <w:sz w:val="24"/>
                <w:szCs w:val="24"/>
              </w:rPr>
              <w:t>Полагаем, что, со своей стороны, кредитные организации должны актуализировать внутренние документы, регламентирующие кредитную политику, с учетом Указания № 4874-У.</w:t>
            </w:r>
          </w:p>
        </w:tc>
      </w:tr>
      <w:tr w:rsidR="00F11614" w:rsidRPr="00BF077C"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lastRenderedPageBreak/>
              <w:t xml:space="preserve">6. При проведении проверок Главной инспекцией Банка </w:t>
            </w:r>
            <w:proofErr w:type="gramStart"/>
            <w:r w:rsidRPr="00BF077C">
              <w:rPr>
                <w:rFonts w:ascii="Times New Roman" w:hAnsi="Times New Roman" w:cs="Times New Roman"/>
                <w:sz w:val="24"/>
                <w:szCs w:val="24"/>
              </w:rPr>
              <w:t>России</w:t>
            </w:r>
            <w:proofErr w:type="gramEnd"/>
            <w:r w:rsidRPr="00BF077C">
              <w:rPr>
                <w:rFonts w:ascii="Times New Roman" w:hAnsi="Times New Roman" w:cs="Times New Roman"/>
                <w:sz w:val="24"/>
                <w:szCs w:val="24"/>
              </w:rPr>
              <w:t xml:space="preserve"> проверяющие используют внутренние письма (в том числе адресные письма/разъяснения Банка России), которые не опубликованы в открытых источниках. В связи с чем возникают разночтения по отдельным пунктам нормативных требований, т.к. иные банки, у которых отсутствует данная информация, не применяют уточненные Банком России подходы. В таких случаях при проведении проверки предлагается при вынесении решения проверяющими и отражения в акте проверки нарушений/недостатков учитывать данную ситуацию. В акте проверки указывать причины неоднозначности трактовки и разницу в подходах банка и проверяющих. </w:t>
            </w:r>
          </w:p>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Также, учитывая длительность проверки, предлагается в ходе проверки официально знакомить руководство банка с разъяснениями Банка России и рекомендовать оперативно исправлять внутрибанковские методики и подходы для исключения недопонимания и разночтения требований Банка России в акте проверки.</w:t>
            </w:r>
          </w:p>
        </w:tc>
        <w:tc>
          <w:tcPr>
            <w:tcW w:w="8081" w:type="dxa"/>
          </w:tcPr>
          <w:p w:rsidR="00E21282" w:rsidRPr="00BF077C" w:rsidRDefault="00A620B3" w:rsidP="00F11614">
            <w:pPr>
              <w:ind w:firstLine="317"/>
              <w:jc w:val="both"/>
              <w:rPr>
                <w:rFonts w:ascii="Times New Roman" w:hAnsi="Times New Roman" w:cs="Times New Roman"/>
                <w:sz w:val="24"/>
                <w:szCs w:val="24"/>
              </w:rPr>
            </w:pPr>
            <w:r w:rsidRPr="00BF077C">
              <w:rPr>
                <w:rFonts w:ascii="Times New Roman" w:hAnsi="Times New Roman" w:cs="Times New Roman"/>
                <w:sz w:val="24"/>
                <w:szCs w:val="24"/>
              </w:rPr>
              <w:t>В отдельных случаях кредитные организации обращаются в Банк России за получением разъяснений по вопросам применения нормативных актов Банка России с учетом индивидуальных особенностей их деятельности</w:t>
            </w:r>
            <w:r w:rsidR="00875453" w:rsidRPr="00BF077C">
              <w:rPr>
                <w:rFonts w:ascii="Times New Roman" w:hAnsi="Times New Roman" w:cs="Times New Roman"/>
                <w:sz w:val="24"/>
                <w:szCs w:val="24"/>
              </w:rPr>
              <w:t xml:space="preserve"> или конкретных обстоятельств осуществления операций (сделок)</w:t>
            </w:r>
            <w:r w:rsidRPr="00BF077C">
              <w:rPr>
                <w:rFonts w:ascii="Times New Roman" w:hAnsi="Times New Roman" w:cs="Times New Roman"/>
                <w:sz w:val="24"/>
                <w:szCs w:val="24"/>
              </w:rPr>
              <w:t>.</w:t>
            </w:r>
            <w:r w:rsidR="007F3A21" w:rsidRPr="00BF077C">
              <w:rPr>
                <w:rFonts w:ascii="Times New Roman" w:hAnsi="Times New Roman" w:cs="Times New Roman"/>
                <w:sz w:val="24"/>
                <w:szCs w:val="24"/>
              </w:rPr>
              <w:t xml:space="preserve"> </w:t>
            </w:r>
            <w:r w:rsidR="00E21282" w:rsidRPr="00BF077C">
              <w:rPr>
                <w:rFonts w:ascii="Times New Roman" w:hAnsi="Times New Roman" w:cs="Times New Roman"/>
                <w:sz w:val="24"/>
                <w:szCs w:val="24"/>
              </w:rPr>
              <w:t>Разъяснения Банка России по таким вопросам не подлежат применению в массовом порядке.</w:t>
            </w:r>
          </w:p>
          <w:p w:rsidR="00F11614" w:rsidRPr="00BF077C" w:rsidRDefault="007F3A21" w:rsidP="007F3A21">
            <w:pPr>
              <w:ind w:firstLine="317"/>
              <w:jc w:val="both"/>
              <w:rPr>
                <w:rFonts w:ascii="Times New Roman" w:hAnsi="Times New Roman" w:cs="Times New Roman"/>
                <w:sz w:val="24"/>
                <w:szCs w:val="24"/>
              </w:rPr>
            </w:pPr>
            <w:r w:rsidRPr="00BF077C">
              <w:rPr>
                <w:rFonts w:ascii="Times New Roman" w:hAnsi="Times New Roman" w:cs="Times New Roman"/>
                <w:sz w:val="24"/>
                <w:szCs w:val="24"/>
              </w:rPr>
              <w:t>В других случаях разъяснения Банка России доводятся до сведения всех кредитных организаций</w:t>
            </w:r>
            <w:r w:rsidR="00E21282" w:rsidRPr="00BF077C">
              <w:rPr>
                <w:rFonts w:ascii="Times New Roman" w:hAnsi="Times New Roman" w:cs="Times New Roman"/>
                <w:sz w:val="24"/>
                <w:szCs w:val="24"/>
              </w:rPr>
              <w:t xml:space="preserve">, например, путем размещения на </w:t>
            </w:r>
            <w:r w:rsidR="00E21282" w:rsidRPr="00BF077C">
              <w:rPr>
                <w:rFonts w:ascii="Times New Roman" w:hAnsi="Times New Roman" w:cs="Times New Roman"/>
                <w:sz w:val="24"/>
                <w:szCs w:val="24"/>
                <w:lang w:val="en-US"/>
              </w:rPr>
              <w:t>web</w:t>
            </w:r>
            <w:r w:rsidR="00E21282" w:rsidRPr="00BF077C">
              <w:rPr>
                <w:rFonts w:ascii="Times New Roman" w:hAnsi="Times New Roman" w:cs="Times New Roman"/>
                <w:sz w:val="24"/>
                <w:szCs w:val="24"/>
              </w:rPr>
              <w:t>-сайте Банка России</w:t>
            </w:r>
            <w:r w:rsidR="00FC19DD" w:rsidRPr="00BF077C">
              <w:rPr>
                <w:rFonts w:ascii="Times New Roman" w:hAnsi="Times New Roman" w:cs="Times New Roman"/>
                <w:sz w:val="24"/>
                <w:szCs w:val="24"/>
              </w:rPr>
              <w:t xml:space="preserve"> в сети Интернет</w:t>
            </w:r>
            <w:r w:rsidRPr="00BF077C">
              <w:rPr>
                <w:rFonts w:ascii="Times New Roman" w:hAnsi="Times New Roman" w:cs="Times New Roman"/>
                <w:sz w:val="24"/>
                <w:szCs w:val="24"/>
              </w:rPr>
              <w:t>. Опубликование разъяснений осуществляется подразделениями Банка России – разработчиками соответствующих нормативных актов.</w:t>
            </w:r>
          </w:p>
          <w:p w:rsidR="007F3A21" w:rsidRPr="00BF077C" w:rsidRDefault="007F3A21" w:rsidP="000421FB">
            <w:pPr>
              <w:ind w:firstLine="317"/>
              <w:jc w:val="both"/>
              <w:rPr>
                <w:rFonts w:ascii="Times New Roman" w:hAnsi="Times New Roman" w:cs="Times New Roman"/>
                <w:sz w:val="24"/>
                <w:szCs w:val="24"/>
              </w:rPr>
            </w:pPr>
            <w:r w:rsidRPr="00BF077C">
              <w:rPr>
                <w:rFonts w:ascii="Times New Roman" w:hAnsi="Times New Roman" w:cs="Times New Roman"/>
                <w:sz w:val="24"/>
                <w:szCs w:val="24"/>
              </w:rPr>
              <w:t xml:space="preserve">Указанные разъяснения целесообразно учитывать </w:t>
            </w:r>
            <w:r w:rsidR="000421FB" w:rsidRPr="00BF077C">
              <w:rPr>
                <w:rFonts w:ascii="Times New Roman" w:hAnsi="Times New Roman" w:cs="Times New Roman"/>
                <w:sz w:val="24"/>
                <w:szCs w:val="24"/>
              </w:rPr>
              <w:t xml:space="preserve">в деятельности кредитных организаций, в том числе </w:t>
            </w:r>
            <w:r w:rsidRPr="00BF077C">
              <w:rPr>
                <w:rFonts w:ascii="Times New Roman" w:hAnsi="Times New Roman" w:cs="Times New Roman"/>
                <w:sz w:val="24"/>
                <w:szCs w:val="24"/>
              </w:rPr>
              <w:t>при разработке внутренних документов.</w:t>
            </w:r>
          </w:p>
        </w:tc>
      </w:tr>
      <w:tr w:rsidR="00F11614" w:rsidRPr="00BF077C"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 xml:space="preserve">7. Просим уточнить период, в который может быть установлено рабочей группой Главной инспекции Банка России </w:t>
            </w:r>
            <w:proofErr w:type="spellStart"/>
            <w:r w:rsidRPr="00BF077C">
              <w:rPr>
                <w:rFonts w:ascii="Times New Roman" w:hAnsi="Times New Roman" w:cs="Times New Roman"/>
                <w:sz w:val="24"/>
                <w:szCs w:val="24"/>
              </w:rPr>
              <w:t>недосоздание</w:t>
            </w:r>
            <w:proofErr w:type="spellEnd"/>
            <w:r w:rsidRPr="00BF077C">
              <w:rPr>
                <w:rFonts w:ascii="Times New Roman" w:hAnsi="Times New Roman" w:cs="Times New Roman"/>
                <w:sz w:val="24"/>
                <w:szCs w:val="24"/>
              </w:rPr>
              <w:t xml:space="preserve"> резерва - на последнюю отчетную дату или на протяжении всего проверяемого периода? Данный вопрос возник в связи с тем, что при проведении проверки </w:t>
            </w:r>
            <w:r w:rsidRPr="00BF077C">
              <w:rPr>
                <w:rFonts w:ascii="Times New Roman" w:hAnsi="Times New Roman" w:cs="Times New Roman"/>
                <w:sz w:val="24"/>
                <w:szCs w:val="24"/>
              </w:rPr>
              <w:lastRenderedPageBreak/>
              <w:t xml:space="preserve">(она может проходить до 80 рабочих дней), по ссудам (ссудной и приравненной к ней задолженности) меняется сумма резерва в зависимости от изменения оценки кредитного риска по заемщикам, проверяющим даются пояснения. При этом в итоге, в акте проверки указываются мнения проверяющих </w:t>
            </w:r>
            <w:r w:rsidRPr="00BF077C">
              <w:rPr>
                <w:rFonts w:ascii="Times New Roman" w:hAnsi="Times New Roman" w:cs="Times New Roman"/>
                <w:sz w:val="24"/>
                <w:szCs w:val="24"/>
                <w:u w:val="single"/>
              </w:rPr>
              <w:t xml:space="preserve">о более раннем (ретроспективном) </w:t>
            </w:r>
            <w:proofErr w:type="spellStart"/>
            <w:r w:rsidRPr="00BF077C">
              <w:rPr>
                <w:rFonts w:ascii="Times New Roman" w:hAnsi="Times New Roman" w:cs="Times New Roman"/>
                <w:sz w:val="24"/>
                <w:szCs w:val="24"/>
                <w:u w:val="single"/>
              </w:rPr>
              <w:t>недосоздании</w:t>
            </w:r>
            <w:proofErr w:type="spellEnd"/>
            <w:r w:rsidRPr="00BF077C">
              <w:rPr>
                <w:rFonts w:ascii="Times New Roman" w:hAnsi="Times New Roman" w:cs="Times New Roman"/>
                <w:sz w:val="24"/>
                <w:szCs w:val="24"/>
                <w:u w:val="single"/>
              </w:rPr>
              <w:t xml:space="preserve"> резервов</w:t>
            </w:r>
            <w:r w:rsidRPr="00BF077C">
              <w:rPr>
                <w:rFonts w:ascii="Times New Roman" w:hAnsi="Times New Roman" w:cs="Times New Roman"/>
                <w:sz w:val="24"/>
                <w:szCs w:val="24"/>
              </w:rPr>
              <w:t xml:space="preserve"> по ссудам без приведения расчетных аргументов по оценке, например</w:t>
            </w:r>
            <w:r w:rsidR="00DF22E6">
              <w:rPr>
                <w:rFonts w:ascii="Times New Roman" w:hAnsi="Times New Roman" w:cs="Times New Roman"/>
                <w:sz w:val="24"/>
                <w:szCs w:val="24"/>
              </w:rPr>
              <w:t>,</w:t>
            </w:r>
            <w:r w:rsidRPr="00BF077C">
              <w:rPr>
                <w:rFonts w:ascii="Times New Roman" w:hAnsi="Times New Roman" w:cs="Times New Roman"/>
                <w:sz w:val="24"/>
                <w:szCs w:val="24"/>
              </w:rPr>
              <w:t xml:space="preserve"> финансового положения заемщика. Рабочая группа делает выводы, уже наблюдая состоявшийся факт ухудшения финансового положения на последнюю отчетную дату в момент проведения проверки, а не состояние заемщика в момент принятия решения банком, которое было ранее проанализировано на основании других отчетных и прочих данных о деятельности заемщика.</w:t>
            </w:r>
          </w:p>
        </w:tc>
        <w:tc>
          <w:tcPr>
            <w:tcW w:w="8081" w:type="dxa"/>
          </w:tcPr>
          <w:p w:rsidR="004908CB" w:rsidRPr="00BF077C" w:rsidRDefault="004908CB" w:rsidP="00F11614">
            <w:pPr>
              <w:ind w:firstLine="317"/>
              <w:jc w:val="both"/>
              <w:rPr>
                <w:rFonts w:ascii="Times New Roman" w:hAnsi="Times New Roman" w:cs="Times New Roman"/>
                <w:sz w:val="24"/>
                <w:szCs w:val="24"/>
              </w:rPr>
            </w:pPr>
            <w:r w:rsidRPr="00BF077C">
              <w:rPr>
                <w:rFonts w:ascii="Times New Roman" w:hAnsi="Times New Roman" w:cs="Times New Roman"/>
                <w:sz w:val="24"/>
                <w:szCs w:val="24"/>
              </w:rPr>
              <w:lastRenderedPageBreak/>
              <w:t xml:space="preserve">Выводы рабочей группы о возможной величине </w:t>
            </w:r>
            <w:proofErr w:type="spellStart"/>
            <w:r w:rsidRPr="00BF077C">
              <w:rPr>
                <w:rFonts w:ascii="Times New Roman" w:hAnsi="Times New Roman" w:cs="Times New Roman"/>
                <w:sz w:val="24"/>
                <w:szCs w:val="24"/>
              </w:rPr>
              <w:t>недосозданного</w:t>
            </w:r>
            <w:proofErr w:type="spellEnd"/>
            <w:r w:rsidRPr="00BF077C">
              <w:rPr>
                <w:rFonts w:ascii="Times New Roman" w:hAnsi="Times New Roman" w:cs="Times New Roman"/>
                <w:sz w:val="24"/>
                <w:szCs w:val="24"/>
              </w:rPr>
              <w:t xml:space="preserve"> резерва по результатам проверки формируются на последнюю отчетную дату</w:t>
            </w:r>
            <w:r w:rsidR="00FC016D" w:rsidRPr="00BF077C">
              <w:rPr>
                <w:rFonts w:ascii="Times New Roman" w:hAnsi="Times New Roman" w:cs="Times New Roman"/>
                <w:sz w:val="24"/>
                <w:szCs w:val="24"/>
              </w:rPr>
              <w:t>, предшествующую дате</w:t>
            </w:r>
            <w:r w:rsidR="00632D2E" w:rsidRPr="00BF077C">
              <w:rPr>
                <w:rFonts w:ascii="Times New Roman" w:hAnsi="Times New Roman" w:cs="Times New Roman"/>
                <w:sz w:val="24"/>
                <w:szCs w:val="24"/>
              </w:rPr>
              <w:t xml:space="preserve"> ее</w:t>
            </w:r>
            <w:r w:rsidR="00FC016D" w:rsidRPr="00BF077C">
              <w:rPr>
                <w:rFonts w:ascii="Times New Roman" w:hAnsi="Times New Roman" w:cs="Times New Roman"/>
                <w:sz w:val="24"/>
                <w:szCs w:val="24"/>
              </w:rPr>
              <w:t xml:space="preserve"> завершения</w:t>
            </w:r>
            <w:r w:rsidRPr="00BF077C">
              <w:rPr>
                <w:rFonts w:ascii="Times New Roman" w:hAnsi="Times New Roman" w:cs="Times New Roman"/>
                <w:sz w:val="24"/>
                <w:szCs w:val="24"/>
              </w:rPr>
              <w:t xml:space="preserve">. При этом </w:t>
            </w:r>
            <w:r w:rsidR="00632D2E" w:rsidRPr="00BF077C">
              <w:rPr>
                <w:rFonts w:ascii="Times New Roman" w:hAnsi="Times New Roman" w:cs="Times New Roman"/>
                <w:sz w:val="24"/>
                <w:szCs w:val="24"/>
              </w:rPr>
              <w:t xml:space="preserve">осуществляется анализ состояния активов вплоть до даты завершения проверки (даты, максимально </w:t>
            </w:r>
            <w:r w:rsidR="00632D2E" w:rsidRPr="00BF077C">
              <w:rPr>
                <w:rFonts w:ascii="Times New Roman" w:hAnsi="Times New Roman" w:cs="Times New Roman"/>
                <w:sz w:val="24"/>
                <w:szCs w:val="24"/>
              </w:rPr>
              <w:lastRenderedPageBreak/>
              <w:t>приближенной к дате завершения проверки) с отражением результатов анализа в акте проверки.</w:t>
            </w:r>
          </w:p>
          <w:p w:rsidR="00F11614" w:rsidRPr="00BF077C" w:rsidRDefault="00FC4FF9" w:rsidP="00DF3DAB">
            <w:pPr>
              <w:ind w:firstLine="317"/>
              <w:jc w:val="both"/>
              <w:rPr>
                <w:rFonts w:ascii="Times New Roman" w:hAnsi="Times New Roman" w:cs="Times New Roman"/>
                <w:sz w:val="24"/>
                <w:szCs w:val="24"/>
              </w:rPr>
            </w:pPr>
            <w:r w:rsidRPr="00BF077C">
              <w:rPr>
                <w:rFonts w:ascii="Times New Roman" w:hAnsi="Times New Roman" w:cs="Times New Roman"/>
                <w:sz w:val="24"/>
                <w:szCs w:val="24"/>
              </w:rPr>
              <w:t>В</w:t>
            </w:r>
            <w:r w:rsidR="00FC016D" w:rsidRPr="00BF077C">
              <w:rPr>
                <w:rFonts w:ascii="Times New Roman" w:hAnsi="Times New Roman" w:cs="Times New Roman"/>
                <w:sz w:val="24"/>
                <w:szCs w:val="24"/>
              </w:rPr>
              <w:t xml:space="preserve"> случае</w:t>
            </w:r>
            <w:r w:rsidR="00632D2E" w:rsidRPr="00BF077C">
              <w:rPr>
                <w:rFonts w:ascii="Times New Roman" w:hAnsi="Times New Roman" w:cs="Times New Roman"/>
                <w:sz w:val="24"/>
                <w:szCs w:val="24"/>
              </w:rPr>
              <w:t>, если период</w:t>
            </w:r>
            <w:r w:rsidR="00DF3DAB" w:rsidRPr="00BF077C">
              <w:rPr>
                <w:rFonts w:ascii="Times New Roman" w:hAnsi="Times New Roman" w:cs="Times New Roman"/>
                <w:sz w:val="24"/>
                <w:szCs w:val="24"/>
              </w:rPr>
              <w:t xml:space="preserve"> проверки</w:t>
            </w:r>
            <w:r w:rsidR="00632D2E" w:rsidRPr="00BF077C">
              <w:rPr>
                <w:rFonts w:ascii="Times New Roman" w:hAnsi="Times New Roman" w:cs="Times New Roman"/>
                <w:sz w:val="24"/>
                <w:szCs w:val="24"/>
              </w:rPr>
              <w:t xml:space="preserve"> охватывает несколько отчетных дат (например, в связи с продлением срока проверки), оценка риска актуализируется на каждую отчетную дату.</w:t>
            </w:r>
          </w:p>
        </w:tc>
      </w:tr>
      <w:tr w:rsidR="00F11614" w:rsidRPr="00BF077C"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lastRenderedPageBreak/>
              <w:t>8. Просим разъяснить критерии оценки недостаточности системы внутреннего контроля и работы службы анализа рисков, службы внутреннего аудита, службы внутреннего контроля, которые применяются при формировании проверяющими (рабочей группой) данного вывода?</w:t>
            </w:r>
          </w:p>
          <w:p w:rsidR="00F11614" w:rsidRPr="00BF077C" w:rsidRDefault="00F11614" w:rsidP="00F11614">
            <w:pPr>
              <w:pStyle w:val="a4"/>
              <w:ind w:left="0"/>
              <w:contextualSpacing w:val="0"/>
              <w:jc w:val="both"/>
              <w:rPr>
                <w:rFonts w:ascii="Times New Roman" w:hAnsi="Times New Roman" w:cs="Times New Roman"/>
                <w:sz w:val="24"/>
                <w:szCs w:val="24"/>
              </w:rPr>
            </w:pPr>
            <w:r w:rsidRPr="00BF077C">
              <w:rPr>
                <w:rFonts w:ascii="Times New Roman" w:hAnsi="Times New Roman" w:cs="Times New Roman"/>
                <w:sz w:val="24"/>
                <w:szCs w:val="24"/>
              </w:rPr>
              <w:t xml:space="preserve">Заключения о «недостаточности системы внутреннего контроля» выносятся рабочей группой практически в каждом акте проверки кредитных организаций. При этом, по мнению банков, часто такое заключение не учитывает масштаб и существенность выявленных нарушений. Также не принимается во внимание то, что функции указанных служб не распространяются на весь периметр деятельности банка. Так, например, наличие просроченной задолженности в портфеле банка не всегда может быть причиной отсутствия контроля в банке, тем более что по тексту акта проверки нигде нет замечаний об отсутствии документов по принятию </w:t>
            </w:r>
            <w:r w:rsidRPr="00BF077C">
              <w:rPr>
                <w:rFonts w:ascii="Times New Roman" w:hAnsi="Times New Roman" w:cs="Times New Roman"/>
                <w:sz w:val="24"/>
                <w:szCs w:val="24"/>
              </w:rPr>
              <w:lastRenderedPageBreak/>
              <w:t xml:space="preserve">рисков или отсутствию необходимых процедур и документов в банке. </w:t>
            </w:r>
          </w:p>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Поэтому банки просят рассмотреть корректность таких выводов в оценочной части акта проверки. Кроме того, возникает проблема у данных служб банков по предоставлению обоснования данного вывода (на каком основании «назначили» ответственными за все нарушения именно эти службы) членам Совета директоров банка.</w:t>
            </w:r>
          </w:p>
        </w:tc>
        <w:tc>
          <w:tcPr>
            <w:tcW w:w="8081" w:type="dxa"/>
          </w:tcPr>
          <w:p w:rsidR="00061F02" w:rsidRPr="00BF077C" w:rsidRDefault="00F11614" w:rsidP="00285D15">
            <w:pPr>
              <w:ind w:firstLine="317"/>
              <w:jc w:val="both"/>
              <w:rPr>
                <w:rFonts w:ascii="Times New Roman" w:hAnsi="Times New Roman" w:cs="Times New Roman"/>
                <w:sz w:val="24"/>
                <w:szCs w:val="24"/>
              </w:rPr>
            </w:pPr>
            <w:r w:rsidRPr="00BF077C">
              <w:rPr>
                <w:rFonts w:ascii="Times New Roman" w:hAnsi="Times New Roman" w:cs="Times New Roman"/>
                <w:sz w:val="24"/>
                <w:szCs w:val="24"/>
              </w:rPr>
              <w:lastRenderedPageBreak/>
              <w:t>В соответствии с требованиями Положения № 242-П</w:t>
            </w:r>
            <w:r w:rsidR="004C2524" w:rsidRPr="00BF077C">
              <w:rPr>
                <w:rStyle w:val="a6"/>
                <w:rFonts w:ascii="Times New Roman" w:hAnsi="Times New Roman" w:cs="Times New Roman"/>
                <w:sz w:val="24"/>
                <w:szCs w:val="24"/>
              </w:rPr>
              <w:footnoteReference w:id="3"/>
            </w:r>
            <w:r w:rsidRPr="00BF077C">
              <w:rPr>
                <w:rFonts w:ascii="Times New Roman" w:hAnsi="Times New Roman" w:cs="Times New Roman"/>
                <w:sz w:val="24"/>
                <w:szCs w:val="24"/>
              </w:rPr>
              <w:t xml:space="preserve"> кредитная организация должна обеспечить непрерывное и всеобъемлющее функционирование системы внутреннего контроля банка по всем направлениям его деятельности.</w:t>
            </w:r>
            <w:r w:rsidR="00061F02" w:rsidRPr="00BF077C">
              <w:rPr>
                <w:rFonts w:ascii="Times New Roman" w:hAnsi="Times New Roman" w:cs="Times New Roman"/>
                <w:sz w:val="24"/>
                <w:szCs w:val="24"/>
              </w:rPr>
              <w:t xml:space="preserve"> При этом внутренний контроль осуществляется в целях, в том числе обеспечения соблюдения нормативных правовых актов, эффективности управления активами и пассивами, включая обеспечение сохранности активов</w:t>
            </w:r>
            <w:r w:rsidR="00285D15" w:rsidRPr="00BF077C">
              <w:rPr>
                <w:rFonts w:ascii="Times New Roman" w:hAnsi="Times New Roman" w:cs="Times New Roman"/>
                <w:sz w:val="24"/>
                <w:szCs w:val="24"/>
              </w:rPr>
              <w:t xml:space="preserve"> и</w:t>
            </w:r>
            <w:r w:rsidR="00061F02" w:rsidRPr="00BF077C">
              <w:rPr>
                <w:rFonts w:ascii="Times New Roman" w:hAnsi="Times New Roman" w:cs="Times New Roman"/>
                <w:sz w:val="24"/>
                <w:szCs w:val="24"/>
              </w:rPr>
              <w:t xml:space="preserve"> управлени</w:t>
            </w:r>
            <w:r w:rsidR="00285D15" w:rsidRPr="00BF077C">
              <w:rPr>
                <w:rFonts w:ascii="Times New Roman" w:hAnsi="Times New Roman" w:cs="Times New Roman"/>
                <w:sz w:val="24"/>
                <w:szCs w:val="24"/>
              </w:rPr>
              <w:t>е</w:t>
            </w:r>
            <w:r w:rsidR="00061F02" w:rsidRPr="00BF077C">
              <w:rPr>
                <w:rFonts w:ascii="Times New Roman" w:hAnsi="Times New Roman" w:cs="Times New Roman"/>
                <w:sz w:val="24"/>
                <w:szCs w:val="24"/>
              </w:rPr>
              <w:t xml:space="preserve"> банковскими рисками</w:t>
            </w:r>
            <w:r w:rsidR="00285D15" w:rsidRPr="00BF077C">
              <w:rPr>
                <w:rFonts w:ascii="Times New Roman" w:hAnsi="Times New Roman" w:cs="Times New Roman"/>
                <w:sz w:val="24"/>
                <w:szCs w:val="24"/>
              </w:rPr>
              <w:t xml:space="preserve">, а не сводится к </w:t>
            </w:r>
            <w:r w:rsidR="000B05C3" w:rsidRPr="00BF077C">
              <w:rPr>
                <w:rFonts w:ascii="Times New Roman" w:hAnsi="Times New Roman" w:cs="Times New Roman"/>
                <w:sz w:val="24"/>
                <w:szCs w:val="24"/>
              </w:rPr>
              <w:t xml:space="preserve">«обеспечению </w:t>
            </w:r>
            <w:r w:rsidR="00285D15" w:rsidRPr="00BF077C">
              <w:rPr>
                <w:rFonts w:ascii="Times New Roman" w:hAnsi="Times New Roman" w:cs="Times New Roman"/>
                <w:sz w:val="24"/>
                <w:szCs w:val="24"/>
              </w:rPr>
              <w:t>наличи</w:t>
            </w:r>
            <w:r w:rsidR="000B05C3" w:rsidRPr="00BF077C">
              <w:rPr>
                <w:rFonts w:ascii="Times New Roman" w:hAnsi="Times New Roman" w:cs="Times New Roman"/>
                <w:sz w:val="24"/>
                <w:szCs w:val="24"/>
              </w:rPr>
              <w:t>я</w:t>
            </w:r>
            <w:r w:rsidR="00285D15" w:rsidRPr="00BF077C">
              <w:rPr>
                <w:rFonts w:ascii="Times New Roman" w:hAnsi="Times New Roman" w:cs="Times New Roman"/>
                <w:sz w:val="24"/>
                <w:szCs w:val="24"/>
              </w:rPr>
              <w:t xml:space="preserve"> документов по принятию рисков или отсутствию необходимых процедур и документов в банке</w:t>
            </w:r>
            <w:r w:rsidR="000B05C3" w:rsidRPr="00BF077C">
              <w:rPr>
                <w:rFonts w:ascii="Times New Roman" w:hAnsi="Times New Roman" w:cs="Times New Roman"/>
                <w:sz w:val="24"/>
                <w:szCs w:val="24"/>
              </w:rPr>
              <w:t>»</w:t>
            </w:r>
            <w:r w:rsidR="00285D15" w:rsidRPr="00BF077C">
              <w:rPr>
                <w:rFonts w:ascii="Times New Roman" w:hAnsi="Times New Roman" w:cs="Times New Roman"/>
                <w:sz w:val="24"/>
                <w:szCs w:val="24"/>
              </w:rPr>
              <w:t>.</w:t>
            </w:r>
          </w:p>
          <w:p w:rsidR="00061F02" w:rsidRPr="00BF077C" w:rsidRDefault="00061F02" w:rsidP="00061F02">
            <w:pPr>
              <w:ind w:firstLine="317"/>
              <w:jc w:val="both"/>
              <w:rPr>
                <w:rFonts w:ascii="Times New Roman" w:hAnsi="Times New Roman" w:cs="Times New Roman"/>
                <w:sz w:val="24"/>
                <w:szCs w:val="24"/>
              </w:rPr>
            </w:pPr>
            <w:r w:rsidRPr="00BF077C">
              <w:rPr>
                <w:rFonts w:ascii="Times New Roman" w:hAnsi="Times New Roman" w:cs="Times New Roman"/>
                <w:sz w:val="24"/>
                <w:szCs w:val="24"/>
              </w:rPr>
              <w:t>В связи с этим рабочие группы формируют выводы о наличии недостатков в системе внутреннего контроля в случае выявления нарушений, которые не выявляются</w:t>
            </w:r>
            <w:r w:rsidR="00DF22E6" w:rsidRPr="00DF22E6">
              <w:rPr>
                <w:rFonts w:ascii="Times New Roman" w:hAnsi="Times New Roman" w:cs="Times New Roman"/>
                <w:sz w:val="24"/>
                <w:szCs w:val="24"/>
              </w:rPr>
              <w:t>,</w:t>
            </w:r>
            <w:r w:rsidRPr="00BF077C">
              <w:rPr>
                <w:rFonts w:ascii="Times New Roman" w:hAnsi="Times New Roman" w:cs="Times New Roman"/>
                <w:sz w:val="24"/>
                <w:szCs w:val="24"/>
              </w:rPr>
              <w:t xml:space="preserve"> и предпосылки к возникновению которых не устраняются в рамках внутреннего контроля.</w:t>
            </w:r>
          </w:p>
          <w:p w:rsidR="00061F02" w:rsidRPr="00BF077C" w:rsidRDefault="00061F02" w:rsidP="00061F02">
            <w:pPr>
              <w:ind w:firstLine="317"/>
              <w:jc w:val="both"/>
              <w:rPr>
                <w:rFonts w:ascii="Times New Roman" w:hAnsi="Times New Roman" w:cs="Times New Roman"/>
                <w:sz w:val="24"/>
                <w:szCs w:val="24"/>
              </w:rPr>
            </w:pPr>
            <w:r w:rsidRPr="00BF077C">
              <w:rPr>
                <w:rFonts w:ascii="Times New Roman" w:hAnsi="Times New Roman" w:cs="Times New Roman"/>
                <w:sz w:val="24"/>
                <w:szCs w:val="24"/>
              </w:rPr>
              <w:t xml:space="preserve">Порядок проведения проверки соблюдения кредитной организацией требований к системе внутреннего контроля, в том числе оценки ее соответствия характеру и масштабу осуществляемых операций, уровню и </w:t>
            </w:r>
            <w:r w:rsidRPr="00BF077C">
              <w:rPr>
                <w:rFonts w:ascii="Times New Roman" w:hAnsi="Times New Roman" w:cs="Times New Roman"/>
                <w:sz w:val="24"/>
                <w:szCs w:val="24"/>
              </w:rPr>
              <w:lastRenderedPageBreak/>
              <w:t>сочетанию принимаемых рисков определен Методическими рекомендациями по проверке системы внутреннего контроля в кредитной организации от 18.12.2017 № 32-МР.</w:t>
            </w:r>
          </w:p>
          <w:p w:rsidR="00502E72" w:rsidRPr="00BF077C" w:rsidRDefault="00061F02" w:rsidP="000B05C3">
            <w:pPr>
              <w:ind w:firstLine="317"/>
              <w:jc w:val="both"/>
              <w:rPr>
                <w:rFonts w:ascii="Times New Roman" w:hAnsi="Times New Roman" w:cs="Times New Roman"/>
                <w:b/>
                <w:sz w:val="24"/>
                <w:szCs w:val="24"/>
              </w:rPr>
            </w:pPr>
            <w:r w:rsidRPr="00BF077C">
              <w:rPr>
                <w:rFonts w:ascii="Times New Roman" w:hAnsi="Times New Roman" w:cs="Times New Roman"/>
                <w:sz w:val="24"/>
                <w:szCs w:val="24"/>
              </w:rPr>
              <w:t>Определенные данными рекомендациями критерии оценки качества системы внутреннего контроля соотносятся с требованиями Положения № 242-П, а также Указания Банка России от 03.04.2017 № 4336-У «Об оценке экономического положения банков».</w:t>
            </w:r>
          </w:p>
        </w:tc>
      </w:tr>
      <w:tr w:rsidR="00F11614" w:rsidRPr="00BF077C" w:rsidTr="00DA10CC">
        <w:tc>
          <w:tcPr>
            <w:tcW w:w="6479" w:type="dxa"/>
          </w:tcPr>
          <w:p w:rsidR="00F11614" w:rsidRPr="00BF077C" w:rsidRDefault="00F11614" w:rsidP="00FC4FF9">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lastRenderedPageBreak/>
              <w:t>9. Полагали бы целесообразным исключить повторный анализ при проведении проверок Главной инспекции Банка России кредитного портфеля банка, который был рассмотрен в полном объеме Службой анализа рисков Банка России в рамках дистанционного надзора.</w:t>
            </w:r>
          </w:p>
        </w:tc>
        <w:tc>
          <w:tcPr>
            <w:tcW w:w="8081" w:type="dxa"/>
          </w:tcPr>
          <w:p w:rsidR="00F11614" w:rsidRPr="00BF077C" w:rsidRDefault="000B05C3" w:rsidP="006C0241">
            <w:pPr>
              <w:ind w:firstLine="317"/>
              <w:jc w:val="both"/>
              <w:rPr>
                <w:rFonts w:ascii="Times New Roman" w:hAnsi="Times New Roman" w:cs="Times New Roman"/>
                <w:sz w:val="24"/>
                <w:szCs w:val="24"/>
              </w:rPr>
            </w:pPr>
            <w:r w:rsidRPr="00BF077C">
              <w:rPr>
                <w:rFonts w:ascii="Times New Roman" w:hAnsi="Times New Roman" w:cs="Times New Roman"/>
                <w:sz w:val="24"/>
                <w:szCs w:val="24"/>
              </w:rPr>
              <w:t>При оценке кредитного риска рабочими группами осуществляется анализ первичных документов и учитываются все доступные источники информации, а также ранее составленные заключения Службы анализа рисков (при их наличии)</w:t>
            </w:r>
            <w:r w:rsidR="006C0241" w:rsidRPr="00BF077C">
              <w:rPr>
                <w:rFonts w:ascii="Times New Roman" w:hAnsi="Times New Roman" w:cs="Times New Roman"/>
                <w:sz w:val="24"/>
                <w:szCs w:val="24"/>
              </w:rPr>
              <w:t>.</w:t>
            </w:r>
          </w:p>
        </w:tc>
      </w:tr>
      <w:tr w:rsidR="00F11614" w:rsidRPr="00BF077C"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10. Планирует ли Банк России, с учетом накопленного опыта проведения проверок и анализа ситуации в сфере противодействия фальшивомонетничеству, внесение изменений в Указание Банка России от 22.07.2014 № 3338-У «О порядке проведения территориальными учреждениями Банка России проверок соблюдения кредитными организациями требований к счетно-сортировальным машинам, применяемым при обработке банкнот Банка России, предназначенных для выдачи клиентам» изменения периодичности проведения тестирования каждой счетно-сортировальной машины?</w:t>
            </w:r>
          </w:p>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Банк предлагает установить следующие сроки проверок: при отрицательном результате тестирования – повторно через год, при положительном – не чаще 1 раза в три года. Это позволит кредитным организациям, особенно с широкой сетью кассовых подразделений, снизить организационные издержки на проведение тестирования.</w:t>
            </w:r>
          </w:p>
        </w:tc>
        <w:tc>
          <w:tcPr>
            <w:tcW w:w="8081" w:type="dxa"/>
          </w:tcPr>
          <w:p w:rsidR="00BF077C" w:rsidRPr="00BF077C" w:rsidRDefault="00BF077C" w:rsidP="00BF077C">
            <w:pPr>
              <w:ind w:firstLine="317"/>
              <w:jc w:val="both"/>
              <w:rPr>
                <w:rFonts w:ascii="Times New Roman" w:hAnsi="Times New Roman" w:cs="Times New Roman"/>
                <w:sz w:val="24"/>
                <w:szCs w:val="24"/>
              </w:rPr>
            </w:pPr>
            <w:r w:rsidRPr="00BF077C">
              <w:rPr>
                <w:rFonts w:ascii="Times New Roman" w:hAnsi="Times New Roman" w:cs="Times New Roman"/>
                <w:sz w:val="24"/>
                <w:szCs w:val="24"/>
              </w:rPr>
              <w:t>С учетом накопленного опыта проведения проверок и анализа ситуации в сфере противодействия фальшивомонетничеству Департамент наличного денежного обращения планирует внести изменения в Указание Банка России от 22.07.2014 №3338-У «О порядке проведения территориальными учреждениями Банка России проверок соблюдения кредитными организациями требований к счетно-сортировальным машинам, применяемым при обработке банкнот Банка России, предназначенных для выдачи клиентам» (далее</w:t>
            </w:r>
            <w:r>
              <w:rPr>
                <w:rFonts w:ascii="Times New Roman" w:hAnsi="Times New Roman" w:cs="Times New Roman"/>
                <w:sz w:val="24"/>
                <w:szCs w:val="24"/>
              </w:rPr>
              <w:t xml:space="preserve"> -</w:t>
            </w:r>
            <w:r w:rsidRPr="00BF077C">
              <w:rPr>
                <w:rFonts w:ascii="Times New Roman" w:hAnsi="Times New Roman" w:cs="Times New Roman"/>
                <w:sz w:val="24"/>
                <w:szCs w:val="24"/>
              </w:rPr>
              <w:t xml:space="preserve"> Указание №</w:t>
            </w:r>
            <w:r>
              <w:rPr>
                <w:rFonts w:ascii="Times New Roman" w:hAnsi="Times New Roman" w:cs="Times New Roman"/>
                <w:sz w:val="24"/>
                <w:szCs w:val="24"/>
              </w:rPr>
              <w:t> </w:t>
            </w:r>
            <w:r w:rsidRPr="00BF077C">
              <w:rPr>
                <w:rFonts w:ascii="Times New Roman" w:hAnsi="Times New Roman" w:cs="Times New Roman"/>
                <w:sz w:val="24"/>
                <w:szCs w:val="24"/>
              </w:rPr>
              <w:t>3338-У). Тестирование каждой счетно-сортировальной машины предполагается проводить не реже одного раза в 36 месяцев.</w:t>
            </w:r>
          </w:p>
          <w:p w:rsidR="00BF077C" w:rsidRPr="00BF077C" w:rsidRDefault="00BF077C" w:rsidP="00BF077C">
            <w:pPr>
              <w:ind w:firstLine="317"/>
              <w:jc w:val="both"/>
              <w:rPr>
                <w:rFonts w:ascii="Times New Roman" w:hAnsi="Times New Roman" w:cs="Times New Roman"/>
                <w:sz w:val="24"/>
                <w:szCs w:val="24"/>
              </w:rPr>
            </w:pPr>
            <w:r w:rsidRPr="00BF077C">
              <w:rPr>
                <w:rFonts w:ascii="Times New Roman" w:hAnsi="Times New Roman" w:cs="Times New Roman"/>
                <w:sz w:val="24"/>
                <w:szCs w:val="24"/>
              </w:rPr>
              <w:t>Установление периодичности проверок счетно-сортировальных машин при отрицательном результате тестирования не планируется. Счетно-сортировальные машины, не прошедшие тестирование с положительным результатом, не могут использоваться в технологическом процессе обработки банкнот Банка России, предназначенных для выдачи клиентам.</w:t>
            </w:r>
          </w:p>
          <w:p w:rsidR="00B629C2" w:rsidRPr="00BF077C" w:rsidRDefault="00B629C2" w:rsidP="0006146E">
            <w:pPr>
              <w:ind w:left="1328" w:hanging="1328"/>
              <w:jc w:val="both"/>
              <w:rPr>
                <w:rFonts w:ascii="Times New Roman" w:hAnsi="Times New Roman" w:cs="Times New Roman"/>
                <w:sz w:val="24"/>
                <w:szCs w:val="24"/>
              </w:rPr>
            </w:pPr>
            <w:proofErr w:type="spellStart"/>
            <w:r w:rsidRPr="00BF077C">
              <w:rPr>
                <w:rFonts w:ascii="Times New Roman" w:hAnsi="Times New Roman" w:cs="Times New Roman"/>
                <w:i/>
                <w:sz w:val="24"/>
                <w:szCs w:val="24"/>
              </w:rPr>
              <w:t>Справочно</w:t>
            </w:r>
            <w:proofErr w:type="spellEnd"/>
            <w:r w:rsidRPr="00BF077C">
              <w:rPr>
                <w:rFonts w:ascii="Times New Roman" w:hAnsi="Times New Roman" w:cs="Times New Roman"/>
                <w:i/>
                <w:sz w:val="24"/>
                <w:szCs w:val="24"/>
              </w:rPr>
              <w:t xml:space="preserve">: </w:t>
            </w:r>
            <w:r w:rsidR="0006146E">
              <w:rPr>
                <w:rFonts w:ascii="Times New Roman" w:hAnsi="Times New Roman" w:cs="Times New Roman"/>
                <w:i/>
                <w:sz w:val="24"/>
                <w:szCs w:val="24"/>
                <w:lang w:val="en-US"/>
              </w:rPr>
              <w:t>C</w:t>
            </w:r>
            <w:bookmarkStart w:id="0" w:name="_GoBack"/>
            <w:bookmarkEnd w:id="0"/>
            <w:r w:rsidRPr="00BF077C">
              <w:rPr>
                <w:rFonts w:ascii="Times New Roman" w:hAnsi="Times New Roman" w:cs="Times New Roman"/>
                <w:i/>
                <w:sz w:val="24"/>
                <w:szCs w:val="24"/>
              </w:rPr>
              <w:t>огласно пункту 1.5 Указания № 3338-У тестирование каждой счетно-сортировальной машины проводится не реже одного раза в 24 месяца.</w:t>
            </w:r>
          </w:p>
        </w:tc>
      </w:tr>
      <w:tr w:rsidR="00F11614" w:rsidRPr="00BF077C"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lastRenderedPageBreak/>
              <w:t>11. В ряде случаев в ходе проверок кредитных организаций (их филиалов) в порядке и случаях, установленных Инструкцией № 176-И, с учетом норм Инструкции Банка России от 05.12.2013 № 147-И «О порядке проведения проверок кредитных организаций (их филиалов) уполномоченными представителями Центрального банка Российской Федерации (Банка России)», кредитные организации сталкиваются с требованием со стороны уполномоченных представителей (служащих) Банка России о предоставлении выписок из Единого государственного реестра недвижимости и из реестра уведомлений о залоге движимого имущества, который ведется в порядке, установленном законодательством Российской Федерации о нотариате (в случае если залог учтен путем регистрации нотариусом) на бумажных носителях, заверенных подписями и печатями уполномоченных лиц.</w:t>
            </w:r>
          </w:p>
          <w:p w:rsidR="00F11614" w:rsidRPr="00BF077C" w:rsidRDefault="00F11614" w:rsidP="00134D47">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Полагаем целесообразным уточнить нормы действующего законодательства в части механизма установления Банком России факта соблюдения сторонами залоговых отношений требований законодательства Российской Федерации к государственной регистрации или учету залога в случаях, когда сведения о залоге движимого имущества не содержатся в реестре уведомлений о залоге движимого имущества и не могут быть представлены уполномоченным представителем (служащим) Банка России в форме выписок как в электронном виде, так и на бумажных носителях.</w:t>
            </w:r>
          </w:p>
          <w:p w:rsidR="00F11614" w:rsidRPr="00BF077C" w:rsidRDefault="00F11614" w:rsidP="000F0992">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Полагаем возможным также закрепить право кредитных организаций, при наличии доступа к соответствующим реестрам в рамках электронного порядка взаимодействия, предоставлять уполномоченным представител</w:t>
            </w:r>
            <w:r w:rsidR="000F0992" w:rsidRPr="00BF077C">
              <w:rPr>
                <w:rFonts w:ascii="Times New Roman" w:hAnsi="Times New Roman" w:cs="Times New Roman"/>
                <w:sz w:val="24"/>
                <w:szCs w:val="24"/>
              </w:rPr>
              <w:t>я</w:t>
            </w:r>
            <w:r w:rsidRPr="00BF077C">
              <w:rPr>
                <w:rFonts w:ascii="Times New Roman" w:hAnsi="Times New Roman" w:cs="Times New Roman"/>
                <w:sz w:val="24"/>
                <w:szCs w:val="24"/>
              </w:rPr>
              <w:t xml:space="preserve">м (служащим) Банка России выписки из соответствующих </w:t>
            </w:r>
            <w:r w:rsidRPr="00BF077C">
              <w:rPr>
                <w:rFonts w:ascii="Times New Roman" w:hAnsi="Times New Roman" w:cs="Times New Roman"/>
                <w:sz w:val="24"/>
                <w:szCs w:val="24"/>
              </w:rPr>
              <w:lastRenderedPageBreak/>
              <w:t>реестров в электронном виде в рамках поступающих запросов.</w:t>
            </w:r>
          </w:p>
        </w:tc>
        <w:tc>
          <w:tcPr>
            <w:tcW w:w="8081" w:type="dxa"/>
          </w:tcPr>
          <w:p w:rsidR="00BD2950" w:rsidRPr="00BF077C" w:rsidRDefault="000F0992" w:rsidP="00F11614">
            <w:pPr>
              <w:ind w:firstLine="317"/>
              <w:jc w:val="both"/>
              <w:rPr>
                <w:rFonts w:ascii="Times New Roman" w:hAnsi="Times New Roman" w:cs="Times New Roman"/>
                <w:sz w:val="24"/>
                <w:szCs w:val="24"/>
              </w:rPr>
            </w:pPr>
            <w:r w:rsidRPr="00BF077C">
              <w:rPr>
                <w:rFonts w:ascii="Times New Roman" w:hAnsi="Times New Roman" w:cs="Times New Roman"/>
                <w:sz w:val="24"/>
                <w:szCs w:val="24"/>
              </w:rPr>
              <w:lastRenderedPageBreak/>
              <w:t xml:space="preserve">Кредитная организация в целях оценки риска </w:t>
            </w:r>
            <w:r w:rsidR="00BD2950" w:rsidRPr="00BF077C">
              <w:rPr>
                <w:rFonts w:ascii="Times New Roman" w:hAnsi="Times New Roman" w:cs="Times New Roman"/>
                <w:sz w:val="24"/>
                <w:szCs w:val="24"/>
              </w:rPr>
              <w:t xml:space="preserve">в соответствии с нормативными актами </w:t>
            </w:r>
            <w:r w:rsidRPr="00BF077C">
              <w:rPr>
                <w:rFonts w:ascii="Times New Roman" w:hAnsi="Times New Roman" w:cs="Times New Roman"/>
                <w:sz w:val="24"/>
                <w:szCs w:val="24"/>
              </w:rPr>
              <w:t xml:space="preserve">обязана </w:t>
            </w:r>
            <w:r w:rsidR="00FC19DD" w:rsidRPr="00BF077C">
              <w:rPr>
                <w:rFonts w:ascii="Times New Roman" w:hAnsi="Times New Roman" w:cs="Times New Roman"/>
                <w:sz w:val="24"/>
                <w:szCs w:val="24"/>
              </w:rPr>
              <w:t xml:space="preserve">определить порядок и периодичность оценки ликвидности залога, </w:t>
            </w:r>
            <w:r w:rsidR="00F11FA2" w:rsidRPr="00BF077C">
              <w:rPr>
                <w:rFonts w:ascii="Times New Roman" w:hAnsi="Times New Roman" w:cs="Times New Roman"/>
                <w:sz w:val="24"/>
                <w:szCs w:val="24"/>
              </w:rPr>
              <w:t>располагать</w:t>
            </w:r>
            <w:r w:rsidRPr="00BF077C">
              <w:rPr>
                <w:rFonts w:ascii="Times New Roman" w:hAnsi="Times New Roman" w:cs="Times New Roman"/>
                <w:sz w:val="24"/>
                <w:szCs w:val="24"/>
              </w:rPr>
              <w:t xml:space="preserve"> документ</w:t>
            </w:r>
            <w:r w:rsidR="00F11FA2" w:rsidRPr="00BF077C">
              <w:rPr>
                <w:rFonts w:ascii="Times New Roman" w:hAnsi="Times New Roman" w:cs="Times New Roman"/>
                <w:sz w:val="24"/>
                <w:szCs w:val="24"/>
              </w:rPr>
              <w:t>ами</w:t>
            </w:r>
            <w:r w:rsidR="00BD2950" w:rsidRPr="00BF077C">
              <w:rPr>
                <w:rFonts w:ascii="Times New Roman" w:hAnsi="Times New Roman" w:cs="Times New Roman"/>
                <w:sz w:val="24"/>
                <w:szCs w:val="24"/>
              </w:rPr>
              <w:t xml:space="preserve">, </w:t>
            </w:r>
            <w:r w:rsidRPr="00BF077C">
              <w:rPr>
                <w:rFonts w:ascii="Times New Roman" w:hAnsi="Times New Roman" w:cs="Times New Roman"/>
                <w:sz w:val="24"/>
                <w:szCs w:val="24"/>
              </w:rPr>
              <w:t>устанавливающи</w:t>
            </w:r>
            <w:r w:rsidR="00F11FA2" w:rsidRPr="00BF077C">
              <w:rPr>
                <w:rFonts w:ascii="Times New Roman" w:hAnsi="Times New Roman" w:cs="Times New Roman"/>
                <w:sz w:val="24"/>
                <w:szCs w:val="24"/>
              </w:rPr>
              <w:t>ми</w:t>
            </w:r>
            <w:r w:rsidRPr="00BF077C">
              <w:rPr>
                <w:rFonts w:ascii="Times New Roman" w:hAnsi="Times New Roman" w:cs="Times New Roman"/>
                <w:sz w:val="24"/>
                <w:szCs w:val="24"/>
              </w:rPr>
              <w:t xml:space="preserve"> право залогодателя на предмет залога</w:t>
            </w:r>
            <w:r w:rsidR="00BD2950" w:rsidRPr="00BF077C">
              <w:rPr>
                <w:rFonts w:ascii="Times New Roman" w:hAnsi="Times New Roman" w:cs="Times New Roman"/>
                <w:sz w:val="24"/>
                <w:szCs w:val="24"/>
              </w:rPr>
              <w:t>, и осуществлять проверку наличия (отсутствия) условий, препятствующих его реализации (пункт</w:t>
            </w:r>
            <w:r w:rsidR="00F11FA2" w:rsidRPr="00BF077C">
              <w:rPr>
                <w:rFonts w:ascii="Times New Roman" w:hAnsi="Times New Roman" w:cs="Times New Roman"/>
                <w:sz w:val="24"/>
                <w:szCs w:val="24"/>
              </w:rPr>
              <w:t xml:space="preserve">ы </w:t>
            </w:r>
            <w:r w:rsidR="00FC19DD" w:rsidRPr="00BF077C">
              <w:rPr>
                <w:rFonts w:ascii="Times New Roman" w:hAnsi="Times New Roman" w:cs="Times New Roman"/>
                <w:sz w:val="24"/>
                <w:szCs w:val="24"/>
              </w:rPr>
              <w:t xml:space="preserve">2.1, </w:t>
            </w:r>
            <w:r w:rsidR="00F11FA2" w:rsidRPr="00BF077C">
              <w:rPr>
                <w:rFonts w:ascii="Times New Roman" w:hAnsi="Times New Roman" w:cs="Times New Roman"/>
                <w:sz w:val="24"/>
                <w:szCs w:val="24"/>
              </w:rPr>
              <w:t>3.1,</w:t>
            </w:r>
            <w:r w:rsidR="00BD2950" w:rsidRPr="00BF077C">
              <w:rPr>
                <w:rFonts w:ascii="Times New Roman" w:hAnsi="Times New Roman" w:cs="Times New Roman"/>
                <w:sz w:val="24"/>
                <w:szCs w:val="24"/>
              </w:rPr>
              <w:t xml:space="preserve"> 6.5 Положения № 590-П).</w:t>
            </w:r>
          </w:p>
          <w:p w:rsidR="00FC19DD" w:rsidRPr="00BF077C" w:rsidRDefault="00FC19DD" w:rsidP="00FC19DD">
            <w:pPr>
              <w:ind w:firstLine="317"/>
              <w:jc w:val="both"/>
              <w:rPr>
                <w:rFonts w:ascii="Times New Roman" w:hAnsi="Times New Roman" w:cs="Times New Roman"/>
                <w:sz w:val="24"/>
                <w:szCs w:val="24"/>
              </w:rPr>
            </w:pPr>
            <w:r w:rsidRPr="00BF077C">
              <w:rPr>
                <w:rFonts w:ascii="Times New Roman" w:hAnsi="Times New Roman" w:cs="Times New Roman"/>
                <w:sz w:val="24"/>
                <w:szCs w:val="24"/>
              </w:rPr>
              <w:t>Согласно статье 339.1 ГК РФ залог движимого имущества может быть учтен путем регистрации уведомлений о залоге, поступивших от залогодателя</w:t>
            </w:r>
            <w:r w:rsidR="002E1319" w:rsidRPr="00BF077C">
              <w:rPr>
                <w:rFonts w:ascii="Times New Roman" w:hAnsi="Times New Roman" w:cs="Times New Roman"/>
                <w:sz w:val="24"/>
                <w:szCs w:val="24"/>
              </w:rPr>
              <w:t xml:space="preserve"> или</w:t>
            </w:r>
            <w:r w:rsidRPr="00BF077C">
              <w:rPr>
                <w:rFonts w:ascii="Times New Roman" w:hAnsi="Times New Roman" w:cs="Times New Roman"/>
                <w:sz w:val="24"/>
                <w:szCs w:val="24"/>
              </w:rPr>
              <w:t xml:space="preserve"> залогодержателя</w:t>
            </w:r>
            <w:r w:rsidR="002E1319" w:rsidRPr="00BF077C">
              <w:rPr>
                <w:rFonts w:ascii="Times New Roman" w:hAnsi="Times New Roman" w:cs="Times New Roman"/>
                <w:sz w:val="24"/>
                <w:szCs w:val="24"/>
              </w:rPr>
              <w:t>, в реестре уведомлений о залоге движимого имущества</w:t>
            </w:r>
            <w:r w:rsidRPr="00BF077C">
              <w:rPr>
                <w:rFonts w:ascii="Times New Roman" w:hAnsi="Times New Roman" w:cs="Times New Roman"/>
                <w:sz w:val="24"/>
                <w:szCs w:val="24"/>
              </w:rPr>
              <w:t xml:space="preserve">. </w:t>
            </w:r>
          </w:p>
          <w:p w:rsidR="002E1319" w:rsidRPr="00BF077C" w:rsidRDefault="00FC19DD" w:rsidP="002E1319">
            <w:pPr>
              <w:ind w:firstLine="317"/>
              <w:jc w:val="both"/>
              <w:rPr>
                <w:rFonts w:ascii="Times New Roman" w:hAnsi="Times New Roman" w:cs="Times New Roman"/>
                <w:sz w:val="24"/>
                <w:szCs w:val="24"/>
              </w:rPr>
            </w:pPr>
            <w:r w:rsidRPr="00BF077C">
              <w:rPr>
                <w:rFonts w:ascii="Times New Roman" w:hAnsi="Times New Roman" w:cs="Times New Roman"/>
                <w:sz w:val="24"/>
                <w:szCs w:val="24"/>
              </w:rPr>
              <w:t>Поскольку такое право предоставлено ГК РФ, полагаем целесообразным</w:t>
            </w:r>
            <w:r w:rsidR="002E1319" w:rsidRPr="00BF077C">
              <w:rPr>
                <w:rFonts w:ascii="Times New Roman" w:hAnsi="Times New Roman" w:cs="Times New Roman"/>
                <w:sz w:val="24"/>
                <w:szCs w:val="24"/>
              </w:rPr>
              <w:t xml:space="preserve"> кредитным организациям реализовывать это право самостоятельно </w:t>
            </w:r>
            <w:r w:rsidR="00BA67A0" w:rsidRPr="00BF077C">
              <w:rPr>
                <w:rFonts w:ascii="Times New Roman" w:hAnsi="Times New Roman" w:cs="Times New Roman"/>
                <w:sz w:val="24"/>
                <w:szCs w:val="24"/>
              </w:rPr>
              <w:t>(</w:t>
            </w:r>
            <w:r w:rsidR="002E1319" w:rsidRPr="00BF077C">
              <w:rPr>
                <w:rFonts w:ascii="Times New Roman" w:hAnsi="Times New Roman" w:cs="Times New Roman"/>
                <w:sz w:val="24"/>
                <w:szCs w:val="24"/>
              </w:rPr>
              <w:t>или предъявлять соответствующие требования к заемщикам</w:t>
            </w:r>
            <w:r w:rsidR="00BA67A0" w:rsidRPr="00BF077C">
              <w:rPr>
                <w:rFonts w:ascii="Times New Roman" w:hAnsi="Times New Roman" w:cs="Times New Roman"/>
                <w:sz w:val="24"/>
                <w:szCs w:val="24"/>
              </w:rPr>
              <w:t>)</w:t>
            </w:r>
            <w:r w:rsidR="002E1319" w:rsidRPr="00BF077C">
              <w:rPr>
                <w:rFonts w:ascii="Times New Roman" w:hAnsi="Times New Roman" w:cs="Times New Roman"/>
                <w:sz w:val="24"/>
                <w:szCs w:val="24"/>
              </w:rPr>
              <w:t xml:space="preserve"> и получать свидетельства о регистрации уведомлений о возникновении залога движимого имущества в целях обеспечения адекватной оценки кредитного риска, в том числе с точки зрения ликвидности залога, и формирования полного комплекта правоустанавливающих документов.</w:t>
            </w:r>
          </w:p>
          <w:p w:rsidR="002E1319" w:rsidRPr="00BF077C" w:rsidRDefault="002E1319" w:rsidP="002E1319">
            <w:pPr>
              <w:ind w:firstLine="317"/>
              <w:jc w:val="both"/>
              <w:rPr>
                <w:rFonts w:ascii="Times New Roman" w:hAnsi="Times New Roman" w:cs="Times New Roman"/>
                <w:sz w:val="24"/>
                <w:szCs w:val="24"/>
              </w:rPr>
            </w:pPr>
            <w:r w:rsidRPr="00BF077C">
              <w:rPr>
                <w:rFonts w:ascii="Times New Roman" w:hAnsi="Times New Roman" w:cs="Times New Roman"/>
                <w:sz w:val="24"/>
                <w:szCs w:val="24"/>
              </w:rPr>
              <w:t>В случае отсутствия таких документов полагаем целесообразным учитывать данный риск-фактор в кредитной политике с соответствующим увеличением резерва по ссуде.</w:t>
            </w:r>
          </w:p>
          <w:p w:rsidR="00F11614" w:rsidRPr="00BF077C" w:rsidRDefault="00BD2950" w:rsidP="00BD2950">
            <w:pPr>
              <w:ind w:firstLine="317"/>
              <w:jc w:val="both"/>
              <w:rPr>
                <w:rFonts w:ascii="Times New Roman" w:hAnsi="Times New Roman" w:cs="Times New Roman"/>
                <w:sz w:val="24"/>
                <w:szCs w:val="24"/>
              </w:rPr>
            </w:pPr>
            <w:r w:rsidRPr="00BF077C">
              <w:rPr>
                <w:rFonts w:ascii="Times New Roman" w:hAnsi="Times New Roman" w:cs="Times New Roman"/>
                <w:sz w:val="24"/>
                <w:szCs w:val="24"/>
              </w:rPr>
              <w:t>Рабочие группы запрашивают соответствующие документы в целях проверки соблюдения кредитными организациями нормативных требований.</w:t>
            </w:r>
          </w:p>
          <w:p w:rsidR="00F11FA2" w:rsidRPr="00BF077C" w:rsidRDefault="00134D47" w:rsidP="00F11FA2">
            <w:pPr>
              <w:ind w:firstLine="317"/>
              <w:jc w:val="both"/>
              <w:rPr>
                <w:rFonts w:ascii="Times New Roman" w:hAnsi="Times New Roman" w:cs="Times New Roman"/>
                <w:sz w:val="24"/>
                <w:szCs w:val="24"/>
              </w:rPr>
            </w:pPr>
            <w:r w:rsidRPr="00BF077C">
              <w:rPr>
                <w:rFonts w:ascii="Times New Roman" w:hAnsi="Times New Roman" w:cs="Times New Roman"/>
                <w:sz w:val="24"/>
                <w:szCs w:val="24"/>
              </w:rPr>
              <w:t>В случае</w:t>
            </w:r>
            <w:r w:rsidR="00F11FA2" w:rsidRPr="00BF077C">
              <w:rPr>
                <w:rFonts w:ascii="Times New Roman" w:hAnsi="Times New Roman" w:cs="Times New Roman"/>
                <w:sz w:val="24"/>
                <w:szCs w:val="24"/>
              </w:rPr>
              <w:t xml:space="preserve"> необходимости кредитной организацией могут быть представлены рабочей группе пояснения относительно</w:t>
            </w:r>
            <w:r w:rsidR="00BA67A0" w:rsidRPr="00BF077C">
              <w:rPr>
                <w:rFonts w:ascii="Times New Roman" w:hAnsi="Times New Roman" w:cs="Times New Roman"/>
                <w:sz w:val="24"/>
                <w:szCs w:val="24"/>
              </w:rPr>
              <w:t xml:space="preserve"> кредитной политики,</w:t>
            </w:r>
            <w:r w:rsidR="00F11FA2" w:rsidRPr="00BF077C">
              <w:rPr>
                <w:rFonts w:ascii="Times New Roman" w:hAnsi="Times New Roman" w:cs="Times New Roman"/>
                <w:sz w:val="24"/>
                <w:szCs w:val="24"/>
              </w:rPr>
              <w:t xml:space="preserve"> </w:t>
            </w:r>
            <w:r w:rsidR="00BA67A0" w:rsidRPr="00BF077C">
              <w:rPr>
                <w:rFonts w:ascii="Times New Roman" w:hAnsi="Times New Roman" w:cs="Times New Roman"/>
                <w:sz w:val="24"/>
                <w:szCs w:val="24"/>
              </w:rPr>
              <w:t xml:space="preserve">в том числе </w:t>
            </w:r>
            <w:r w:rsidR="00F11FA2" w:rsidRPr="00BF077C">
              <w:rPr>
                <w:rFonts w:ascii="Times New Roman" w:hAnsi="Times New Roman" w:cs="Times New Roman"/>
                <w:sz w:val="24"/>
                <w:szCs w:val="24"/>
              </w:rPr>
              <w:t>особенностей установления права залогодателя на предмет залога</w:t>
            </w:r>
            <w:r w:rsidR="00BA67A0" w:rsidRPr="00BF077C">
              <w:rPr>
                <w:rFonts w:ascii="Times New Roman" w:hAnsi="Times New Roman" w:cs="Times New Roman"/>
                <w:sz w:val="24"/>
                <w:szCs w:val="24"/>
              </w:rPr>
              <w:t>,</w:t>
            </w:r>
            <w:r w:rsidR="00F11FA2" w:rsidRPr="00BF077C">
              <w:rPr>
                <w:rFonts w:ascii="Times New Roman" w:hAnsi="Times New Roman" w:cs="Times New Roman"/>
                <w:sz w:val="24"/>
                <w:szCs w:val="24"/>
              </w:rPr>
              <w:t xml:space="preserve"> либо возможной формы предоставления правоустанавливающих документов.</w:t>
            </w:r>
          </w:p>
          <w:p w:rsidR="00F11FA2" w:rsidRPr="00BF077C" w:rsidRDefault="00134D47" w:rsidP="00DF22E6">
            <w:pPr>
              <w:ind w:firstLine="317"/>
              <w:jc w:val="both"/>
              <w:rPr>
                <w:rFonts w:ascii="Times New Roman" w:hAnsi="Times New Roman" w:cs="Times New Roman"/>
                <w:sz w:val="24"/>
                <w:szCs w:val="24"/>
              </w:rPr>
            </w:pPr>
            <w:r w:rsidRPr="00BF077C">
              <w:rPr>
                <w:rFonts w:ascii="Times New Roman" w:hAnsi="Times New Roman" w:cs="Times New Roman"/>
                <w:sz w:val="24"/>
                <w:szCs w:val="24"/>
              </w:rPr>
              <w:t>При этом возможность предоставления рабочим группам документов в электронном виде уже предусмотрена нормативными актами Банка России.</w:t>
            </w:r>
          </w:p>
        </w:tc>
      </w:tr>
      <w:tr w:rsidR="00F11614" w:rsidRPr="00BB071B" w:rsidTr="00DA10CC">
        <w:tc>
          <w:tcPr>
            <w:tcW w:w="6479" w:type="dxa"/>
          </w:tcPr>
          <w:p w:rsidR="00F11614" w:rsidRPr="00BF077C" w:rsidRDefault="00F11614" w:rsidP="00F11614">
            <w:pPr>
              <w:pStyle w:val="a4"/>
              <w:autoSpaceDE w:val="0"/>
              <w:autoSpaceDN w:val="0"/>
              <w:adjustRightInd w:val="0"/>
              <w:ind w:left="0" w:firstLine="313"/>
              <w:jc w:val="both"/>
              <w:rPr>
                <w:rFonts w:ascii="Times New Roman" w:hAnsi="Times New Roman" w:cs="Times New Roman"/>
                <w:sz w:val="24"/>
                <w:szCs w:val="24"/>
              </w:rPr>
            </w:pPr>
            <w:r w:rsidRPr="00BF077C">
              <w:rPr>
                <w:rFonts w:ascii="Times New Roman" w:hAnsi="Times New Roman" w:cs="Times New Roman"/>
                <w:sz w:val="24"/>
                <w:szCs w:val="24"/>
              </w:rPr>
              <w:t>1</w:t>
            </w:r>
            <w:r w:rsidR="00F11FA2" w:rsidRPr="00BF077C">
              <w:rPr>
                <w:rFonts w:ascii="Times New Roman" w:hAnsi="Times New Roman" w:cs="Times New Roman"/>
                <w:sz w:val="24"/>
                <w:szCs w:val="24"/>
              </w:rPr>
              <w:t>2</w:t>
            </w:r>
            <w:r w:rsidRPr="00BF077C">
              <w:rPr>
                <w:rFonts w:ascii="Times New Roman" w:hAnsi="Times New Roman" w:cs="Times New Roman"/>
                <w:sz w:val="24"/>
                <w:szCs w:val="24"/>
              </w:rPr>
              <w:t>. Вопросы по использованию Методических рекомендаций № 32-МР по проверке системы внутреннего контроля кредитной организации.</w:t>
            </w:r>
          </w:p>
          <w:p w:rsidR="0029504C" w:rsidRPr="00BF077C" w:rsidRDefault="0029504C" w:rsidP="0029504C">
            <w:pPr>
              <w:ind w:firstLine="313"/>
              <w:jc w:val="both"/>
              <w:rPr>
                <w:rFonts w:ascii="Times New Roman" w:hAnsi="Times New Roman" w:cs="Times New Roman"/>
                <w:sz w:val="24"/>
                <w:szCs w:val="24"/>
              </w:rPr>
            </w:pPr>
            <w:r w:rsidRPr="00BF077C">
              <w:rPr>
                <w:rFonts w:ascii="Times New Roman" w:hAnsi="Times New Roman" w:cs="Times New Roman"/>
                <w:sz w:val="24"/>
                <w:szCs w:val="24"/>
              </w:rPr>
              <w:t>12.</w:t>
            </w:r>
            <w:r w:rsidRPr="0029504C">
              <w:rPr>
                <w:rFonts w:ascii="Times New Roman" w:hAnsi="Times New Roman" w:cs="Times New Roman"/>
                <w:sz w:val="24"/>
                <w:szCs w:val="24"/>
              </w:rPr>
              <w:t>1</w:t>
            </w:r>
            <w:r w:rsidRPr="00BF077C">
              <w:rPr>
                <w:rFonts w:ascii="Times New Roman" w:hAnsi="Times New Roman" w:cs="Times New Roman"/>
                <w:sz w:val="24"/>
                <w:szCs w:val="24"/>
              </w:rPr>
              <w:t>. При оценке деятельности Службы внутреннего аудита (ПВК2, Таблица 2, п. 4) оценивается следующий вопрос: «</w:t>
            </w:r>
            <w:r w:rsidRPr="00BF077C">
              <w:rPr>
                <w:rFonts w:ascii="Times New Roman" w:hAnsi="Times New Roman" w:cs="Times New Roman"/>
                <w:i/>
                <w:sz w:val="24"/>
                <w:szCs w:val="24"/>
              </w:rPr>
              <w:t>Предоставляются ли кредитной организацией дополнительные льготы служащим службы внутреннего аудита при проведении банковских операций и других сделок по сравнению с другими служащими кредитной организации</w:t>
            </w:r>
            <w:r w:rsidRPr="00BF077C">
              <w:rPr>
                <w:rFonts w:ascii="Times New Roman" w:hAnsi="Times New Roman" w:cs="Times New Roman"/>
                <w:sz w:val="24"/>
                <w:szCs w:val="24"/>
              </w:rPr>
              <w:t>». При этом, отдельные комментарии по оценке данного вопроса в документе отсутствуют, а при оценке по общим правилам, где 1 - применяется всегда, а 4 - не применяется никогда, ответ «нет, не предоставляются» понижает общий балл оценки.</w:t>
            </w:r>
          </w:p>
          <w:p w:rsidR="0029504C" w:rsidRDefault="0029504C" w:rsidP="0029504C">
            <w:pPr>
              <w:ind w:firstLine="313"/>
              <w:jc w:val="both"/>
              <w:rPr>
                <w:rFonts w:ascii="Times New Roman" w:hAnsi="Times New Roman" w:cs="Times New Roman"/>
                <w:sz w:val="24"/>
                <w:szCs w:val="24"/>
              </w:rPr>
            </w:pPr>
            <w:r w:rsidRPr="00BF077C">
              <w:rPr>
                <w:rFonts w:ascii="Times New Roman" w:hAnsi="Times New Roman" w:cs="Times New Roman"/>
                <w:sz w:val="24"/>
                <w:szCs w:val="24"/>
              </w:rPr>
              <w:t>Каков порядок оценки данного показателя?</w:t>
            </w:r>
          </w:p>
          <w:p w:rsidR="00F11614" w:rsidRPr="00BF077C" w:rsidRDefault="00F11614" w:rsidP="0029504C">
            <w:pPr>
              <w:ind w:firstLine="313"/>
              <w:jc w:val="both"/>
              <w:rPr>
                <w:rFonts w:ascii="Times New Roman" w:hAnsi="Times New Roman" w:cs="Times New Roman"/>
                <w:sz w:val="24"/>
                <w:szCs w:val="24"/>
              </w:rPr>
            </w:pPr>
            <w:r w:rsidRPr="00BF077C">
              <w:rPr>
                <w:rFonts w:ascii="Times New Roman" w:hAnsi="Times New Roman" w:cs="Times New Roman"/>
                <w:sz w:val="24"/>
                <w:szCs w:val="24"/>
              </w:rPr>
              <w:t>1</w:t>
            </w:r>
            <w:r w:rsidR="00F11FA2" w:rsidRPr="00BF077C">
              <w:rPr>
                <w:rFonts w:ascii="Times New Roman" w:hAnsi="Times New Roman" w:cs="Times New Roman"/>
                <w:sz w:val="24"/>
                <w:szCs w:val="24"/>
              </w:rPr>
              <w:t>2</w:t>
            </w:r>
            <w:r w:rsidRPr="00BF077C">
              <w:rPr>
                <w:rFonts w:ascii="Times New Roman" w:hAnsi="Times New Roman" w:cs="Times New Roman"/>
                <w:sz w:val="24"/>
                <w:szCs w:val="24"/>
              </w:rPr>
              <w:t>.</w:t>
            </w:r>
            <w:r w:rsidR="0029504C" w:rsidRPr="0029504C">
              <w:rPr>
                <w:rFonts w:ascii="Times New Roman" w:hAnsi="Times New Roman" w:cs="Times New Roman"/>
                <w:sz w:val="24"/>
                <w:szCs w:val="24"/>
              </w:rPr>
              <w:t>2</w:t>
            </w:r>
            <w:r w:rsidR="00F11FA2" w:rsidRPr="00BF077C">
              <w:rPr>
                <w:rFonts w:ascii="Times New Roman" w:hAnsi="Times New Roman" w:cs="Times New Roman"/>
                <w:sz w:val="24"/>
                <w:szCs w:val="24"/>
              </w:rPr>
              <w:t>.</w:t>
            </w:r>
            <w:r w:rsidRPr="00BF077C">
              <w:rPr>
                <w:rFonts w:ascii="Times New Roman" w:hAnsi="Times New Roman" w:cs="Times New Roman"/>
                <w:sz w:val="24"/>
                <w:szCs w:val="24"/>
              </w:rPr>
              <w:t xml:space="preserve"> При оценке организации системы внутреннего контроля в кредитной организации (ПВК1, Таблица 1 Приложения 2, п. 6) оценивается следующий вопрос: "</w:t>
            </w:r>
            <w:r w:rsidRPr="00BF077C">
              <w:rPr>
                <w:rFonts w:ascii="Times New Roman" w:hAnsi="Times New Roman" w:cs="Times New Roman"/>
                <w:i/>
                <w:sz w:val="24"/>
                <w:szCs w:val="24"/>
              </w:rPr>
              <w:t>Создан ли в кредитной организации комитет по аудиту в составе совета директоров (наблюдательного совета) кредитной организации, а также определены ли во внутренних документах его компетенция, полномочия, функции и обязанности (в случае его наличия</w:t>
            </w:r>
            <w:r w:rsidRPr="00BF077C">
              <w:rPr>
                <w:rFonts w:ascii="Times New Roman" w:hAnsi="Times New Roman" w:cs="Times New Roman"/>
                <w:sz w:val="24"/>
                <w:szCs w:val="24"/>
              </w:rPr>
              <w:t xml:space="preserve">)". Создание комитета по аудиту для небанковских кредитных организаций не является обязательным, также отсутствие указанного комитета может быть обусловлено нецелесообразностью его создания при сложившихся масштабах деятельности организации. Документом не предусмотрена возможность не применять данный вопрос при оценке показателя в случае отсутствия </w:t>
            </w:r>
            <w:r w:rsidRPr="00BF077C">
              <w:rPr>
                <w:rFonts w:ascii="Times New Roman" w:hAnsi="Times New Roman" w:cs="Times New Roman"/>
                <w:sz w:val="24"/>
                <w:szCs w:val="24"/>
              </w:rPr>
              <w:lastRenderedPageBreak/>
              <w:t>решения Совета директоров о создании указанного комитета, что снижает оценку показателя.</w:t>
            </w:r>
          </w:p>
          <w:p w:rsidR="006F19EF" w:rsidRPr="00BF077C" w:rsidRDefault="00F11614" w:rsidP="0029504C">
            <w:pPr>
              <w:ind w:firstLine="313"/>
              <w:jc w:val="both"/>
              <w:rPr>
                <w:rFonts w:ascii="Times New Roman" w:hAnsi="Times New Roman" w:cs="Times New Roman"/>
                <w:sz w:val="24"/>
                <w:szCs w:val="24"/>
              </w:rPr>
            </w:pPr>
            <w:r w:rsidRPr="00BF077C">
              <w:rPr>
                <w:rFonts w:ascii="Times New Roman" w:hAnsi="Times New Roman" w:cs="Times New Roman"/>
                <w:sz w:val="24"/>
                <w:szCs w:val="24"/>
              </w:rPr>
              <w:t>Каков порядок оценки данного показателя для небольших кредитных организаций с учетом принципа пропорциональности?</w:t>
            </w:r>
          </w:p>
        </w:tc>
        <w:tc>
          <w:tcPr>
            <w:tcW w:w="8081" w:type="dxa"/>
          </w:tcPr>
          <w:p w:rsidR="003A4662" w:rsidRDefault="0029504C" w:rsidP="003A4662">
            <w:pPr>
              <w:autoSpaceDE w:val="0"/>
              <w:autoSpaceDN w:val="0"/>
              <w:ind w:firstLine="317"/>
              <w:jc w:val="both"/>
              <w:rPr>
                <w:rFonts w:ascii="Times New Roman" w:hAnsi="Times New Roman"/>
                <w:sz w:val="24"/>
                <w:szCs w:val="24"/>
              </w:rPr>
            </w:pPr>
            <w:r w:rsidRPr="00BF077C">
              <w:rPr>
                <w:rFonts w:ascii="Times New Roman" w:hAnsi="Times New Roman" w:cs="Times New Roman"/>
                <w:sz w:val="24"/>
                <w:szCs w:val="24"/>
              </w:rPr>
              <w:lastRenderedPageBreak/>
              <w:t>12.</w:t>
            </w:r>
            <w:r w:rsidRPr="0029504C">
              <w:rPr>
                <w:rFonts w:ascii="Times New Roman" w:hAnsi="Times New Roman" w:cs="Times New Roman"/>
                <w:sz w:val="24"/>
                <w:szCs w:val="24"/>
              </w:rPr>
              <w:t>1</w:t>
            </w:r>
            <w:r w:rsidRPr="00BF077C">
              <w:rPr>
                <w:rFonts w:ascii="Times New Roman" w:hAnsi="Times New Roman" w:cs="Times New Roman"/>
                <w:sz w:val="24"/>
                <w:szCs w:val="24"/>
              </w:rPr>
              <w:t xml:space="preserve">. </w:t>
            </w:r>
            <w:r w:rsidR="003A4662">
              <w:rPr>
                <w:rFonts w:ascii="Times New Roman" w:hAnsi="Times New Roman"/>
                <w:sz w:val="24"/>
                <w:szCs w:val="24"/>
              </w:rPr>
              <w:t>В случае оценки по вопросу предоставления (</w:t>
            </w:r>
            <w:proofErr w:type="spellStart"/>
            <w:r w:rsidR="003A4662">
              <w:rPr>
                <w:rFonts w:ascii="Times New Roman" w:hAnsi="Times New Roman"/>
                <w:sz w:val="24"/>
                <w:szCs w:val="24"/>
              </w:rPr>
              <w:t>непредоставления</w:t>
            </w:r>
            <w:proofErr w:type="spellEnd"/>
            <w:r w:rsidR="003A4662">
              <w:rPr>
                <w:rFonts w:ascii="Times New Roman" w:hAnsi="Times New Roman"/>
                <w:sz w:val="24"/>
                <w:szCs w:val="24"/>
              </w:rPr>
              <w:t xml:space="preserve">) дополнительных льгот служащим службы внутреннего аудита (вопрос 4 Таблицы 2 Приложения 2) целесообразно исходить из того, что наилучшей практикой является отсутствие таких льгот. </w:t>
            </w:r>
          </w:p>
          <w:p w:rsidR="003A4662" w:rsidRDefault="003A4662" w:rsidP="003A4662">
            <w:pPr>
              <w:autoSpaceDE w:val="0"/>
              <w:autoSpaceDN w:val="0"/>
              <w:ind w:firstLine="317"/>
              <w:jc w:val="both"/>
              <w:rPr>
                <w:rFonts w:ascii="Times New Roman" w:hAnsi="Times New Roman"/>
                <w:sz w:val="24"/>
                <w:szCs w:val="24"/>
              </w:rPr>
            </w:pPr>
            <w:r>
              <w:rPr>
                <w:rFonts w:ascii="Times New Roman" w:hAnsi="Times New Roman"/>
                <w:sz w:val="24"/>
                <w:szCs w:val="24"/>
              </w:rPr>
              <w:t>В связи с этим кредитной организации при самооценке по данному критерию рекомендуется присваивать:</w:t>
            </w:r>
          </w:p>
          <w:p w:rsidR="003A4662" w:rsidRDefault="003A4662" w:rsidP="003A4662">
            <w:pPr>
              <w:autoSpaceDE w:val="0"/>
              <w:autoSpaceDN w:val="0"/>
              <w:ind w:firstLine="352"/>
              <w:jc w:val="both"/>
              <w:rPr>
                <w:rFonts w:ascii="Times New Roman" w:hAnsi="Times New Roman"/>
                <w:sz w:val="24"/>
                <w:szCs w:val="24"/>
              </w:rPr>
            </w:pPr>
            <w:r>
              <w:rPr>
                <w:rFonts w:ascii="Times New Roman" w:hAnsi="Times New Roman"/>
                <w:sz w:val="24"/>
                <w:szCs w:val="24"/>
              </w:rPr>
              <w:t>балл 1 – если льготы не предоставляются никогда;</w:t>
            </w:r>
          </w:p>
          <w:p w:rsidR="003A4662" w:rsidRDefault="003A4662" w:rsidP="003A4662">
            <w:pPr>
              <w:autoSpaceDE w:val="0"/>
              <w:autoSpaceDN w:val="0"/>
              <w:ind w:firstLine="352"/>
              <w:jc w:val="both"/>
              <w:rPr>
                <w:rFonts w:ascii="Times New Roman" w:hAnsi="Times New Roman"/>
                <w:sz w:val="24"/>
                <w:szCs w:val="24"/>
              </w:rPr>
            </w:pPr>
            <w:r>
              <w:rPr>
                <w:rFonts w:ascii="Times New Roman" w:hAnsi="Times New Roman"/>
                <w:sz w:val="24"/>
                <w:szCs w:val="24"/>
              </w:rPr>
              <w:t>балл 2 – если льготы предоставляются в исключительных случаях;</w:t>
            </w:r>
          </w:p>
          <w:p w:rsidR="003A4662" w:rsidRDefault="003A4662" w:rsidP="003A4662">
            <w:pPr>
              <w:autoSpaceDE w:val="0"/>
              <w:autoSpaceDN w:val="0"/>
              <w:ind w:firstLine="352"/>
              <w:jc w:val="both"/>
              <w:rPr>
                <w:rFonts w:ascii="Times New Roman" w:hAnsi="Times New Roman"/>
                <w:sz w:val="24"/>
                <w:szCs w:val="24"/>
              </w:rPr>
            </w:pPr>
            <w:r>
              <w:rPr>
                <w:rFonts w:ascii="Times New Roman" w:hAnsi="Times New Roman"/>
                <w:sz w:val="24"/>
                <w:szCs w:val="24"/>
              </w:rPr>
              <w:t>балл 3 – если льготы предоставляются иногда;</w:t>
            </w:r>
          </w:p>
          <w:p w:rsidR="003A4662" w:rsidRDefault="003A4662" w:rsidP="003A4662">
            <w:pPr>
              <w:autoSpaceDE w:val="0"/>
              <w:autoSpaceDN w:val="0"/>
              <w:ind w:firstLine="352"/>
              <w:jc w:val="both"/>
              <w:rPr>
                <w:rFonts w:ascii="Times New Roman" w:hAnsi="Times New Roman"/>
                <w:sz w:val="24"/>
                <w:szCs w:val="24"/>
              </w:rPr>
            </w:pPr>
            <w:r>
              <w:rPr>
                <w:rFonts w:ascii="Times New Roman" w:hAnsi="Times New Roman"/>
                <w:sz w:val="24"/>
                <w:szCs w:val="24"/>
              </w:rPr>
              <w:t>балл 4 – если такие льготы предоставляются всегда.</w:t>
            </w:r>
          </w:p>
          <w:p w:rsidR="0029504C" w:rsidRDefault="0029504C" w:rsidP="0029504C">
            <w:pPr>
              <w:autoSpaceDE w:val="0"/>
              <w:autoSpaceDN w:val="0"/>
              <w:adjustRightInd w:val="0"/>
              <w:ind w:firstLine="317"/>
              <w:jc w:val="both"/>
              <w:rPr>
                <w:rFonts w:ascii="Times New Roman" w:hAnsi="Times New Roman" w:cs="Times New Roman"/>
                <w:sz w:val="24"/>
                <w:szCs w:val="24"/>
              </w:rPr>
            </w:pPr>
          </w:p>
          <w:p w:rsidR="0029504C" w:rsidRDefault="0029504C" w:rsidP="0029504C">
            <w:pPr>
              <w:autoSpaceDE w:val="0"/>
              <w:autoSpaceDN w:val="0"/>
              <w:adjustRightInd w:val="0"/>
              <w:ind w:firstLine="317"/>
              <w:jc w:val="both"/>
              <w:rPr>
                <w:rFonts w:ascii="Times New Roman" w:hAnsi="Times New Roman" w:cs="Times New Roman"/>
                <w:sz w:val="24"/>
                <w:szCs w:val="24"/>
              </w:rPr>
            </w:pPr>
          </w:p>
          <w:p w:rsidR="0029504C" w:rsidRDefault="0029504C" w:rsidP="0029504C">
            <w:pPr>
              <w:autoSpaceDE w:val="0"/>
              <w:autoSpaceDN w:val="0"/>
              <w:adjustRightInd w:val="0"/>
              <w:ind w:firstLine="317"/>
              <w:jc w:val="both"/>
              <w:rPr>
                <w:rFonts w:ascii="Times New Roman" w:hAnsi="Times New Roman" w:cs="Times New Roman"/>
                <w:sz w:val="24"/>
                <w:szCs w:val="24"/>
              </w:rPr>
            </w:pPr>
          </w:p>
          <w:p w:rsidR="0029504C" w:rsidRDefault="0029504C" w:rsidP="0029504C">
            <w:pPr>
              <w:autoSpaceDE w:val="0"/>
              <w:autoSpaceDN w:val="0"/>
              <w:adjustRightInd w:val="0"/>
              <w:ind w:firstLine="317"/>
              <w:jc w:val="both"/>
              <w:rPr>
                <w:rFonts w:ascii="Times New Roman" w:hAnsi="Times New Roman" w:cs="Times New Roman"/>
                <w:sz w:val="24"/>
                <w:szCs w:val="24"/>
              </w:rPr>
            </w:pPr>
          </w:p>
          <w:p w:rsidR="0029504C" w:rsidRDefault="0029504C" w:rsidP="0029504C">
            <w:pPr>
              <w:autoSpaceDE w:val="0"/>
              <w:autoSpaceDN w:val="0"/>
              <w:adjustRightInd w:val="0"/>
              <w:ind w:firstLine="317"/>
              <w:jc w:val="both"/>
              <w:rPr>
                <w:rFonts w:ascii="Times New Roman" w:hAnsi="Times New Roman" w:cs="Times New Roman"/>
                <w:sz w:val="24"/>
                <w:szCs w:val="24"/>
              </w:rPr>
            </w:pPr>
          </w:p>
          <w:p w:rsidR="00F11614" w:rsidRPr="00BF077C" w:rsidRDefault="008906FF" w:rsidP="0029504C">
            <w:pPr>
              <w:autoSpaceDE w:val="0"/>
              <w:autoSpaceDN w:val="0"/>
              <w:adjustRightInd w:val="0"/>
              <w:ind w:firstLine="317"/>
              <w:jc w:val="both"/>
              <w:rPr>
                <w:rFonts w:ascii="Times New Roman" w:hAnsi="Times New Roman" w:cs="Times New Roman"/>
                <w:sz w:val="24"/>
                <w:szCs w:val="24"/>
              </w:rPr>
            </w:pPr>
            <w:r w:rsidRPr="00BF077C">
              <w:rPr>
                <w:rFonts w:ascii="Times New Roman" w:hAnsi="Times New Roman" w:cs="Times New Roman"/>
                <w:sz w:val="24"/>
                <w:szCs w:val="24"/>
              </w:rPr>
              <w:t>12.</w:t>
            </w:r>
            <w:r w:rsidR="0029504C" w:rsidRPr="0029504C">
              <w:rPr>
                <w:rFonts w:ascii="Times New Roman" w:hAnsi="Times New Roman" w:cs="Times New Roman"/>
                <w:sz w:val="24"/>
                <w:szCs w:val="24"/>
              </w:rPr>
              <w:t>2</w:t>
            </w:r>
            <w:r w:rsidRPr="00BF077C">
              <w:rPr>
                <w:rFonts w:ascii="Times New Roman" w:hAnsi="Times New Roman" w:cs="Times New Roman"/>
                <w:sz w:val="24"/>
                <w:szCs w:val="24"/>
              </w:rPr>
              <w:t xml:space="preserve">. </w:t>
            </w:r>
            <w:r w:rsidR="006F19EF" w:rsidRPr="00BF077C">
              <w:rPr>
                <w:rFonts w:ascii="Times New Roman" w:hAnsi="Times New Roman" w:cs="Times New Roman"/>
                <w:sz w:val="24"/>
                <w:szCs w:val="24"/>
              </w:rPr>
              <w:t xml:space="preserve">Методическими рекомендациями предусмотрена </w:t>
            </w:r>
            <w:r w:rsidR="006F19EF" w:rsidRPr="00BF077C">
              <w:rPr>
                <w:rFonts w:ascii="Times New Roman" w:hAnsi="Times New Roman" w:cs="Times New Roman"/>
                <w:i/>
                <w:sz w:val="24"/>
                <w:szCs w:val="24"/>
              </w:rPr>
              <w:t>возможность корректировки оценок</w:t>
            </w:r>
            <w:r w:rsidR="006F19EF" w:rsidRPr="00BF077C">
              <w:rPr>
                <w:rFonts w:ascii="Times New Roman" w:hAnsi="Times New Roman" w:cs="Times New Roman"/>
                <w:sz w:val="24"/>
                <w:szCs w:val="24"/>
              </w:rPr>
              <w:t xml:space="preserve"> на основании мотивированных суждений рабочей группы в</w:t>
            </w:r>
            <w:r w:rsidR="00F11614" w:rsidRPr="00BF077C">
              <w:rPr>
                <w:rFonts w:ascii="Times New Roman" w:hAnsi="Times New Roman" w:cs="Times New Roman"/>
                <w:sz w:val="24"/>
                <w:szCs w:val="24"/>
              </w:rPr>
              <w:t xml:space="preserve"> случае выявления дополнительных факторов и обстоятельств, оказывающих влияние на деятельность кредитной организации (п. 3.6.2 Методических рекомендаций № 32-МР).</w:t>
            </w:r>
          </w:p>
          <w:p w:rsidR="008906FF" w:rsidRPr="00BF077C" w:rsidRDefault="008906FF" w:rsidP="00F11614">
            <w:pPr>
              <w:autoSpaceDE w:val="0"/>
              <w:autoSpaceDN w:val="0"/>
              <w:adjustRightInd w:val="0"/>
              <w:ind w:firstLine="317"/>
              <w:jc w:val="both"/>
              <w:rPr>
                <w:rFonts w:ascii="Times New Roman" w:hAnsi="Times New Roman" w:cs="Times New Roman"/>
                <w:sz w:val="24"/>
                <w:szCs w:val="24"/>
              </w:rPr>
            </w:pPr>
            <w:r w:rsidRPr="00BF077C">
              <w:rPr>
                <w:rFonts w:ascii="Times New Roman" w:hAnsi="Times New Roman" w:cs="Times New Roman"/>
                <w:sz w:val="24"/>
                <w:szCs w:val="24"/>
              </w:rPr>
              <w:t>При этом согласно пункту 9.1 Инструкции № 149-И положения методических рекомендаций, используемые при организации и проведении проверок, применяются в объеме, обеспечивающем достижение целей проверки.</w:t>
            </w:r>
          </w:p>
          <w:p w:rsidR="00F11614" w:rsidRPr="00BB071B" w:rsidRDefault="00F11614" w:rsidP="0029504C">
            <w:pPr>
              <w:autoSpaceDE w:val="0"/>
              <w:autoSpaceDN w:val="0"/>
              <w:adjustRightInd w:val="0"/>
              <w:ind w:firstLine="317"/>
              <w:jc w:val="both"/>
              <w:rPr>
                <w:rFonts w:ascii="Times New Roman" w:hAnsi="Times New Roman" w:cs="Times New Roman"/>
                <w:sz w:val="24"/>
                <w:szCs w:val="24"/>
              </w:rPr>
            </w:pPr>
            <w:r w:rsidRPr="00BF077C">
              <w:rPr>
                <w:rFonts w:ascii="Times New Roman" w:hAnsi="Times New Roman" w:cs="Times New Roman"/>
                <w:sz w:val="24"/>
                <w:szCs w:val="24"/>
              </w:rPr>
              <w:t xml:space="preserve">В связи с этим вопросы, которые предусмотрены оценочными таблицами, но </w:t>
            </w:r>
            <w:r w:rsidRPr="00BF077C">
              <w:rPr>
                <w:rFonts w:ascii="Times New Roman" w:hAnsi="Times New Roman" w:cs="Times New Roman"/>
                <w:i/>
                <w:sz w:val="24"/>
                <w:szCs w:val="24"/>
              </w:rPr>
              <w:t>не применимы в конкретном случае</w:t>
            </w:r>
            <w:r w:rsidR="006F19EF" w:rsidRPr="00BF077C">
              <w:rPr>
                <w:rFonts w:ascii="Times New Roman" w:hAnsi="Times New Roman" w:cs="Times New Roman"/>
                <w:i/>
                <w:sz w:val="24"/>
                <w:szCs w:val="24"/>
              </w:rPr>
              <w:t>,</w:t>
            </w:r>
            <w:r w:rsidRPr="00BF077C">
              <w:rPr>
                <w:rFonts w:ascii="Times New Roman" w:hAnsi="Times New Roman" w:cs="Times New Roman"/>
                <w:i/>
                <w:sz w:val="24"/>
                <w:szCs w:val="24"/>
              </w:rPr>
              <w:t xml:space="preserve"> </w:t>
            </w:r>
            <w:r w:rsidR="006F19EF" w:rsidRPr="00BF077C">
              <w:rPr>
                <w:rFonts w:ascii="Times New Roman" w:hAnsi="Times New Roman" w:cs="Times New Roman"/>
                <w:i/>
                <w:sz w:val="24"/>
                <w:szCs w:val="24"/>
              </w:rPr>
              <w:t>не учитыва</w:t>
            </w:r>
            <w:r w:rsidR="008906FF" w:rsidRPr="00BF077C">
              <w:rPr>
                <w:rFonts w:ascii="Times New Roman" w:hAnsi="Times New Roman" w:cs="Times New Roman"/>
                <w:i/>
                <w:sz w:val="24"/>
                <w:szCs w:val="24"/>
              </w:rPr>
              <w:t>ю</w:t>
            </w:r>
            <w:r w:rsidR="006F19EF" w:rsidRPr="00BF077C">
              <w:rPr>
                <w:rFonts w:ascii="Times New Roman" w:hAnsi="Times New Roman" w:cs="Times New Roman"/>
                <w:i/>
                <w:sz w:val="24"/>
                <w:szCs w:val="24"/>
              </w:rPr>
              <w:t>тся при</w:t>
            </w:r>
            <w:r w:rsidRPr="00BF077C">
              <w:rPr>
                <w:rFonts w:ascii="Times New Roman" w:hAnsi="Times New Roman" w:cs="Times New Roman"/>
                <w:i/>
                <w:sz w:val="24"/>
                <w:szCs w:val="24"/>
              </w:rPr>
              <w:t xml:space="preserve"> оценк</w:t>
            </w:r>
            <w:r w:rsidR="006F19EF" w:rsidRPr="00BF077C">
              <w:rPr>
                <w:rFonts w:ascii="Times New Roman" w:hAnsi="Times New Roman" w:cs="Times New Roman"/>
                <w:i/>
                <w:sz w:val="24"/>
                <w:szCs w:val="24"/>
              </w:rPr>
              <w:t>е</w:t>
            </w:r>
            <w:r w:rsidRPr="00BF077C">
              <w:rPr>
                <w:rFonts w:ascii="Times New Roman" w:hAnsi="Times New Roman" w:cs="Times New Roman"/>
                <w:i/>
                <w:sz w:val="24"/>
                <w:szCs w:val="24"/>
              </w:rPr>
              <w:t xml:space="preserve"> </w:t>
            </w:r>
            <w:r w:rsidRPr="00BF077C">
              <w:rPr>
                <w:rFonts w:ascii="Times New Roman" w:hAnsi="Times New Roman" w:cs="Times New Roman"/>
                <w:sz w:val="24"/>
                <w:szCs w:val="24"/>
              </w:rPr>
              <w:t>(например, в</w:t>
            </w:r>
            <w:r w:rsidR="00134D47" w:rsidRPr="00BF077C">
              <w:rPr>
                <w:rFonts w:ascii="Times New Roman" w:hAnsi="Times New Roman" w:cs="Times New Roman"/>
                <w:sz w:val="24"/>
                <w:szCs w:val="24"/>
              </w:rPr>
              <w:t>опрос о создании</w:t>
            </w:r>
            <w:r w:rsidRPr="00BF077C">
              <w:rPr>
                <w:rFonts w:ascii="Times New Roman" w:hAnsi="Times New Roman" w:cs="Times New Roman"/>
                <w:sz w:val="24"/>
                <w:szCs w:val="24"/>
              </w:rPr>
              <w:t xml:space="preserve"> комитета по аудиту в составе совета директоров </w:t>
            </w:r>
            <w:r w:rsidR="00134D47" w:rsidRPr="00BF077C">
              <w:rPr>
                <w:rFonts w:ascii="Times New Roman" w:hAnsi="Times New Roman" w:cs="Times New Roman"/>
                <w:sz w:val="24"/>
                <w:szCs w:val="24"/>
              </w:rPr>
              <w:t xml:space="preserve">– </w:t>
            </w:r>
            <w:r w:rsidRPr="00BF077C">
              <w:rPr>
                <w:rFonts w:ascii="Times New Roman" w:hAnsi="Times New Roman" w:cs="Times New Roman"/>
                <w:sz w:val="24"/>
                <w:szCs w:val="24"/>
              </w:rPr>
              <w:t>в случае</w:t>
            </w:r>
            <w:r w:rsidR="006F19EF" w:rsidRPr="00BF077C">
              <w:rPr>
                <w:rFonts w:ascii="Times New Roman" w:hAnsi="Times New Roman" w:cs="Times New Roman"/>
                <w:sz w:val="24"/>
                <w:szCs w:val="24"/>
              </w:rPr>
              <w:t>,</w:t>
            </w:r>
            <w:r w:rsidRPr="00BF077C">
              <w:rPr>
                <w:rFonts w:ascii="Times New Roman" w:hAnsi="Times New Roman" w:cs="Times New Roman"/>
                <w:sz w:val="24"/>
                <w:szCs w:val="24"/>
              </w:rPr>
              <w:t xml:space="preserve"> если</w:t>
            </w:r>
            <w:r w:rsidR="00134D47" w:rsidRPr="00BF077C">
              <w:rPr>
                <w:rFonts w:ascii="Times New Roman" w:hAnsi="Times New Roman" w:cs="Times New Roman"/>
                <w:sz w:val="24"/>
                <w:szCs w:val="24"/>
              </w:rPr>
              <w:t xml:space="preserve"> создание этого комитета в силу законодательства не является обязательным</w:t>
            </w:r>
            <w:r w:rsidRPr="00BF077C">
              <w:rPr>
                <w:rFonts w:ascii="Times New Roman" w:hAnsi="Times New Roman" w:cs="Times New Roman"/>
                <w:sz w:val="24"/>
                <w:szCs w:val="24"/>
              </w:rPr>
              <w:t xml:space="preserve"> </w:t>
            </w:r>
            <w:r w:rsidR="006F19EF" w:rsidRPr="00BF077C">
              <w:rPr>
                <w:rFonts w:ascii="Times New Roman" w:hAnsi="Times New Roman" w:cs="Times New Roman"/>
                <w:sz w:val="24"/>
                <w:szCs w:val="24"/>
              </w:rPr>
              <w:t>(</w:t>
            </w:r>
            <w:r w:rsidRPr="00BF077C">
              <w:rPr>
                <w:rFonts w:ascii="Times New Roman" w:hAnsi="Times New Roman" w:cs="Times New Roman"/>
                <w:sz w:val="24"/>
                <w:szCs w:val="24"/>
              </w:rPr>
              <w:t>вопрос 6 Таблицы 1 Приложения 2).</w:t>
            </w:r>
            <w:r w:rsidR="006F19EF" w:rsidRPr="00BF077C">
              <w:rPr>
                <w:rFonts w:ascii="Times New Roman" w:hAnsi="Times New Roman" w:cs="Times New Roman"/>
                <w:sz w:val="24"/>
                <w:szCs w:val="24"/>
              </w:rPr>
              <w:t xml:space="preserve"> В </w:t>
            </w:r>
            <w:r w:rsidR="00134D47" w:rsidRPr="00BF077C">
              <w:rPr>
                <w:rFonts w:ascii="Times New Roman" w:hAnsi="Times New Roman" w:cs="Times New Roman"/>
                <w:sz w:val="24"/>
                <w:szCs w:val="24"/>
              </w:rPr>
              <w:t xml:space="preserve">таких </w:t>
            </w:r>
            <w:r w:rsidR="00134D47" w:rsidRPr="00BF077C">
              <w:rPr>
                <w:rFonts w:ascii="Times New Roman" w:hAnsi="Times New Roman" w:cs="Times New Roman"/>
                <w:sz w:val="24"/>
                <w:szCs w:val="24"/>
              </w:rPr>
              <w:lastRenderedPageBreak/>
              <w:t>случаях кредитным организациям</w:t>
            </w:r>
            <w:r w:rsidR="000F1A93" w:rsidRPr="00BF077C">
              <w:rPr>
                <w:rFonts w:ascii="Times New Roman" w:hAnsi="Times New Roman" w:cs="Times New Roman"/>
                <w:sz w:val="24"/>
                <w:szCs w:val="24"/>
              </w:rPr>
              <w:t xml:space="preserve"> при самооценке рекомендуется</w:t>
            </w:r>
            <w:r w:rsidR="00134D47" w:rsidRPr="00BF077C">
              <w:rPr>
                <w:rFonts w:ascii="Times New Roman" w:hAnsi="Times New Roman" w:cs="Times New Roman"/>
                <w:sz w:val="24"/>
                <w:szCs w:val="24"/>
              </w:rPr>
              <w:t xml:space="preserve"> </w:t>
            </w:r>
            <w:r w:rsidR="008906FF" w:rsidRPr="00BF077C">
              <w:rPr>
                <w:rFonts w:ascii="Times New Roman" w:hAnsi="Times New Roman" w:cs="Times New Roman"/>
                <w:sz w:val="24"/>
                <w:szCs w:val="24"/>
              </w:rPr>
              <w:t>приводить</w:t>
            </w:r>
            <w:r w:rsidR="00134D47" w:rsidRPr="00BF077C">
              <w:rPr>
                <w:rFonts w:ascii="Times New Roman" w:hAnsi="Times New Roman" w:cs="Times New Roman"/>
                <w:sz w:val="24"/>
                <w:szCs w:val="24"/>
              </w:rPr>
              <w:t xml:space="preserve"> соответствующие пояснения в оценочных таблицах.</w:t>
            </w:r>
          </w:p>
        </w:tc>
      </w:tr>
    </w:tbl>
    <w:p w:rsidR="00A90730" w:rsidRPr="00BB071B" w:rsidRDefault="00A90730" w:rsidP="00A90730">
      <w:pPr>
        <w:spacing w:after="0"/>
        <w:rPr>
          <w:rFonts w:ascii="Times New Roman" w:hAnsi="Times New Roman" w:cs="Times New Roman"/>
          <w:sz w:val="24"/>
          <w:szCs w:val="24"/>
        </w:rPr>
      </w:pPr>
    </w:p>
    <w:sectPr w:rsidR="00A90730" w:rsidRPr="00BB071B" w:rsidSect="00F11614">
      <w:foot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20" w:rsidRDefault="00AC6120" w:rsidP="00A90730">
      <w:pPr>
        <w:spacing w:after="0" w:line="240" w:lineRule="auto"/>
      </w:pPr>
      <w:r>
        <w:separator/>
      </w:r>
    </w:p>
  </w:endnote>
  <w:endnote w:type="continuationSeparator" w:id="0">
    <w:p w:rsidR="00AC6120" w:rsidRDefault="00AC6120" w:rsidP="00A9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203844"/>
      <w:docPartObj>
        <w:docPartGallery w:val="Page Numbers (Bottom of Page)"/>
        <w:docPartUnique/>
      </w:docPartObj>
    </w:sdtPr>
    <w:sdtEndPr/>
    <w:sdtContent>
      <w:p w:rsidR="00DF74D3" w:rsidRDefault="00DF74D3">
        <w:pPr>
          <w:pStyle w:val="ae"/>
          <w:jc w:val="right"/>
        </w:pPr>
        <w:r w:rsidRPr="00740EA2">
          <w:rPr>
            <w:rFonts w:ascii="Times New Roman" w:hAnsi="Times New Roman" w:cs="Times New Roman"/>
            <w:sz w:val="24"/>
            <w:szCs w:val="24"/>
          </w:rPr>
          <w:fldChar w:fldCharType="begin"/>
        </w:r>
        <w:r w:rsidRPr="00740EA2">
          <w:rPr>
            <w:rFonts w:ascii="Times New Roman" w:hAnsi="Times New Roman" w:cs="Times New Roman"/>
            <w:sz w:val="24"/>
            <w:szCs w:val="24"/>
          </w:rPr>
          <w:instrText>PAGE   \* MERGEFORMAT</w:instrText>
        </w:r>
        <w:r w:rsidRPr="00740EA2">
          <w:rPr>
            <w:rFonts w:ascii="Times New Roman" w:hAnsi="Times New Roman" w:cs="Times New Roman"/>
            <w:sz w:val="24"/>
            <w:szCs w:val="24"/>
          </w:rPr>
          <w:fldChar w:fldCharType="separate"/>
        </w:r>
        <w:r w:rsidR="0006146E">
          <w:rPr>
            <w:rFonts w:ascii="Times New Roman" w:hAnsi="Times New Roman" w:cs="Times New Roman"/>
            <w:noProof/>
            <w:sz w:val="24"/>
            <w:szCs w:val="24"/>
          </w:rPr>
          <w:t>8</w:t>
        </w:r>
        <w:r w:rsidRPr="00740EA2">
          <w:rPr>
            <w:rFonts w:ascii="Times New Roman" w:hAnsi="Times New Roman" w:cs="Times New Roman"/>
            <w:sz w:val="24"/>
            <w:szCs w:val="24"/>
          </w:rPr>
          <w:fldChar w:fldCharType="end"/>
        </w:r>
      </w:p>
    </w:sdtContent>
  </w:sdt>
  <w:p w:rsidR="00DF74D3" w:rsidRDefault="00DF74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20" w:rsidRDefault="00AC6120" w:rsidP="00A90730">
      <w:pPr>
        <w:spacing w:after="0" w:line="240" w:lineRule="auto"/>
      </w:pPr>
      <w:r>
        <w:separator/>
      </w:r>
    </w:p>
  </w:footnote>
  <w:footnote w:type="continuationSeparator" w:id="0">
    <w:p w:rsidR="00AC6120" w:rsidRDefault="00AC6120" w:rsidP="00A90730">
      <w:pPr>
        <w:spacing w:after="0" w:line="240" w:lineRule="auto"/>
      </w:pPr>
      <w:r>
        <w:continuationSeparator/>
      </w:r>
    </w:p>
  </w:footnote>
  <w:footnote w:id="1">
    <w:p w:rsidR="006801F1" w:rsidRPr="006801F1" w:rsidRDefault="006801F1" w:rsidP="006801F1">
      <w:pPr>
        <w:pStyle w:val="a7"/>
        <w:jc w:val="both"/>
        <w:rPr>
          <w:rFonts w:ascii="Times New Roman" w:hAnsi="Times New Roman" w:cs="Times New Roman"/>
          <w:sz w:val="22"/>
          <w:szCs w:val="22"/>
        </w:rPr>
      </w:pPr>
      <w:r w:rsidRPr="006801F1">
        <w:rPr>
          <w:rStyle w:val="a6"/>
          <w:rFonts w:ascii="Times New Roman" w:hAnsi="Times New Roman" w:cs="Times New Roman"/>
          <w:sz w:val="22"/>
          <w:szCs w:val="22"/>
        </w:rPr>
        <w:footnoteRef/>
      </w:r>
      <w:r w:rsidRPr="006801F1">
        <w:rPr>
          <w:rFonts w:ascii="Times New Roman" w:hAnsi="Times New Roman" w:cs="Times New Roman"/>
          <w:sz w:val="22"/>
          <w:szCs w:val="22"/>
        </w:rPr>
        <w:t xml:space="preserve"> </w:t>
      </w:r>
      <w:r>
        <w:rPr>
          <w:rFonts w:ascii="Times New Roman" w:hAnsi="Times New Roman" w:cs="Times New Roman"/>
          <w:sz w:val="22"/>
          <w:szCs w:val="22"/>
        </w:rPr>
        <w:t>О</w:t>
      </w:r>
      <w:r w:rsidRPr="006801F1">
        <w:rPr>
          <w:rFonts w:ascii="Times New Roman" w:hAnsi="Times New Roman" w:cs="Times New Roman"/>
          <w:sz w:val="22"/>
          <w:szCs w:val="22"/>
        </w:rPr>
        <w:t>тражени</w:t>
      </w:r>
      <w:r>
        <w:rPr>
          <w:rFonts w:ascii="Times New Roman" w:hAnsi="Times New Roman" w:cs="Times New Roman"/>
          <w:sz w:val="22"/>
          <w:szCs w:val="22"/>
        </w:rPr>
        <w:t>е</w:t>
      </w:r>
      <w:r w:rsidRPr="006801F1">
        <w:rPr>
          <w:rFonts w:ascii="Times New Roman" w:hAnsi="Times New Roman" w:cs="Times New Roman"/>
          <w:sz w:val="22"/>
          <w:szCs w:val="22"/>
        </w:rPr>
        <w:t xml:space="preserve"> информации об оценочных резервах под ожидаемые кредитные убытки с использованием счетов корректировок, корреспондирующих со счетами по учету доходов или расходов</w:t>
      </w:r>
      <w:r>
        <w:rPr>
          <w:rFonts w:ascii="Times New Roman" w:hAnsi="Times New Roman" w:cs="Times New Roman"/>
          <w:sz w:val="22"/>
          <w:szCs w:val="22"/>
        </w:rPr>
        <w:t>.</w:t>
      </w:r>
    </w:p>
  </w:footnote>
  <w:footnote w:id="2">
    <w:p w:rsidR="00F11614" w:rsidRPr="00632D2E" w:rsidRDefault="00F11614" w:rsidP="007376EF">
      <w:pPr>
        <w:pStyle w:val="a7"/>
        <w:jc w:val="both"/>
        <w:rPr>
          <w:rFonts w:ascii="Times New Roman" w:hAnsi="Times New Roman" w:cs="Times New Roman"/>
          <w:sz w:val="22"/>
          <w:szCs w:val="22"/>
        </w:rPr>
      </w:pPr>
      <w:r w:rsidRPr="00632D2E">
        <w:rPr>
          <w:rStyle w:val="a6"/>
          <w:rFonts w:ascii="Times New Roman" w:hAnsi="Times New Roman" w:cs="Times New Roman"/>
          <w:sz w:val="22"/>
          <w:szCs w:val="22"/>
        </w:rPr>
        <w:footnoteRef/>
      </w:r>
      <w:r w:rsidRPr="00632D2E">
        <w:rPr>
          <w:rFonts w:ascii="Times New Roman" w:hAnsi="Times New Roman" w:cs="Times New Roman"/>
          <w:sz w:val="22"/>
          <w:szCs w:val="22"/>
        </w:rPr>
        <w:t xml:space="preserve"> - сведения о доходах и расходах, подтвержденные данными Книги учета доходов и расходов организаций и индивидуальных предпринимателей; данные о движении денежных средств; справки об открытых расчетных (текущих) счетах в кредитных организациях, выданные или подтвержденные налоговым органом, либо выписки с банковских счетов об остатках денежных средств на счетах в иных кредитных организациях, выданные и подтвержденные кредитными организациями;</w:t>
      </w:r>
    </w:p>
    <w:p w:rsidR="00F11614" w:rsidRPr="00632D2E" w:rsidRDefault="00F11614" w:rsidP="007376EF">
      <w:pPr>
        <w:pStyle w:val="a7"/>
        <w:jc w:val="both"/>
        <w:rPr>
          <w:rFonts w:ascii="Times New Roman" w:hAnsi="Times New Roman" w:cs="Times New Roman"/>
          <w:sz w:val="22"/>
          <w:szCs w:val="22"/>
        </w:rPr>
      </w:pPr>
      <w:r w:rsidRPr="00632D2E">
        <w:rPr>
          <w:rFonts w:ascii="Times New Roman" w:hAnsi="Times New Roman" w:cs="Times New Roman"/>
          <w:sz w:val="22"/>
          <w:szCs w:val="22"/>
        </w:rPr>
        <w:t>- свидетельство об уплате единого налога на вмененный доход.</w:t>
      </w:r>
    </w:p>
  </w:footnote>
  <w:footnote w:id="3">
    <w:p w:rsidR="004C2524" w:rsidRPr="00632D2E" w:rsidRDefault="004C2524">
      <w:pPr>
        <w:pStyle w:val="a7"/>
        <w:rPr>
          <w:rFonts w:ascii="Times New Roman" w:hAnsi="Times New Roman" w:cs="Times New Roman"/>
          <w:sz w:val="22"/>
          <w:szCs w:val="22"/>
        </w:rPr>
      </w:pPr>
      <w:r w:rsidRPr="00632D2E">
        <w:rPr>
          <w:rStyle w:val="a6"/>
          <w:rFonts w:ascii="Times New Roman" w:hAnsi="Times New Roman" w:cs="Times New Roman"/>
          <w:sz w:val="22"/>
          <w:szCs w:val="22"/>
        </w:rPr>
        <w:footnoteRef/>
      </w:r>
      <w:r w:rsidRPr="00632D2E">
        <w:rPr>
          <w:rFonts w:ascii="Times New Roman" w:hAnsi="Times New Roman" w:cs="Times New Roman"/>
          <w:sz w:val="22"/>
          <w:szCs w:val="22"/>
        </w:rPr>
        <w:t xml:space="preserve"> Положение Банка России от 16.12.2003 № 242-П «Об организации внутреннего контроля в кредитных организациях и банковских группах»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98A"/>
    <w:multiLevelType w:val="multilevel"/>
    <w:tmpl w:val="4C441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1" w15:restartNumberingAfterBreak="0">
    <w:nsid w:val="09A645C0"/>
    <w:multiLevelType w:val="hybridMultilevel"/>
    <w:tmpl w:val="C31A39B2"/>
    <w:lvl w:ilvl="0" w:tplc="2F423CF4">
      <w:start w:val="1"/>
      <w:numFmt w:val="decimal"/>
      <w:lvlText w:val="%1."/>
      <w:lvlJc w:val="left"/>
      <w:pPr>
        <w:ind w:left="1316" w:hanging="360"/>
      </w:pPr>
      <w:rPr>
        <w:rFonts w:hint="default"/>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2" w15:restartNumberingAfterBreak="0">
    <w:nsid w:val="0E492616"/>
    <w:multiLevelType w:val="multilevel"/>
    <w:tmpl w:val="4C441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3" w15:restartNumberingAfterBreak="0">
    <w:nsid w:val="12B85BE3"/>
    <w:multiLevelType w:val="hybridMultilevel"/>
    <w:tmpl w:val="B35A03B2"/>
    <w:lvl w:ilvl="0" w:tplc="07FE1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8F81671"/>
    <w:multiLevelType w:val="hybridMultilevel"/>
    <w:tmpl w:val="F8FC7B4A"/>
    <w:lvl w:ilvl="0" w:tplc="D608A1BA">
      <w:start w:val="9"/>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2B869CC"/>
    <w:multiLevelType w:val="multilevel"/>
    <w:tmpl w:val="4C441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6" w15:restartNumberingAfterBreak="0">
    <w:nsid w:val="35A07BA2"/>
    <w:multiLevelType w:val="multilevel"/>
    <w:tmpl w:val="4C441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7" w15:restartNumberingAfterBreak="0">
    <w:nsid w:val="36D24A03"/>
    <w:multiLevelType w:val="hybridMultilevel"/>
    <w:tmpl w:val="F6AE1A1A"/>
    <w:lvl w:ilvl="0" w:tplc="004CA2D2">
      <w:start w:val="4"/>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15:restartNumberingAfterBreak="0">
    <w:nsid w:val="430272F2"/>
    <w:multiLevelType w:val="hybridMultilevel"/>
    <w:tmpl w:val="0B32CC02"/>
    <w:lvl w:ilvl="0" w:tplc="AFB08210">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9" w15:restartNumberingAfterBreak="0">
    <w:nsid w:val="4C56434D"/>
    <w:multiLevelType w:val="hybridMultilevel"/>
    <w:tmpl w:val="B502AF98"/>
    <w:lvl w:ilvl="0" w:tplc="2F08B66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0C179B"/>
    <w:multiLevelType w:val="multilevel"/>
    <w:tmpl w:val="4C441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11" w15:restartNumberingAfterBreak="0">
    <w:nsid w:val="5B440705"/>
    <w:multiLevelType w:val="hybridMultilevel"/>
    <w:tmpl w:val="7B448240"/>
    <w:lvl w:ilvl="0" w:tplc="BF4EC4CC">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BB33527"/>
    <w:multiLevelType w:val="hybridMultilevel"/>
    <w:tmpl w:val="8F6EF7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C89008D"/>
    <w:multiLevelType w:val="hybridMultilevel"/>
    <w:tmpl w:val="6C6E5310"/>
    <w:lvl w:ilvl="0" w:tplc="883833E0">
      <w:start w:val="1"/>
      <w:numFmt w:val="decimal"/>
      <w:lvlText w:val="%1."/>
      <w:lvlJc w:val="left"/>
      <w:pPr>
        <w:ind w:left="1676" w:hanging="360"/>
      </w:pPr>
      <w:rPr>
        <w:rFonts w:hint="default"/>
      </w:rPr>
    </w:lvl>
    <w:lvl w:ilvl="1" w:tplc="04190019" w:tentative="1">
      <w:start w:val="1"/>
      <w:numFmt w:val="lowerLetter"/>
      <w:lvlText w:val="%2."/>
      <w:lvlJc w:val="left"/>
      <w:pPr>
        <w:ind w:left="2396" w:hanging="360"/>
      </w:pPr>
    </w:lvl>
    <w:lvl w:ilvl="2" w:tplc="0419001B" w:tentative="1">
      <w:start w:val="1"/>
      <w:numFmt w:val="lowerRoman"/>
      <w:lvlText w:val="%3."/>
      <w:lvlJc w:val="right"/>
      <w:pPr>
        <w:ind w:left="3116" w:hanging="180"/>
      </w:pPr>
    </w:lvl>
    <w:lvl w:ilvl="3" w:tplc="0419000F" w:tentative="1">
      <w:start w:val="1"/>
      <w:numFmt w:val="decimal"/>
      <w:lvlText w:val="%4."/>
      <w:lvlJc w:val="left"/>
      <w:pPr>
        <w:ind w:left="3836" w:hanging="360"/>
      </w:pPr>
    </w:lvl>
    <w:lvl w:ilvl="4" w:tplc="04190019" w:tentative="1">
      <w:start w:val="1"/>
      <w:numFmt w:val="lowerLetter"/>
      <w:lvlText w:val="%5."/>
      <w:lvlJc w:val="left"/>
      <w:pPr>
        <w:ind w:left="4556" w:hanging="360"/>
      </w:pPr>
    </w:lvl>
    <w:lvl w:ilvl="5" w:tplc="0419001B" w:tentative="1">
      <w:start w:val="1"/>
      <w:numFmt w:val="lowerRoman"/>
      <w:lvlText w:val="%6."/>
      <w:lvlJc w:val="right"/>
      <w:pPr>
        <w:ind w:left="5276" w:hanging="180"/>
      </w:pPr>
    </w:lvl>
    <w:lvl w:ilvl="6" w:tplc="0419000F" w:tentative="1">
      <w:start w:val="1"/>
      <w:numFmt w:val="decimal"/>
      <w:lvlText w:val="%7."/>
      <w:lvlJc w:val="left"/>
      <w:pPr>
        <w:ind w:left="5996" w:hanging="360"/>
      </w:pPr>
    </w:lvl>
    <w:lvl w:ilvl="7" w:tplc="04190019" w:tentative="1">
      <w:start w:val="1"/>
      <w:numFmt w:val="lowerLetter"/>
      <w:lvlText w:val="%8."/>
      <w:lvlJc w:val="left"/>
      <w:pPr>
        <w:ind w:left="6716" w:hanging="360"/>
      </w:pPr>
    </w:lvl>
    <w:lvl w:ilvl="8" w:tplc="0419001B" w:tentative="1">
      <w:start w:val="1"/>
      <w:numFmt w:val="lowerRoman"/>
      <w:lvlText w:val="%9."/>
      <w:lvlJc w:val="right"/>
      <w:pPr>
        <w:ind w:left="7436" w:hanging="180"/>
      </w:pPr>
    </w:lvl>
  </w:abstractNum>
  <w:abstractNum w:abstractNumId="14" w15:restartNumberingAfterBreak="0">
    <w:nsid w:val="77EB5531"/>
    <w:multiLevelType w:val="multilevel"/>
    <w:tmpl w:val="4C441B5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num w:numId="1">
    <w:abstractNumId w:val="2"/>
  </w:num>
  <w:num w:numId="2">
    <w:abstractNumId w:val="0"/>
  </w:num>
  <w:num w:numId="3">
    <w:abstractNumId w:val="5"/>
  </w:num>
  <w:num w:numId="4">
    <w:abstractNumId w:val="6"/>
  </w:num>
  <w:num w:numId="5">
    <w:abstractNumId w:val="14"/>
  </w:num>
  <w:num w:numId="6">
    <w:abstractNumId w:val="12"/>
  </w:num>
  <w:num w:numId="7">
    <w:abstractNumId w:val="10"/>
  </w:num>
  <w:num w:numId="8">
    <w:abstractNumId w:val="11"/>
  </w:num>
  <w:num w:numId="9">
    <w:abstractNumId w:val="3"/>
  </w:num>
  <w:num w:numId="10">
    <w:abstractNumId w:val="4"/>
  </w:num>
  <w:num w:numId="11">
    <w:abstractNumId w:val="8"/>
  </w:num>
  <w:num w:numId="12">
    <w:abstractNumId w:val="1"/>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3E"/>
    <w:rsid w:val="000421FB"/>
    <w:rsid w:val="0004688E"/>
    <w:rsid w:val="0006146E"/>
    <w:rsid w:val="00061F02"/>
    <w:rsid w:val="000A3909"/>
    <w:rsid w:val="000B05C3"/>
    <w:rsid w:val="000C27F4"/>
    <w:rsid w:val="000E0811"/>
    <w:rsid w:val="000E2BEB"/>
    <w:rsid w:val="000F0992"/>
    <w:rsid w:val="000F1A93"/>
    <w:rsid w:val="0010796E"/>
    <w:rsid w:val="00134D47"/>
    <w:rsid w:val="00160F28"/>
    <w:rsid w:val="001866B4"/>
    <w:rsid w:val="001B5A52"/>
    <w:rsid w:val="001C121A"/>
    <w:rsid w:val="001E1E12"/>
    <w:rsid w:val="0020656C"/>
    <w:rsid w:val="00283053"/>
    <w:rsid w:val="00285D15"/>
    <w:rsid w:val="00292FD3"/>
    <w:rsid w:val="0029504C"/>
    <w:rsid w:val="002B59D8"/>
    <w:rsid w:val="002B795D"/>
    <w:rsid w:val="002E1319"/>
    <w:rsid w:val="002E391E"/>
    <w:rsid w:val="002F6E5A"/>
    <w:rsid w:val="003124FF"/>
    <w:rsid w:val="00324431"/>
    <w:rsid w:val="0032472F"/>
    <w:rsid w:val="003277FB"/>
    <w:rsid w:val="003321FF"/>
    <w:rsid w:val="003416AD"/>
    <w:rsid w:val="00347174"/>
    <w:rsid w:val="003544E3"/>
    <w:rsid w:val="003A4662"/>
    <w:rsid w:val="003E0859"/>
    <w:rsid w:val="00401A9A"/>
    <w:rsid w:val="00403671"/>
    <w:rsid w:val="004908CB"/>
    <w:rsid w:val="004B4F5B"/>
    <w:rsid w:val="004C2524"/>
    <w:rsid w:val="00502E72"/>
    <w:rsid w:val="00520A6F"/>
    <w:rsid w:val="00520DB1"/>
    <w:rsid w:val="00533E44"/>
    <w:rsid w:val="00564F6B"/>
    <w:rsid w:val="0056669A"/>
    <w:rsid w:val="005A7738"/>
    <w:rsid w:val="005B6FC0"/>
    <w:rsid w:val="005D51E9"/>
    <w:rsid w:val="005E6EC3"/>
    <w:rsid w:val="00632D2E"/>
    <w:rsid w:val="0064433E"/>
    <w:rsid w:val="006660A5"/>
    <w:rsid w:val="00676C29"/>
    <w:rsid w:val="006801F1"/>
    <w:rsid w:val="00696B46"/>
    <w:rsid w:val="006A2F8B"/>
    <w:rsid w:val="006C0241"/>
    <w:rsid w:val="006C61F6"/>
    <w:rsid w:val="006D1F6E"/>
    <w:rsid w:val="006E3600"/>
    <w:rsid w:val="006F19EF"/>
    <w:rsid w:val="00730E3E"/>
    <w:rsid w:val="007376EF"/>
    <w:rsid w:val="00740EA2"/>
    <w:rsid w:val="0074178E"/>
    <w:rsid w:val="007645AD"/>
    <w:rsid w:val="00787E32"/>
    <w:rsid w:val="007A03B1"/>
    <w:rsid w:val="007A0FD6"/>
    <w:rsid w:val="007A4A4E"/>
    <w:rsid w:val="007B688F"/>
    <w:rsid w:val="007C365C"/>
    <w:rsid w:val="007F3A21"/>
    <w:rsid w:val="0080468E"/>
    <w:rsid w:val="00810363"/>
    <w:rsid w:val="008449B5"/>
    <w:rsid w:val="00875453"/>
    <w:rsid w:val="008807D2"/>
    <w:rsid w:val="008906FF"/>
    <w:rsid w:val="00891E3C"/>
    <w:rsid w:val="008C461B"/>
    <w:rsid w:val="008D4579"/>
    <w:rsid w:val="008F15A0"/>
    <w:rsid w:val="00901693"/>
    <w:rsid w:val="009051C3"/>
    <w:rsid w:val="009139AC"/>
    <w:rsid w:val="009B2199"/>
    <w:rsid w:val="009C5156"/>
    <w:rsid w:val="009E5E4A"/>
    <w:rsid w:val="00A01F2A"/>
    <w:rsid w:val="00A40385"/>
    <w:rsid w:val="00A620B3"/>
    <w:rsid w:val="00A6622A"/>
    <w:rsid w:val="00A905B7"/>
    <w:rsid w:val="00A90730"/>
    <w:rsid w:val="00AC6120"/>
    <w:rsid w:val="00AD5FEB"/>
    <w:rsid w:val="00AE600D"/>
    <w:rsid w:val="00B00CCB"/>
    <w:rsid w:val="00B26817"/>
    <w:rsid w:val="00B370C6"/>
    <w:rsid w:val="00B43578"/>
    <w:rsid w:val="00B61A2F"/>
    <w:rsid w:val="00B629C2"/>
    <w:rsid w:val="00BA11C1"/>
    <w:rsid w:val="00BA67A0"/>
    <w:rsid w:val="00BB071B"/>
    <w:rsid w:val="00BB7135"/>
    <w:rsid w:val="00BC13F5"/>
    <w:rsid w:val="00BC4677"/>
    <w:rsid w:val="00BD2950"/>
    <w:rsid w:val="00BD69AE"/>
    <w:rsid w:val="00BF077C"/>
    <w:rsid w:val="00BF1AB4"/>
    <w:rsid w:val="00BF4A16"/>
    <w:rsid w:val="00C02706"/>
    <w:rsid w:val="00C26567"/>
    <w:rsid w:val="00C34FEF"/>
    <w:rsid w:val="00C5652F"/>
    <w:rsid w:val="00C6271C"/>
    <w:rsid w:val="00C65D43"/>
    <w:rsid w:val="00C7233F"/>
    <w:rsid w:val="00C97B6B"/>
    <w:rsid w:val="00CC31AB"/>
    <w:rsid w:val="00CC6F86"/>
    <w:rsid w:val="00CD4726"/>
    <w:rsid w:val="00D00D0D"/>
    <w:rsid w:val="00D15E94"/>
    <w:rsid w:val="00D21829"/>
    <w:rsid w:val="00D62700"/>
    <w:rsid w:val="00D650D3"/>
    <w:rsid w:val="00D80469"/>
    <w:rsid w:val="00D86B03"/>
    <w:rsid w:val="00DA10CC"/>
    <w:rsid w:val="00DB3F13"/>
    <w:rsid w:val="00DE66EF"/>
    <w:rsid w:val="00DF22E6"/>
    <w:rsid w:val="00DF3DAB"/>
    <w:rsid w:val="00DF74D3"/>
    <w:rsid w:val="00DF7B5F"/>
    <w:rsid w:val="00E21282"/>
    <w:rsid w:val="00E76844"/>
    <w:rsid w:val="00E84E71"/>
    <w:rsid w:val="00E94E5C"/>
    <w:rsid w:val="00EB0EAB"/>
    <w:rsid w:val="00EF09EA"/>
    <w:rsid w:val="00F11614"/>
    <w:rsid w:val="00F11FA2"/>
    <w:rsid w:val="00F11FD9"/>
    <w:rsid w:val="00F1605A"/>
    <w:rsid w:val="00F266D9"/>
    <w:rsid w:val="00F52E00"/>
    <w:rsid w:val="00FC016D"/>
    <w:rsid w:val="00FC19DD"/>
    <w:rsid w:val="00FC4FF9"/>
    <w:rsid w:val="00FE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1B686-B8F9-4893-9C7D-DB7F8E96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90730"/>
    <w:pPr>
      <w:ind w:left="720"/>
      <w:contextualSpacing/>
    </w:pPr>
  </w:style>
  <w:style w:type="character" w:customStyle="1" w:styleId="a5">
    <w:name w:val="Абзац списка Знак"/>
    <w:basedOn w:val="a0"/>
    <w:link w:val="a4"/>
    <w:uiPriority w:val="34"/>
    <w:locked/>
    <w:rsid w:val="00A90730"/>
  </w:style>
  <w:style w:type="character" w:styleId="a6">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ftre,Текст сноски Знак1 Знак Знак Знак1"/>
    <w:basedOn w:val="a0"/>
    <w:unhideWhenUsed/>
    <w:qFormat/>
    <w:rsid w:val="00A90730"/>
    <w:rPr>
      <w:vertAlign w:val="superscript"/>
    </w:rPr>
  </w:style>
  <w:style w:type="paragraph" w:styleId="a7">
    <w:name w:val="footnote text"/>
    <w:aliases w:val="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1,Текст сноски Знак Знак,Текст сноски Знак11, Знак2,Знак2,З,Текст сноски Зн"/>
    <w:basedOn w:val="a"/>
    <w:link w:val="a8"/>
    <w:unhideWhenUsed/>
    <w:rsid w:val="00A90730"/>
    <w:pPr>
      <w:spacing w:after="0" w:line="240" w:lineRule="auto"/>
    </w:pPr>
    <w:rPr>
      <w:sz w:val="20"/>
      <w:szCs w:val="20"/>
    </w:rPr>
  </w:style>
  <w:style w:type="character" w:customStyle="1" w:styleId="a8">
    <w:name w:val="Текст сноски Знак"/>
    <w:aliases w:val="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1 Знак1,Текст сноски Знак Знак Знак2"/>
    <w:basedOn w:val="a0"/>
    <w:link w:val="a7"/>
    <w:rsid w:val="00A90730"/>
    <w:rPr>
      <w:sz w:val="20"/>
      <w:szCs w:val="20"/>
    </w:rPr>
  </w:style>
  <w:style w:type="paragraph" w:styleId="HTML">
    <w:name w:val="HTML Preformatted"/>
    <w:basedOn w:val="a"/>
    <w:link w:val="HTML0"/>
    <w:uiPriority w:val="99"/>
    <w:semiHidden/>
    <w:unhideWhenUsed/>
    <w:rsid w:val="004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1A9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F4A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4A16"/>
    <w:rPr>
      <w:rFonts w:ascii="Segoe UI" w:hAnsi="Segoe UI" w:cs="Segoe UI"/>
      <w:sz w:val="18"/>
      <w:szCs w:val="18"/>
    </w:rPr>
  </w:style>
  <w:style w:type="character" w:customStyle="1" w:styleId="ab">
    <w:name w:val="Основной текст_"/>
    <w:basedOn w:val="a0"/>
    <w:link w:val="1"/>
    <w:locked/>
    <w:rsid w:val="00BB071B"/>
    <w:rPr>
      <w:rFonts w:ascii="Verdana" w:eastAsia="Verdana" w:hAnsi="Verdana" w:cs="Verdana"/>
      <w:shd w:val="clear" w:color="auto" w:fill="FFFFFF"/>
    </w:rPr>
  </w:style>
  <w:style w:type="paragraph" w:customStyle="1" w:styleId="1">
    <w:name w:val="Основной текст1"/>
    <w:basedOn w:val="a"/>
    <w:link w:val="ab"/>
    <w:rsid w:val="00BB071B"/>
    <w:pPr>
      <w:widowControl w:val="0"/>
      <w:shd w:val="clear" w:color="auto" w:fill="FFFFFF"/>
      <w:spacing w:after="0" w:line="240" w:lineRule="auto"/>
      <w:jc w:val="both"/>
    </w:pPr>
    <w:rPr>
      <w:rFonts w:ascii="Verdana" w:eastAsia="Verdana" w:hAnsi="Verdana" w:cs="Verdana"/>
    </w:rPr>
  </w:style>
  <w:style w:type="character" w:customStyle="1" w:styleId="blk">
    <w:name w:val="blk"/>
    <w:basedOn w:val="a0"/>
    <w:rsid w:val="004C2524"/>
    <w:rPr>
      <w:vanish w:val="0"/>
      <w:webHidden w:val="0"/>
      <w:specVanish w:val="0"/>
    </w:rPr>
  </w:style>
  <w:style w:type="paragraph" w:styleId="ac">
    <w:name w:val="header"/>
    <w:basedOn w:val="a"/>
    <w:link w:val="ad"/>
    <w:uiPriority w:val="99"/>
    <w:unhideWhenUsed/>
    <w:rsid w:val="00DF74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74D3"/>
  </w:style>
  <w:style w:type="paragraph" w:styleId="ae">
    <w:name w:val="footer"/>
    <w:basedOn w:val="a"/>
    <w:link w:val="af"/>
    <w:uiPriority w:val="99"/>
    <w:unhideWhenUsed/>
    <w:rsid w:val="00DF74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6479">
      <w:bodyDiv w:val="1"/>
      <w:marLeft w:val="0"/>
      <w:marRight w:val="0"/>
      <w:marTop w:val="0"/>
      <w:marBottom w:val="0"/>
      <w:divBdr>
        <w:top w:val="none" w:sz="0" w:space="0" w:color="auto"/>
        <w:left w:val="none" w:sz="0" w:space="0" w:color="auto"/>
        <w:bottom w:val="none" w:sz="0" w:space="0" w:color="auto"/>
        <w:right w:val="none" w:sz="0" w:space="0" w:color="auto"/>
      </w:divBdr>
      <w:divsChild>
        <w:div w:id="77751723">
          <w:marLeft w:val="0"/>
          <w:marRight w:val="0"/>
          <w:marTop w:val="0"/>
          <w:marBottom w:val="0"/>
          <w:divBdr>
            <w:top w:val="none" w:sz="0" w:space="0" w:color="auto"/>
            <w:left w:val="none" w:sz="0" w:space="0" w:color="auto"/>
            <w:bottom w:val="none" w:sz="0" w:space="0" w:color="auto"/>
            <w:right w:val="none" w:sz="0" w:space="0" w:color="auto"/>
          </w:divBdr>
        </w:div>
      </w:divsChild>
    </w:div>
    <w:div w:id="329719196">
      <w:bodyDiv w:val="1"/>
      <w:marLeft w:val="0"/>
      <w:marRight w:val="0"/>
      <w:marTop w:val="0"/>
      <w:marBottom w:val="0"/>
      <w:divBdr>
        <w:top w:val="none" w:sz="0" w:space="0" w:color="auto"/>
        <w:left w:val="none" w:sz="0" w:space="0" w:color="auto"/>
        <w:bottom w:val="none" w:sz="0" w:space="0" w:color="auto"/>
        <w:right w:val="none" w:sz="0" w:space="0" w:color="auto"/>
      </w:divBdr>
    </w:div>
    <w:div w:id="658772109">
      <w:bodyDiv w:val="1"/>
      <w:marLeft w:val="0"/>
      <w:marRight w:val="0"/>
      <w:marTop w:val="0"/>
      <w:marBottom w:val="0"/>
      <w:divBdr>
        <w:top w:val="none" w:sz="0" w:space="0" w:color="auto"/>
        <w:left w:val="none" w:sz="0" w:space="0" w:color="auto"/>
        <w:bottom w:val="none" w:sz="0" w:space="0" w:color="auto"/>
        <w:right w:val="none" w:sz="0" w:space="0" w:color="auto"/>
      </w:divBdr>
      <w:divsChild>
        <w:div w:id="1741099010">
          <w:marLeft w:val="0"/>
          <w:marRight w:val="0"/>
          <w:marTop w:val="0"/>
          <w:marBottom w:val="0"/>
          <w:divBdr>
            <w:top w:val="none" w:sz="0" w:space="0" w:color="auto"/>
            <w:left w:val="none" w:sz="0" w:space="0" w:color="auto"/>
            <w:bottom w:val="none" w:sz="0" w:space="0" w:color="auto"/>
            <w:right w:val="none" w:sz="0" w:space="0" w:color="auto"/>
          </w:divBdr>
        </w:div>
      </w:divsChild>
    </w:div>
    <w:div w:id="661543030">
      <w:bodyDiv w:val="1"/>
      <w:marLeft w:val="0"/>
      <w:marRight w:val="0"/>
      <w:marTop w:val="0"/>
      <w:marBottom w:val="0"/>
      <w:divBdr>
        <w:top w:val="none" w:sz="0" w:space="0" w:color="auto"/>
        <w:left w:val="none" w:sz="0" w:space="0" w:color="auto"/>
        <w:bottom w:val="none" w:sz="0" w:space="0" w:color="auto"/>
        <w:right w:val="none" w:sz="0" w:space="0" w:color="auto"/>
      </w:divBdr>
    </w:div>
    <w:div w:id="802498568">
      <w:bodyDiv w:val="1"/>
      <w:marLeft w:val="0"/>
      <w:marRight w:val="0"/>
      <w:marTop w:val="0"/>
      <w:marBottom w:val="0"/>
      <w:divBdr>
        <w:top w:val="none" w:sz="0" w:space="0" w:color="auto"/>
        <w:left w:val="none" w:sz="0" w:space="0" w:color="auto"/>
        <w:bottom w:val="none" w:sz="0" w:space="0" w:color="auto"/>
        <w:right w:val="none" w:sz="0" w:space="0" w:color="auto"/>
      </w:divBdr>
      <w:divsChild>
        <w:div w:id="1392120234">
          <w:marLeft w:val="0"/>
          <w:marRight w:val="0"/>
          <w:marTop w:val="0"/>
          <w:marBottom w:val="0"/>
          <w:divBdr>
            <w:top w:val="none" w:sz="0" w:space="0" w:color="auto"/>
            <w:left w:val="none" w:sz="0" w:space="0" w:color="auto"/>
            <w:bottom w:val="none" w:sz="0" w:space="0" w:color="auto"/>
            <w:right w:val="none" w:sz="0" w:space="0" w:color="auto"/>
          </w:divBdr>
        </w:div>
      </w:divsChild>
    </w:div>
    <w:div w:id="1384525582">
      <w:bodyDiv w:val="1"/>
      <w:marLeft w:val="0"/>
      <w:marRight w:val="0"/>
      <w:marTop w:val="0"/>
      <w:marBottom w:val="0"/>
      <w:divBdr>
        <w:top w:val="none" w:sz="0" w:space="0" w:color="auto"/>
        <w:left w:val="none" w:sz="0" w:space="0" w:color="auto"/>
        <w:bottom w:val="none" w:sz="0" w:space="0" w:color="auto"/>
        <w:right w:val="none" w:sz="0" w:space="0" w:color="auto"/>
      </w:divBdr>
      <w:divsChild>
        <w:div w:id="876746567">
          <w:marLeft w:val="0"/>
          <w:marRight w:val="0"/>
          <w:marTop w:val="0"/>
          <w:marBottom w:val="0"/>
          <w:divBdr>
            <w:top w:val="none" w:sz="0" w:space="0" w:color="auto"/>
            <w:left w:val="none" w:sz="0" w:space="0" w:color="auto"/>
            <w:bottom w:val="none" w:sz="0" w:space="0" w:color="auto"/>
            <w:right w:val="none" w:sz="0" w:space="0" w:color="auto"/>
          </w:divBdr>
        </w:div>
        <w:div w:id="299117604">
          <w:marLeft w:val="0"/>
          <w:marRight w:val="0"/>
          <w:marTop w:val="0"/>
          <w:marBottom w:val="0"/>
          <w:divBdr>
            <w:top w:val="none" w:sz="0" w:space="0" w:color="auto"/>
            <w:left w:val="none" w:sz="0" w:space="0" w:color="auto"/>
            <w:bottom w:val="none" w:sz="0" w:space="0" w:color="auto"/>
            <w:right w:val="none" w:sz="0" w:space="0" w:color="auto"/>
          </w:divBdr>
        </w:div>
        <w:div w:id="1004475835">
          <w:marLeft w:val="0"/>
          <w:marRight w:val="0"/>
          <w:marTop w:val="0"/>
          <w:marBottom w:val="0"/>
          <w:divBdr>
            <w:top w:val="none" w:sz="0" w:space="0" w:color="auto"/>
            <w:left w:val="none" w:sz="0" w:space="0" w:color="auto"/>
            <w:bottom w:val="none" w:sz="0" w:space="0" w:color="auto"/>
            <w:right w:val="none" w:sz="0" w:space="0" w:color="auto"/>
          </w:divBdr>
          <w:divsChild>
            <w:div w:id="148862856">
              <w:marLeft w:val="0"/>
              <w:marRight w:val="0"/>
              <w:marTop w:val="0"/>
              <w:marBottom w:val="0"/>
              <w:divBdr>
                <w:top w:val="none" w:sz="0" w:space="0" w:color="auto"/>
                <w:left w:val="none" w:sz="0" w:space="0" w:color="auto"/>
                <w:bottom w:val="none" w:sz="0" w:space="0" w:color="auto"/>
                <w:right w:val="none" w:sz="0" w:space="0" w:color="auto"/>
              </w:divBdr>
            </w:div>
          </w:divsChild>
        </w:div>
        <w:div w:id="877546334">
          <w:marLeft w:val="0"/>
          <w:marRight w:val="0"/>
          <w:marTop w:val="0"/>
          <w:marBottom w:val="0"/>
          <w:divBdr>
            <w:top w:val="none" w:sz="0" w:space="0" w:color="auto"/>
            <w:left w:val="none" w:sz="0" w:space="0" w:color="auto"/>
            <w:bottom w:val="none" w:sz="0" w:space="0" w:color="auto"/>
            <w:right w:val="none" w:sz="0" w:space="0" w:color="auto"/>
          </w:divBdr>
        </w:div>
        <w:div w:id="1707431">
          <w:marLeft w:val="0"/>
          <w:marRight w:val="0"/>
          <w:marTop w:val="0"/>
          <w:marBottom w:val="0"/>
          <w:divBdr>
            <w:top w:val="none" w:sz="0" w:space="0" w:color="auto"/>
            <w:left w:val="none" w:sz="0" w:space="0" w:color="auto"/>
            <w:bottom w:val="none" w:sz="0" w:space="0" w:color="auto"/>
            <w:right w:val="none" w:sz="0" w:space="0" w:color="auto"/>
          </w:divBdr>
        </w:div>
        <w:div w:id="1437675488">
          <w:marLeft w:val="0"/>
          <w:marRight w:val="0"/>
          <w:marTop w:val="0"/>
          <w:marBottom w:val="0"/>
          <w:divBdr>
            <w:top w:val="none" w:sz="0" w:space="0" w:color="auto"/>
            <w:left w:val="none" w:sz="0" w:space="0" w:color="auto"/>
            <w:bottom w:val="none" w:sz="0" w:space="0" w:color="auto"/>
            <w:right w:val="none" w:sz="0" w:space="0" w:color="auto"/>
          </w:divBdr>
        </w:div>
        <w:div w:id="1129592661">
          <w:marLeft w:val="0"/>
          <w:marRight w:val="0"/>
          <w:marTop w:val="0"/>
          <w:marBottom w:val="0"/>
          <w:divBdr>
            <w:top w:val="none" w:sz="0" w:space="0" w:color="auto"/>
            <w:left w:val="none" w:sz="0" w:space="0" w:color="auto"/>
            <w:bottom w:val="none" w:sz="0" w:space="0" w:color="auto"/>
            <w:right w:val="none" w:sz="0" w:space="0" w:color="auto"/>
          </w:divBdr>
        </w:div>
      </w:divsChild>
    </w:div>
    <w:div w:id="1524318466">
      <w:bodyDiv w:val="1"/>
      <w:marLeft w:val="0"/>
      <w:marRight w:val="0"/>
      <w:marTop w:val="0"/>
      <w:marBottom w:val="0"/>
      <w:divBdr>
        <w:top w:val="none" w:sz="0" w:space="0" w:color="auto"/>
        <w:left w:val="none" w:sz="0" w:space="0" w:color="auto"/>
        <w:bottom w:val="none" w:sz="0" w:space="0" w:color="auto"/>
        <w:right w:val="none" w:sz="0" w:space="0" w:color="auto"/>
      </w:divBdr>
      <w:divsChild>
        <w:div w:id="1419794170">
          <w:marLeft w:val="0"/>
          <w:marRight w:val="0"/>
          <w:marTop w:val="0"/>
          <w:marBottom w:val="0"/>
          <w:divBdr>
            <w:top w:val="none" w:sz="0" w:space="0" w:color="auto"/>
            <w:left w:val="none" w:sz="0" w:space="0" w:color="auto"/>
            <w:bottom w:val="none" w:sz="0" w:space="0" w:color="auto"/>
            <w:right w:val="none" w:sz="0" w:space="0" w:color="auto"/>
          </w:divBdr>
          <w:divsChild>
            <w:div w:id="646663826">
              <w:marLeft w:val="0"/>
              <w:marRight w:val="0"/>
              <w:marTop w:val="0"/>
              <w:marBottom w:val="0"/>
              <w:divBdr>
                <w:top w:val="none" w:sz="0" w:space="0" w:color="auto"/>
                <w:left w:val="none" w:sz="0" w:space="0" w:color="auto"/>
                <w:bottom w:val="none" w:sz="0" w:space="0" w:color="auto"/>
                <w:right w:val="none" w:sz="0" w:space="0" w:color="auto"/>
              </w:divBdr>
              <w:divsChild>
                <w:div w:id="160630248">
                  <w:marLeft w:val="20"/>
                  <w:marRight w:val="0"/>
                  <w:marTop w:val="0"/>
                  <w:marBottom w:val="0"/>
                  <w:divBdr>
                    <w:top w:val="single" w:sz="6" w:space="15" w:color="DCDCDC"/>
                    <w:left w:val="single" w:sz="6" w:space="23" w:color="DCDCDC"/>
                    <w:bottom w:val="single" w:sz="6" w:space="0" w:color="DCDCDC"/>
                    <w:right w:val="single" w:sz="6" w:space="23" w:color="DCDCDC"/>
                  </w:divBdr>
                  <w:divsChild>
                    <w:div w:id="1338001663">
                      <w:marLeft w:val="0"/>
                      <w:marRight w:val="0"/>
                      <w:marTop w:val="0"/>
                      <w:marBottom w:val="0"/>
                      <w:divBdr>
                        <w:top w:val="none" w:sz="0" w:space="0" w:color="auto"/>
                        <w:left w:val="none" w:sz="0" w:space="0" w:color="auto"/>
                        <w:bottom w:val="none" w:sz="0" w:space="0" w:color="auto"/>
                        <w:right w:val="none" w:sz="0" w:space="0" w:color="auto"/>
                      </w:divBdr>
                      <w:divsChild>
                        <w:div w:id="156894556">
                          <w:marLeft w:val="0"/>
                          <w:marRight w:val="0"/>
                          <w:marTop w:val="0"/>
                          <w:marBottom w:val="0"/>
                          <w:divBdr>
                            <w:top w:val="none" w:sz="0" w:space="0" w:color="auto"/>
                            <w:left w:val="none" w:sz="0" w:space="0" w:color="auto"/>
                            <w:bottom w:val="none" w:sz="0" w:space="0" w:color="auto"/>
                            <w:right w:val="none" w:sz="0" w:space="0" w:color="auto"/>
                          </w:divBdr>
                        </w:div>
                        <w:div w:id="6093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8844">
      <w:bodyDiv w:val="1"/>
      <w:marLeft w:val="0"/>
      <w:marRight w:val="0"/>
      <w:marTop w:val="0"/>
      <w:marBottom w:val="0"/>
      <w:divBdr>
        <w:top w:val="none" w:sz="0" w:space="0" w:color="auto"/>
        <w:left w:val="none" w:sz="0" w:space="0" w:color="auto"/>
        <w:bottom w:val="none" w:sz="0" w:space="0" w:color="auto"/>
        <w:right w:val="none" w:sz="0" w:space="0" w:color="auto"/>
      </w:divBdr>
    </w:div>
    <w:div w:id="1736006803">
      <w:bodyDiv w:val="1"/>
      <w:marLeft w:val="0"/>
      <w:marRight w:val="0"/>
      <w:marTop w:val="0"/>
      <w:marBottom w:val="0"/>
      <w:divBdr>
        <w:top w:val="none" w:sz="0" w:space="0" w:color="auto"/>
        <w:left w:val="none" w:sz="0" w:space="0" w:color="auto"/>
        <w:bottom w:val="none" w:sz="0" w:space="0" w:color="auto"/>
        <w:right w:val="none" w:sz="0" w:space="0" w:color="auto"/>
      </w:divBdr>
    </w:div>
    <w:div w:id="1912544360">
      <w:bodyDiv w:val="1"/>
      <w:marLeft w:val="0"/>
      <w:marRight w:val="0"/>
      <w:marTop w:val="0"/>
      <w:marBottom w:val="0"/>
      <w:divBdr>
        <w:top w:val="none" w:sz="0" w:space="0" w:color="auto"/>
        <w:left w:val="none" w:sz="0" w:space="0" w:color="auto"/>
        <w:bottom w:val="none" w:sz="0" w:space="0" w:color="auto"/>
        <w:right w:val="none" w:sz="0" w:space="0" w:color="auto"/>
      </w:divBdr>
      <w:divsChild>
        <w:div w:id="1672220733">
          <w:marLeft w:val="0"/>
          <w:marRight w:val="0"/>
          <w:marTop w:val="0"/>
          <w:marBottom w:val="0"/>
          <w:divBdr>
            <w:top w:val="none" w:sz="0" w:space="0" w:color="auto"/>
            <w:left w:val="none" w:sz="0" w:space="0" w:color="auto"/>
            <w:bottom w:val="none" w:sz="0" w:space="0" w:color="auto"/>
            <w:right w:val="none" w:sz="0" w:space="0" w:color="auto"/>
          </w:divBdr>
        </w:div>
      </w:divsChild>
    </w:div>
    <w:div w:id="2026007124">
      <w:bodyDiv w:val="1"/>
      <w:marLeft w:val="0"/>
      <w:marRight w:val="0"/>
      <w:marTop w:val="0"/>
      <w:marBottom w:val="0"/>
      <w:divBdr>
        <w:top w:val="none" w:sz="0" w:space="0" w:color="auto"/>
        <w:left w:val="none" w:sz="0" w:space="0" w:color="auto"/>
        <w:bottom w:val="none" w:sz="0" w:space="0" w:color="auto"/>
        <w:right w:val="none" w:sz="0" w:space="0" w:color="auto"/>
      </w:divBdr>
      <w:divsChild>
        <w:div w:id="1512062730">
          <w:marLeft w:val="0"/>
          <w:marRight w:val="0"/>
          <w:marTop w:val="0"/>
          <w:marBottom w:val="0"/>
          <w:divBdr>
            <w:top w:val="none" w:sz="0" w:space="0" w:color="auto"/>
            <w:left w:val="none" w:sz="0" w:space="0" w:color="auto"/>
            <w:bottom w:val="none" w:sz="0" w:space="0" w:color="auto"/>
            <w:right w:val="none" w:sz="0" w:space="0" w:color="auto"/>
          </w:divBdr>
        </w:div>
      </w:divsChild>
    </w:div>
    <w:div w:id="21225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CF33-0637-4ECC-8F7E-0F4E9212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Ястребцова Ольга Николаевна</dc:creator>
  <cp:keywords/>
  <dc:description/>
  <cp:lastModifiedBy>Виноградов Владимир Вальтерович</cp:lastModifiedBy>
  <cp:revision>14</cp:revision>
  <cp:lastPrinted>2019-01-24T07:45:00Z</cp:lastPrinted>
  <dcterms:created xsi:type="dcterms:W3CDTF">2019-01-28T06:20:00Z</dcterms:created>
  <dcterms:modified xsi:type="dcterms:W3CDTF">2019-02-22T16:59:00Z</dcterms:modified>
</cp:coreProperties>
</file>