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D77" w:rsidRDefault="00B143F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2409190</wp:posOffset>
                </wp:positionH>
                <wp:positionV relativeFrom="paragraph">
                  <wp:posOffset>22860</wp:posOffset>
                </wp:positionV>
                <wp:extent cx="4632325" cy="11430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23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43FD" w:rsidRPr="00B143FD" w:rsidRDefault="00B143FD" w:rsidP="00B143FD">
                            <w:pPr>
                              <w:tabs>
                                <w:tab w:val="left" w:pos="7938"/>
                              </w:tabs>
                              <w:adjustRightInd w:val="0"/>
                              <w:ind w:right="17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B143FD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Ответы, предоставленные Департаментом </w:t>
                            </w:r>
                            <w:r w:rsidR="00EE080E" w:rsidRPr="00ED62F7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бухгалтерского учета и отчетности</w:t>
                            </w:r>
                            <w:r w:rsidRPr="00B143FD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Банка России, на вопросы, </w:t>
                            </w:r>
                            <w:r w:rsidRPr="00B143F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поступившие в Оргкомитет от участников к </w:t>
                            </w:r>
                            <w:r w:rsidRPr="00B143FD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встрече </w:t>
                            </w:r>
                            <w:r w:rsidRPr="00B143F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руководителей Банка России</w:t>
                            </w:r>
                            <w:r w:rsidRPr="00B143FD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B143F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с руководителями коммерческих банков 1-2 февраля 2018г. в ОПК «БОР»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89.7pt;margin-top:1.8pt;width:364.75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nOXnwIAABYFAAAOAAAAZHJzL2Uyb0RvYy54bWysVM1uEzEQviPxDpbv6f50k2ZX3VS0JQip&#10;/EiFB3C83qyF1za2k92COHDnFXgHDhy48QrpGzH2JmlahIQQe/DanvHnmW++8elZ3wq0ZsZyJUuc&#10;HMUYMUlVxeWyxG/fzEdTjKwjsiJCSVbiG2bx2ezxo9NOFyxVjRIVMwhApC06XeLGOV1EkaUNa4k9&#10;UppJMNbKtMTB0iyjypAO0FsRpXE8iTplKm0UZdbC7uVgxLOAX9eMuld1bZlDosQQmwujCePCj9Hs&#10;lBRLQ3TD6TYM8g9RtIRLuHQPdUkcQSvDf4NqOTXKqtodUdVGqq45ZSEHyCaJH2Rz3RDNQi5AjtV7&#10;muz/g6Uv168N4lWJU4wkaaFEm6+bb5vvm5+bH7efb7+g1HPUaVuA67UGZ9efqx5qHfK1+krRdxZJ&#10;ddEQuWRPjFFdw0gFMSb+ZHRwdMCxHmTRvVAVXEZWTgWgvjatJxAoQYAOtbrZ14f1DlHYzCbH6XE6&#10;xoiCLUmy4zgOFYxIsTuujXXPmGqRn5TYgAACPFlfWefDIcXOxd9mleDVnAsRFma5uBAGrQmIZR6+&#10;kMEDNyG9s1T+2IA47ECUcIe3+XhD8T/mSZrF52k+mk+mJ6Nsno1H+Uk8HcVJfp5P4izPLueffIBJ&#10;VjS8qpi84pLthJhkf1fobUsMEgpSRF2J8zFQFfL6Y5LA3x2F97houYO+FLwt8XTvRApf2aeygrRJ&#10;4QgXwzy6H35gGTjY/QMrQQe+9IMIXL/oAcWLY6GqG1CEUVAvKDs8JjBplPmAUQeNWWL7fkUMw0g8&#10;l6CqPMky38lhkY1PUliYQ8vi0EIkBagSO4yG6YUbun+lDV82cNOgY6megBJrHjRyF9VWv9B8IZnt&#10;Q+G7+3AdvO6es9kvAAAA//8DAFBLAwQUAAYACAAAACEAm9fV/90AAAAKAQAADwAAAGRycy9kb3du&#10;cmV2LnhtbEyPzU7DMBCE70i8g7WVuCDqFEr+iFMBEqjXlj7AJnaTqPE6it0mfXu2J7jN7oxmvy02&#10;s+3FxYy+c6RgtYxAGKqd7qhRcPj5ekpB+ICksXdkFFyNh015f1dgrt1EO3PZh0ZwCfkcFbQhDLmU&#10;vm6NRb90gyH2jm60GHgcG6lHnLjc9vI5imJpsSO+0OJgPltTn/Znq+C4nR5fs6n6Dodkt44/sEsq&#10;d1XqYTG/v4EIZg5/YbjhMzqUzFS5M2kvegUvSbbmKIsYxM1fRWkGomKV8kqWhfz/QvkLAAD//wMA&#10;UEsBAi0AFAAGAAgAAAAhALaDOJL+AAAA4QEAABMAAAAAAAAAAAAAAAAAAAAAAFtDb250ZW50X1R5&#10;cGVzXS54bWxQSwECLQAUAAYACAAAACEAOP0h/9YAAACUAQAACwAAAAAAAAAAAAAAAAAvAQAAX3Jl&#10;bHMvLnJlbHNQSwECLQAUAAYACAAAACEAWlZzl58CAAAWBQAADgAAAAAAAAAAAAAAAAAuAgAAZHJz&#10;L2Uyb0RvYy54bWxQSwECLQAUAAYACAAAACEAm9fV/90AAAAKAQAADwAAAAAAAAAAAAAAAAD5BAAA&#10;ZHJzL2Rvd25yZXYueG1sUEsFBgAAAAAEAAQA8wAAAAMGAAAAAA==&#10;" stroked="f">
                <v:textbox>
                  <w:txbxContent>
                    <w:p w:rsidR="00B143FD" w:rsidRPr="00B143FD" w:rsidRDefault="00B143FD" w:rsidP="00B143FD">
                      <w:pPr>
                        <w:tabs>
                          <w:tab w:val="left" w:pos="7938"/>
                        </w:tabs>
                        <w:adjustRightInd w:val="0"/>
                        <w:ind w:right="174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</w:pPr>
                      <w:r w:rsidRPr="00B143FD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Ответы, предоставленные Департаментом </w:t>
                      </w:r>
                      <w:r w:rsidR="00EE080E" w:rsidRPr="00ED62F7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бухгалтерского учета и отчетности</w:t>
                      </w:r>
                      <w:r w:rsidRPr="00B143FD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Банка России, на вопросы, </w:t>
                      </w:r>
                      <w:r w:rsidRPr="00B143FD"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 xml:space="preserve">поступившие в Оргкомитет от участников к </w:t>
                      </w:r>
                      <w:r w:rsidRPr="00B143FD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встрече </w:t>
                      </w:r>
                      <w:r w:rsidRPr="00B143FD"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руководителей Банка России</w:t>
                      </w:r>
                      <w:r w:rsidRPr="00B143FD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B143FD"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с руководителями коммерческих банков 1-2 февраля 2018г. в ОПК «БОР»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81A94A6" wp14:editId="4EC554C8">
            <wp:extent cx="1447800" cy="120396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80E" w:rsidRDefault="00EE080E" w:rsidP="00EE080E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</w:t>
      </w:r>
      <w:r w:rsidRPr="006A5F04">
        <w:rPr>
          <w:rFonts w:ascii="Times New Roman" w:hAnsi="Times New Roman" w:cs="Times New Roman"/>
          <w:b/>
          <w:sz w:val="26"/>
          <w:szCs w:val="26"/>
        </w:rPr>
        <w:t>недрени</w:t>
      </w:r>
      <w:r>
        <w:rPr>
          <w:rFonts w:ascii="Times New Roman" w:hAnsi="Times New Roman" w:cs="Times New Roman"/>
          <w:b/>
          <w:sz w:val="26"/>
          <w:szCs w:val="26"/>
        </w:rPr>
        <w:t>е</w:t>
      </w:r>
      <w:r w:rsidRPr="006A5F04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в учет </w:t>
      </w:r>
      <w:r w:rsidRPr="006A5F04">
        <w:rPr>
          <w:rFonts w:ascii="Times New Roman" w:hAnsi="Times New Roman" w:cs="Times New Roman"/>
          <w:b/>
          <w:sz w:val="26"/>
          <w:szCs w:val="26"/>
        </w:rPr>
        <w:t xml:space="preserve">МСФО </w:t>
      </w:r>
    </w:p>
    <w:p w:rsidR="00B143FD" w:rsidRPr="00C408F0" w:rsidRDefault="00C408F0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Вопрос</w:t>
      </w:r>
      <w:r w:rsidR="00EE080E">
        <w:rPr>
          <w:rFonts w:ascii="Times New Roman" w:hAnsi="Times New Roman" w:cs="Times New Roman"/>
          <w:b/>
          <w:sz w:val="26"/>
          <w:szCs w:val="26"/>
        </w:rPr>
        <w:t xml:space="preserve"> 1</w:t>
      </w:r>
    </w:p>
    <w:p w:rsidR="00EE080E" w:rsidRDefault="00EE080E" w:rsidP="00EE080E">
      <w:pPr>
        <w:spacing w:after="0" w:line="276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A5F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Положение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Банка России</w:t>
      </w:r>
      <w:r w:rsidRPr="006A5F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01.10.2017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Pr="006A5F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605-П с 01.01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.2019</w:t>
      </w:r>
      <w:r w:rsidRPr="006A5F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вводит новые требования к учету доходов по финансовым активам и оценке резерва под обесценение, соответствующие требованиям стандарта МСФО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A5F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9. Предполагается, что по каждому финансовому активу банки ежедневно должны будет рассчитывать два резерва – регуляторный для целей расчета нормативов и налогообложения в соответствии с Положением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Банка России от 28.06.2017 № </w:t>
      </w:r>
      <w:r w:rsidRPr="006A5F04">
        <w:rPr>
          <w:rFonts w:ascii="Times New Roman" w:hAnsi="Times New Roman" w:cs="Times New Roman"/>
          <w:color w:val="000000" w:themeColor="text1"/>
          <w:sz w:val="26"/>
          <w:szCs w:val="26"/>
        </w:rPr>
        <w:t>590-П и бухгалтерский – для целей раскрытия финансовой информации – в соответствии с требованиями стандарта МСФО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A5F04">
        <w:rPr>
          <w:rFonts w:ascii="Times New Roman" w:hAnsi="Times New Roman" w:cs="Times New Roman"/>
          <w:color w:val="000000" w:themeColor="text1"/>
          <w:sz w:val="26"/>
          <w:szCs w:val="26"/>
        </w:rPr>
        <w:t>9. В настоящий момент банк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6A5F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также рассчитыва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ют</w:t>
      </w:r>
      <w:r w:rsidRPr="006A5F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два резерва, но расчет разнесен во времени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Pr="006A5F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по МСФО осуществляется на квартальной основе, поэтому не так сложен. Одновременный расчет резерва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в соответствии с Положением №</w:t>
      </w:r>
      <w:r w:rsidRPr="006A5F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590-П и МСФО создает дополнительную нагрузку на подразделения банка, значительные затраты на доработку ИТ инфраструктуры, повысит стоимость сопровождения кредитов. При этом практическая цель расчета двух значений резервов неочевидна, так как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A5F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для регуляторных целей по-прежнему будет использоваться резерв, рассчитанный в соответствии с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Положением № </w:t>
      </w:r>
      <w:r w:rsidRPr="006A5F04">
        <w:rPr>
          <w:rFonts w:ascii="Times New Roman" w:hAnsi="Times New Roman" w:cs="Times New Roman"/>
          <w:color w:val="000000" w:themeColor="text1"/>
          <w:sz w:val="26"/>
          <w:szCs w:val="26"/>
        </w:rPr>
        <w:t>590-П.</w:t>
      </w:r>
    </w:p>
    <w:p w:rsidR="00EE080E" w:rsidRDefault="00EE080E" w:rsidP="00EE080E">
      <w:pPr>
        <w:spacing w:after="0" w:line="276" w:lineRule="auto"/>
        <w:ind w:firstLine="425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Как Банк России относится к инициативе </w:t>
      </w:r>
      <w:r w:rsidRPr="006A5F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установления моратория на ведение ежедневного учета резервов по разным стандартам до момента объединения требований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Положения № </w:t>
      </w:r>
      <w:r w:rsidRPr="006A5F04">
        <w:rPr>
          <w:rFonts w:ascii="Times New Roman" w:hAnsi="Times New Roman" w:cs="Times New Roman"/>
          <w:color w:val="000000" w:themeColor="text1"/>
          <w:sz w:val="26"/>
          <w:szCs w:val="26"/>
        </w:rPr>
        <w:t>590-П и МСФО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? </w:t>
      </w:r>
    </w:p>
    <w:p w:rsidR="00EE080E" w:rsidRPr="006A5F04" w:rsidRDefault="00EE080E" w:rsidP="00EE080E">
      <w:pPr>
        <w:spacing w:after="0" w:line="276" w:lineRule="auto"/>
        <w:ind w:firstLine="425"/>
        <w:jc w:val="both"/>
        <w:rPr>
          <w:rFonts w:ascii="Times New Roman" w:hAnsi="Times New Roman" w:cs="Times New Roman"/>
          <w:b/>
        </w:rPr>
      </w:pPr>
      <w:r w:rsidRPr="00E56A65">
        <w:rPr>
          <w:rFonts w:ascii="Times New Roman" w:hAnsi="Times New Roman" w:cs="Times New Roman"/>
          <w:color w:val="000000" w:themeColor="text1"/>
          <w:sz w:val="26"/>
          <w:szCs w:val="26"/>
        </w:rPr>
        <w:t>Планируется ли изменение требований к периодичности расчета резервов?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B143FD" w:rsidRPr="00EE080E" w:rsidRDefault="00EE080E" w:rsidP="00EE080E">
      <w:pPr>
        <w:rPr>
          <w:rFonts w:ascii="Times New Roman" w:hAnsi="Times New Roman" w:cs="Times New Roman"/>
          <w:b/>
          <w:sz w:val="26"/>
          <w:szCs w:val="26"/>
        </w:rPr>
      </w:pPr>
      <w:r w:rsidRPr="00EE080E">
        <w:rPr>
          <w:rFonts w:ascii="Times New Roman" w:hAnsi="Times New Roman" w:cs="Times New Roman"/>
          <w:b/>
          <w:sz w:val="26"/>
          <w:szCs w:val="26"/>
        </w:rPr>
        <w:t xml:space="preserve">Ответ 1 </w:t>
      </w:r>
    </w:p>
    <w:p w:rsidR="00EE080E" w:rsidRPr="00EE080E" w:rsidRDefault="00EE080E" w:rsidP="00EE080E">
      <w:pPr>
        <w:spacing w:after="0" w:line="276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E080E">
        <w:rPr>
          <w:rFonts w:ascii="Times New Roman" w:hAnsi="Times New Roman" w:cs="Times New Roman"/>
          <w:color w:val="000000" w:themeColor="text1"/>
          <w:sz w:val="26"/>
          <w:szCs w:val="26"/>
        </w:rPr>
        <w:t>Департамент разделяет мнение кредитных организаций о том, что ежедневный расчет и своевременное отражение в бухгалтерском учете и ежедневном бухгалтерском балансе оценочного резерва под ожидаемые кредитные убытки по МСФО (IFRS) 9 «Финансовые инструменты» (далее МСФО (IFRS) 9) создает дополнительную нагрузку на подразделения кредитных организаций.</w:t>
      </w:r>
    </w:p>
    <w:p w:rsidR="00EE080E" w:rsidRPr="00EE080E" w:rsidRDefault="00EE080E" w:rsidP="00EE080E">
      <w:pPr>
        <w:spacing w:after="0" w:line="276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E080E">
        <w:rPr>
          <w:rFonts w:ascii="Times New Roman" w:hAnsi="Times New Roman" w:cs="Times New Roman"/>
          <w:color w:val="000000" w:themeColor="text1"/>
          <w:sz w:val="26"/>
          <w:szCs w:val="26"/>
        </w:rPr>
        <w:t>В настоящий момент времени в связи с многочисленными обращениями представителей банковского сообщества рассматривается вопрос об уточнении периодичности отражения указанных корректировок.</w:t>
      </w:r>
    </w:p>
    <w:p w:rsidR="00EE080E" w:rsidRPr="00EE080E" w:rsidRDefault="00EE080E" w:rsidP="00EE080E">
      <w:pPr>
        <w:spacing w:after="0" w:line="276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E080E">
        <w:rPr>
          <w:rFonts w:ascii="Times New Roman" w:hAnsi="Times New Roman" w:cs="Times New Roman"/>
          <w:color w:val="000000" w:themeColor="text1"/>
          <w:sz w:val="26"/>
          <w:szCs w:val="26"/>
        </w:rPr>
        <w:t>В связи с тем, что Положение Банка России от 28.06.2017 № 590-П «О порядке формирования кредитными организациями резервов на возможные потери по ссудам, ссудной и приравненной к ней задолженности» относится к компетенции Департамента банковского регулирования Банка России, Департамент не уполномочен комментировать вопросы, касающиеся его применения.</w:t>
      </w:r>
    </w:p>
    <w:p w:rsidR="00EE080E" w:rsidRDefault="00EE080E" w:rsidP="00EE080E">
      <w:pPr>
        <w:spacing w:after="0" w:line="276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E080E" w:rsidRPr="00C408F0" w:rsidRDefault="00EE080E" w:rsidP="00EE080E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Вопрос </w:t>
      </w:r>
      <w:r>
        <w:rPr>
          <w:rFonts w:ascii="Times New Roman" w:hAnsi="Times New Roman" w:cs="Times New Roman"/>
          <w:b/>
          <w:sz w:val="26"/>
          <w:szCs w:val="26"/>
        </w:rPr>
        <w:t>2</w:t>
      </w:r>
    </w:p>
    <w:p w:rsidR="00064484" w:rsidRDefault="00064484" w:rsidP="00064484">
      <w:pPr>
        <w:spacing w:after="0" w:line="276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5F58">
        <w:rPr>
          <w:rFonts w:ascii="Times New Roman" w:hAnsi="Times New Roman" w:cs="Times New Roman"/>
          <w:color w:val="000000" w:themeColor="text1"/>
          <w:sz w:val="26"/>
          <w:szCs w:val="26"/>
        </w:rPr>
        <w:t>В Положениях Банка России в рамках МСФО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65F58">
        <w:rPr>
          <w:rFonts w:ascii="Times New Roman" w:hAnsi="Times New Roman" w:cs="Times New Roman"/>
          <w:color w:val="000000" w:themeColor="text1"/>
          <w:sz w:val="26"/>
          <w:szCs w:val="26"/>
        </w:rPr>
        <w:t>9 (</w:t>
      </w:r>
      <w:r w:rsidRPr="00AD6837">
        <w:rPr>
          <w:rFonts w:ascii="Times New Roman" w:hAnsi="Times New Roman" w:cs="Times New Roman"/>
          <w:color w:val="000000" w:themeColor="text1"/>
          <w:sz w:val="26"/>
          <w:szCs w:val="26"/>
        </w:rPr>
        <w:t>Положения Банка России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D6837">
        <w:rPr>
          <w:rFonts w:ascii="Times New Roman" w:hAnsi="Times New Roman" w:cs="Times New Roman"/>
          <w:color w:val="000000" w:themeColor="text1"/>
          <w:sz w:val="26"/>
          <w:szCs w:val="26"/>
        </w:rPr>
        <w:t>№№ 604-П, 605-П, 606-П</w:t>
      </w:r>
      <w:r w:rsidRPr="00D65F58">
        <w:rPr>
          <w:rFonts w:ascii="Times New Roman" w:hAnsi="Times New Roman" w:cs="Times New Roman"/>
          <w:color w:val="000000" w:themeColor="text1"/>
          <w:sz w:val="26"/>
          <w:szCs w:val="26"/>
        </w:rPr>
        <w:t>) содерж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D65F5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тся ряд вопросов, решение которых передано на усмотрение банков при формировании их учетной политики, в частности: установление критериев существенности показателей, формирования мотивированных суждений о рыночности ставок и пр. </w:t>
      </w:r>
    </w:p>
    <w:p w:rsidR="00064484" w:rsidRDefault="00064484" w:rsidP="00064484">
      <w:pPr>
        <w:spacing w:after="0" w:line="276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65F58">
        <w:rPr>
          <w:rFonts w:ascii="Times New Roman" w:hAnsi="Times New Roman" w:cs="Times New Roman"/>
          <w:color w:val="000000" w:themeColor="text1"/>
          <w:sz w:val="26"/>
          <w:szCs w:val="26"/>
        </w:rPr>
        <w:t>Предполагает ли Банк России установление в дальнейшем нормативных требований или методических рекомендаций в отношении указанных критериев? (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к</w:t>
      </w:r>
      <w:r w:rsidRPr="00D65F5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ак, например, это сделано в последней редакции Указания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Банка России от </w:t>
      </w:r>
      <w:r w:rsidRPr="00D65F58">
        <w:rPr>
          <w:rFonts w:ascii="Times New Roman" w:hAnsi="Times New Roman" w:cs="Times New Roman"/>
          <w:color w:val="000000" w:themeColor="text1"/>
          <w:sz w:val="26"/>
          <w:szCs w:val="26"/>
        </w:rPr>
        <w:t>04.09.2013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</w:t>
      </w:r>
      <w:r>
        <w:rPr>
          <w:i/>
          <w:color w:val="0000FF"/>
        </w:rPr>
        <w:t xml:space="preserve"> </w:t>
      </w:r>
      <w:r w:rsidRPr="00D65F58">
        <w:rPr>
          <w:rFonts w:ascii="Times New Roman" w:hAnsi="Times New Roman" w:cs="Times New Roman"/>
          <w:color w:val="000000" w:themeColor="text1"/>
          <w:sz w:val="26"/>
          <w:szCs w:val="26"/>
        </w:rPr>
        <w:t>3054-У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r w:rsidRPr="00D65F58">
        <w:rPr>
          <w:rFonts w:ascii="Times New Roman" w:hAnsi="Times New Roman" w:cs="Times New Roman"/>
          <w:color w:val="000000" w:themeColor="text1"/>
          <w:sz w:val="26"/>
          <w:szCs w:val="26"/>
        </w:rPr>
        <w:t>О порядке составления кредитными организациями годовой бухгалтерской (финансовой) отчетности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D65F58">
        <w:rPr>
          <w:rFonts w:ascii="Times New Roman" w:hAnsi="Times New Roman" w:cs="Times New Roman"/>
          <w:color w:val="000000" w:themeColor="text1"/>
          <w:sz w:val="26"/>
          <w:szCs w:val="26"/>
        </w:rPr>
        <w:t>, где установлено числовое значение критерия существенности)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:rsidR="00064484" w:rsidRPr="00EE080E" w:rsidRDefault="00064484" w:rsidP="00064484">
      <w:pPr>
        <w:rPr>
          <w:rFonts w:ascii="Times New Roman" w:hAnsi="Times New Roman" w:cs="Times New Roman"/>
          <w:b/>
          <w:sz w:val="26"/>
          <w:szCs w:val="26"/>
        </w:rPr>
      </w:pPr>
      <w:r w:rsidRPr="00EE080E">
        <w:rPr>
          <w:rFonts w:ascii="Times New Roman" w:hAnsi="Times New Roman" w:cs="Times New Roman"/>
          <w:b/>
          <w:sz w:val="26"/>
          <w:szCs w:val="26"/>
        </w:rPr>
        <w:t xml:space="preserve">Ответ 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EE080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64484" w:rsidRPr="00064484" w:rsidRDefault="00064484" w:rsidP="00064484">
      <w:pPr>
        <w:spacing w:after="0" w:line="276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64484">
        <w:rPr>
          <w:rFonts w:ascii="Times New Roman" w:hAnsi="Times New Roman" w:cs="Times New Roman"/>
          <w:color w:val="000000" w:themeColor="text1"/>
          <w:sz w:val="26"/>
          <w:szCs w:val="26"/>
        </w:rPr>
        <w:t>Положениями Банка России № 604-П «О порядке отражения на счетах бухгалтерского учета кредитными организациями операций по привлечению денежных средств по договорам банковского вклада (депозита), кредитным договорам, операций по выпуску и погашению (оплате) облигаций, векселей, депозитных и сберегательных сертификатов» (далее - Положение № 604-П), № 605-П «О порядке отражения на счетах бухгалтерского учета кредитными организациями операций по размещению денежных средств по кредитным договорам, операций, связанных с осуществлением сделок по приобретению права требования от третьих лиц исполнения обязательств в денежной форме, операций по обязательствам по выданным банковским гарантиям и предоставлению денежных средств» (далее - Положение № 605-П), № 606-П «О порядке отражения на счетах бухгалтерского учета кредитными организациями операций с ценными бумагами» (далее - Положение № 606-П) установлено, что критерии существенности кредитные организации разрабатывают самостоятельно с учетом пункта 7 МСФО (IAS) 1 «Представление финансовой отчетности» и утверждают их в учетной политике.</w:t>
      </w:r>
    </w:p>
    <w:p w:rsidR="00064484" w:rsidRPr="00064484" w:rsidRDefault="00064484" w:rsidP="00064484">
      <w:pPr>
        <w:spacing w:after="0" w:line="276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64484">
        <w:rPr>
          <w:rFonts w:ascii="Times New Roman" w:hAnsi="Times New Roman" w:cs="Times New Roman"/>
          <w:color w:val="000000" w:themeColor="text1"/>
          <w:sz w:val="26"/>
          <w:szCs w:val="26"/>
        </w:rPr>
        <w:t>Критерии для определения рыночности процентной ставки, справедливой стоимости финансовых активов и финансовых обязательств установлены в МСФО (IAS) 13 «Оценка справедливой стоимости».</w:t>
      </w:r>
    </w:p>
    <w:p w:rsidR="00064484" w:rsidRDefault="00064484" w:rsidP="00064484">
      <w:pPr>
        <w:spacing w:after="0" w:line="276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64484">
        <w:rPr>
          <w:rFonts w:ascii="Times New Roman" w:hAnsi="Times New Roman" w:cs="Times New Roman"/>
          <w:color w:val="000000" w:themeColor="text1"/>
          <w:sz w:val="26"/>
          <w:szCs w:val="26"/>
        </w:rPr>
        <w:t>В связи с тем, что МСФО не содержат нормативных требований и числовых значений для определения критерия существенности, то их установление для целей применения кредитными организациями № Положений 604-П, № 605-П, № 606-П Департаментом не предполагается, поскольку подобные требования могут привести к противоречию МСФО.</w:t>
      </w:r>
    </w:p>
    <w:p w:rsidR="00064484" w:rsidRPr="00064484" w:rsidRDefault="00064484" w:rsidP="00064484">
      <w:pPr>
        <w:spacing w:after="0" w:line="276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64484" w:rsidRPr="00C408F0" w:rsidRDefault="00064484" w:rsidP="00064484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Вопрос </w:t>
      </w:r>
      <w:r>
        <w:rPr>
          <w:rFonts w:ascii="Times New Roman" w:hAnsi="Times New Roman" w:cs="Times New Roman"/>
          <w:b/>
          <w:sz w:val="26"/>
          <w:szCs w:val="26"/>
        </w:rPr>
        <w:t>3</w:t>
      </w:r>
    </w:p>
    <w:p w:rsidR="00064484" w:rsidRDefault="00064484" w:rsidP="00064484">
      <w:pPr>
        <w:spacing w:line="276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050D29">
        <w:rPr>
          <w:rFonts w:ascii="Times New Roman" w:hAnsi="Times New Roman" w:cs="Times New Roman"/>
          <w:color w:val="000000" w:themeColor="text1"/>
          <w:sz w:val="26"/>
          <w:szCs w:val="26"/>
        </w:rPr>
        <w:t>При первом применении Указания Банка России от 06.12.2017 № 4638-У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r w:rsidRPr="00050D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формах, порядке и сроках раскрытия кредитными организациями информации о </w:t>
      </w:r>
      <w:r w:rsidRPr="00050D29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своей деятельности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050D29">
        <w:rPr>
          <w:rFonts w:ascii="Times New Roman" w:hAnsi="Times New Roman" w:cs="Times New Roman"/>
          <w:color w:val="000000" w:themeColor="text1"/>
          <w:sz w:val="26"/>
          <w:szCs w:val="26"/>
        </w:rPr>
        <w:t>, то есть при составлении отчетности за первый квартал 2018 г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ода</w:t>
      </w:r>
      <w:r w:rsidRPr="00050D29">
        <w:rPr>
          <w:rFonts w:ascii="Times New Roman" w:hAnsi="Times New Roman" w:cs="Times New Roman"/>
          <w:color w:val="000000" w:themeColor="text1"/>
          <w:sz w:val="26"/>
          <w:szCs w:val="26"/>
        </w:rPr>
        <w:t>, кредитные организации должны составить пояснительную информацию к отчетности в объеме, установленном Указанием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50D29">
        <w:rPr>
          <w:rFonts w:ascii="Times New Roman" w:hAnsi="Times New Roman" w:cs="Times New Roman"/>
          <w:color w:val="000000" w:themeColor="text1"/>
          <w:sz w:val="26"/>
          <w:szCs w:val="26"/>
        </w:rPr>
        <w:t>№ 4638-У для годовой отчетности, или пояснительная информация к промежуточной отчетности за первый квартал 2018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</w:t>
      </w:r>
      <w:r w:rsidRPr="00050D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должна быть сформирована кредитными организациями в соответствии с Международным стандартом финансовой отчетности (IAS) 34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050D29">
        <w:rPr>
          <w:rFonts w:ascii="Times New Roman" w:hAnsi="Times New Roman" w:cs="Times New Roman"/>
          <w:color w:val="000000" w:themeColor="text1"/>
          <w:sz w:val="26"/>
          <w:szCs w:val="26"/>
        </w:rPr>
        <w:t>Промежуточная финансовая отчетность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050D29">
        <w:rPr>
          <w:rFonts w:ascii="Times New Roman" w:hAnsi="Times New Roman" w:cs="Times New Roman"/>
          <w:color w:val="000000" w:themeColor="text1"/>
          <w:sz w:val="26"/>
          <w:szCs w:val="26"/>
        </w:rPr>
        <w:t>?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064484" w:rsidRPr="00EE080E" w:rsidRDefault="00064484" w:rsidP="00064484">
      <w:pPr>
        <w:rPr>
          <w:rFonts w:ascii="Times New Roman" w:hAnsi="Times New Roman" w:cs="Times New Roman"/>
          <w:b/>
          <w:sz w:val="26"/>
          <w:szCs w:val="26"/>
        </w:rPr>
      </w:pPr>
      <w:r w:rsidRPr="00EE080E">
        <w:rPr>
          <w:rFonts w:ascii="Times New Roman" w:hAnsi="Times New Roman" w:cs="Times New Roman"/>
          <w:b/>
          <w:sz w:val="26"/>
          <w:szCs w:val="26"/>
        </w:rPr>
        <w:t xml:space="preserve">Ответ </w:t>
      </w:r>
      <w:r>
        <w:rPr>
          <w:rFonts w:ascii="Times New Roman" w:hAnsi="Times New Roman" w:cs="Times New Roman"/>
          <w:b/>
          <w:sz w:val="26"/>
          <w:szCs w:val="26"/>
        </w:rPr>
        <w:t>3</w:t>
      </w:r>
      <w:r w:rsidRPr="00EE080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64484" w:rsidRPr="00064484" w:rsidRDefault="00064484" w:rsidP="00064484">
      <w:pPr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64484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Pr="00064484">
        <w:rPr>
          <w:rFonts w:ascii="Times New Roman" w:hAnsi="Times New Roman" w:cs="Times New Roman"/>
          <w:color w:val="000000" w:themeColor="text1"/>
          <w:sz w:val="26"/>
          <w:szCs w:val="26"/>
        </w:rPr>
        <w:t>опрос 3</w:t>
      </w:r>
      <w:r w:rsidRPr="000644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64484">
        <w:rPr>
          <w:rFonts w:ascii="Times New Roman" w:hAnsi="Times New Roman" w:cs="Times New Roman"/>
          <w:color w:val="000000" w:themeColor="text1"/>
          <w:sz w:val="26"/>
          <w:szCs w:val="26"/>
        </w:rPr>
        <w:t>относ</w:t>
      </w:r>
      <w:r w:rsidRPr="00064484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064484">
        <w:rPr>
          <w:rFonts w:ascii="Times New Roman" w:hAnsi="Times New Roman" w:cs="Times New Roman"/>
          <w:color w:val="000000" w:themeColor="text1"/>
          <w:sz w:val="26"/>
          <w:szCs w:val="26"/>
        </w:rPr>
        <w:t>тся к компетенции Департамента банковского регулирования Банка России.</w:t>
      </w:r>
    </w:p>
    <w:p w:rsidR="00064484" w:rsidRDefault="00064484" w:rsidP="00064484">
      <w:pPr>
        <w:spacing w:after="0" w:line="276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64484" w:rsidRPr="00C408F0" w:rsidRDefault="00064484" w:rsidP="00064484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Вопрос </w:t>
      </w:r>
      <w:r>
        <w:rPr>
          <w:rFonts w:ascii="Times New Roman" w:hAnsi="Times New Roman" w:cs="Times New Roman"/>
          <w:b/>
          <w:sz w:val="26"/>
          <w:szCs w:val="26"/>
        </w:rPr>
        <w:t>4</w:t>
      </w:r>
    </w:p>
    <w:p w:rsidR="00064484" w:rsidRPr="007B411D" w:rsidRDefault="00064484" w:rsidP="00064484">
      <w:pPr>
        <w:spacing w:after="0" w:line="276" w:lineRule="auto"/>
        <w:ind w:firstLine="425"/>
        <w:jc w:val="both"/>
        <w:rPr>
          <w:rFonts w:ascii="Times New Roman CYR" w:hAnsi="Times New Roman CYR" w:cs="Times New Roman CYR"/>
          <w:color w:val="000000" w:themeColor="text1"/>
          <w:sz w:val="26"/>
          <w:szCs w:val="26"/>
        </w:rPr>
      </w:pPr>
      <w:r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В </w:t>
      </w:r>
      <w:r w:rsidRPr="007B411D">
        <w:rPr>
          <w:rFonts w:ascii="Times New Roman CYR" w:hAnsi="Times New Roman CYR" w:cs="Times New Roman CYR"/>
          <w:color w:val="000000" w:themeColor="text1"/>
          <w:sz w:val="26"/>
          <w:szCs w:val="26"/>
        </w:rPr>
        <w:t>связи с необходимостью существенной переработки подходов к ведению учета, высокой трудоемкостью автоматизации процессов по внедрению МСФО 9 и оставшимся коротким сроком до начала вступления в действие Положений Банка России, изданных в рамках внедрения МСФО 9 (с 01.01.2019), рассматривается ли Банком России возможность:</w:t>
      </w:r>
    </w:p>
    <w:p w:rsidR="00064484" w:rsidRPr="007B411D" w:rsidRDefault="00064484" w:rsidP="00064484">
      <w:pPr>
        <w:spacing w:after="0" w:line="276" w:lineRule="auto"/>
        <w:ind w:firstLine="425"/>
        <w:jc w:val="both"/>
        <w:rPr>
          <w:rFonts w:ascii="Times New Roman CYR" w:hAnsi="Times New Roman CYR" w:cs="Times New Roman CYR"/>
          <w:color w:val="000000" w:themeColor="text1"/>
          <w:sz w:val="26"/>
          <w:szCs w:val="26"/>
        </w:rPr>
      </w:pPr>
      <w:r w:rsidRPr="007B411D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- установления периода, в течение которого к банкам не будут применяться меры </w:t>
      </w:r>
      <w:proofErr w:type="spellStart"/>
      <w:r w:rsidRPr="007B411D">
        <w:rPr>
          <w:rFonts w:ascii="Times New Roman CYR" w:hAnsi="Times New Roman CYR" w:cs="Times New Roman CYR"/>
          <w:color w:val="000000" w:themeColor="text1"/>
          <w:sz w:val="26"/>
          <w:szCs w:val="26"/>
        </w:rPr>
        <w:t>пруденциального</w:t>
      </w:r>
      <w:proofErr w:type="spellEnd"/>
      <w:r w:rsidRPr="007B411D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характера за неисполнение/частичное исполнение требований соответствующих Положений?</w:t>
      </w:r>
    </w:p>
    <w:p w:rsidR="00064484" w:rsidRDefault="00064484" w:rsidP="00064484">
      <w:pPr>
        <w:spacing w:after="0" w:line="276" w:lineRule="auto"/>
        <w:ind w:firstLine="425"/>
        <w:jc w:val="both"/>
        <w:rPr>
          <w:rFonts w:ascii="Times New Roman CYR" w:hAnsi="Times New Roman CYR" w:cs="Times New Roman CYR"/>
          <w:color w:val="000000" w:themeColor="text1"/>
          <w:sz w:val="26"/>
          <w:szCs w:val="26"/>
        </w:rPr>
      </w:pPr>
      <w:r w:rsidRPr="007B411D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- продления срока вступления в действие соответствующих Положений? </w:t>
      </w:r>
    </w:p>
    <w:p w:rsidR="00064484" w:rsidRPr="00EE080E" w:rsidRDefault="00064484" w:rsidP="00064484">
      <w:pPr>
        <w:rPr>
          <w:rFonts w:ascii="Times New Roman" w:hAnsi="Times New Roman" w:cs="Times New Roman"/>
          <w:b/>
          <w:sz w:val="26"/>
          <w:szCs w:val="26"/>
        </w:rPr>
      </w:pPr>
      <w:r w:rsidRPr="00EE080E">
        <w:rPr>
          <w:rFonts w:ascii="Times New Roman" w:hAnsi="Times New Roman" w:cs="Times New Roman"/>
          <w:b/>
          <w:sz w:val="26"/>
          <w:szCs w:val="26"/>
        </w:rPr>
        <w:t xml:space="preserve">Ответ </w:t>
      </w:r>
      <w:r>
        <w:rPr>
          <w:rFonts w:ascii="Times New Roman" w:hAnsi="Times New Roman" w:cs="Times New Roman"/>
          <w:b/>
          <w:sz w:val="26"/>
          <w:szCs w:val="26"/>
        </w:rPr>
        <w:t>4</w:t>
      </w:r>
    </w:p>
    <w:p w:rsidR="00064484" w:rsidRPr="00064484" w:rsidRDefault="00064484" w:rsidP="00064484">
      <w:pPr>
        <w:spacing w:after="0" w:line="276" w:lineRule="auto"/>
        <w:ind w:firstLine="425"/>
        <w:jc w:val="both"/>
        <w:rPr>
          <w:rFonts w:ascii="Times New Roman CYR" w:hAnsi="Times New Roman CYR" w:cs="Times New Roman CYR"/>
          <w:color w:val="000000" w:themeColor="text1"/>
          <w:sz w:val="26"/>
          <w:szCs w:val="26"/>
        </w:rPr>
      </w:pPr>
      <w:r w:rsidRPr="00064484">
        <w:rPr>
          <w:rFonts w:ascii="Times New Roman CYR" w:hAnsi="Times New Roman CYR" w:cs="Times New Roman CYR"/>
          <w:color w:val="000000" w:themeColor="text1"/>
          <w:sz w:val="26"/>
          <w:szCs w:val="26"/>
        </w:rPr>
        <w:t>Изменение срока вступления в силу Положения № 604-П, Положения № 605-П, Положения № 606-П Департаментом не предполагается.</w:t>
      </w:r>
    </w:p>
    <w:p w:rsidR="00064484" w:rsidRPr="00064484" w:rsidRDefault="00064484" w:rsidP="00064484">
      <w:pPr>
        <w:spacing w:after="0" w:line="276" w:lineRule="auto"/>
        <w:ind w:firstLine="425"/>
        <w:jc w:val="both"/>
        <w:rPr>
          <w:rFonts w:ascii="Times New Roman CYR" w:hAnsi="Times New Roman CYR" w:cs="Times New Roman CYR"/>
          <w:color w:val="000000" w:themeColor="text1"/>
          <w:sz w:val="26"/>
          <w:szCs w:val="26"/>
        </w:rPr>
      </w:pPr>
      <w:r w:rsidRPr="00064484">
        <w:rPr>
          <w:rFonts w:ascii="Times New Roman CYR" w:hAnsi="Times New Roman CYR" w:cs="Times New Roman CYR"/>
          <w:color w:val="000000" w:themeColor="text1"/>
          <w:sz w:val="26"/>
          <w:szCs w:val="26"/>
        </w:rPr>
        <w:t>По оценке Департамента кредитным организациям предоставлен достаточный период времени (2018 год) для подготовки к применению норм, установленных указанными Документами.</w:t>
      </w:r>
    </w:p>
    <w:p w:rsidR="00064484" w:rsidRDefault="00064484" w:rsidP="00064484">
      <w:pPr>
        <w:spacing w:after="0" w:line="276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64484" w:rsidRPr="00C92376" w:rsidRDefault="00064484" w:rsidP="00064484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92376">
        <w:rPr>
          <w:rFonts w:ascii="Times New Roman" w:hAnsi="Times New Roman" w:cs="Times New Roman"/>
          <w:b/>
          <w:sz w:val="26"/>
          <w:szCs w:val="26"/>
        </w:rPr>
        <w:t>Практические вопросы применения Положени</w:t>
      </w:r>
      <w:r>
        <w:rPr>
          <w:rFonts w:ascii="Times New Roman" w:hAnsi="Times New Roman" w:cs="Times New Roman"/>
          <w:b/>
          <w:sz w:val="26"/>
          <w:szCs w:val="26"/>
        </w:rPr>
        <w:t>я</w:t>
      </w:r>
      <w:r w:rsidRPr="00C92376">
        <w:rPr>
          <w:rFonts w:ascii="Times New Roman" w:hAnsi="Times New Roman" w:cs="Times New Roman"/>
          <w:b/>
          <w:sz w:val="26"/>
          <w:szCs w:val="26"/>
        </w:rPr>
        <w:t xml:space="preserve"> Банка России № 579-П</w:t>
      </w:r>
    </w:p>
    <w:p w:rsidR="00064484" w:rsidRPr="00C408F0" w:rsidRDefault="00064484" w:rsidP="00064484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Вопрос </w:t>
      </w:r>
      <w:r>
        <w:rPr>
          <w:rFonts w:ascii="Times New Roman" w:hAnsi="Times New Roman" w:cs="Times New Roman"/>
          <w:b/>
          <w:sz w:val="26"/>
          <w:szCs w:val="26"/>
        </w:rPr>
        <w:t>5</w:t>
      </w:r>
    </w:p>
    <w:p w:rsidR="00064484" w:rsidRPr="008E149C" w:rsidRDefault="00064484" w:rsidP="00064484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E149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Согласно пункту 3.3.3 приложения 10 к Положению Банка России от 27.02.2017 № 579-П «О плане счетов бухгалтерского учета для кредитных организаций и порядке его применения»: </w:t>
      </w:r>
      <w:r w:rsidRPr="00002E1C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«Если долговые обязательства приобретаются по цене выше их номинальной стоимости, то разница между номинальной стоимостью и ценой приобретения (сумма премии) в течение срока их обращения равномерно списывается на расходы. В последний рабочий день месяца списанию на расходы подлежит сумма премии, относящаяся к истекшему месяцу либо периоду с даты приобретения (в том числе за оставшиеся нерабочие дни, если последний рабочий день месяца не совпадает с его окончанием)»</w:t>
      </w:r>
      <w:r w:rsidRPr="008E149C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064484" w:rsidRPr="008E149C" w:rsidRDefault="00064484" w:rsidP="00064484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E149C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Вопрос: правомерно ли относить на расходы в дату получения Банком купонного дохода по ОФЗ часть премии, начисленной с даты последнего отражения ее в бухгалтерском учете по дату получения купонного дохода?</w:t>
      </w:r>
    </w:p>
    <w:p w:rsidR="00064484" w:rsidRPr="008E149C" w:rsidRDefault="00064484" w:rsidP="00064484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8E149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Пример: Купонный доход фактически получен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б</w:t>
      </w:r>
      <w:r w:rsidRPr="008E149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анком 01.03.2017. Премию, начисленную на дату выплаты купона (за один день 01.03.2017) следует отнести на расходы в дату получения дохода 01.03.2017 либо следует отразить часть премии за весь март (за 31 день) в последний рабочий день 31.03.2017, независимо от факта получения купонного дохода в указанном месяце? </w:t>
      </w:r>
    </w:p>
    <w:p w:rsidR="00064484" w:rsidRPr="00EE080E" w:rsidRDefault="00064484" w:rsidP="00064484">
      <w:pPr>
        <w:rPr>
          <w:rFonts w:ascii="Times New Roman" w:hAnsi="Times New Roman" w:cs="Times New Roman"/>
          <w:b/>
          <w:sz w:val="26"/>
          <w:szCs w:val="26"/>
        </w:rPr>
      </w:pPr>
      <w:r w:rsidRPr="00EE080E">
        <w:rPr>
          <w:rFonts w:ascii="Times New Roman" w:hAnsi="Times New Roman" w:cs="Times New Roman"/>
          <w:b/>
          <w:sz w:val="26"/>
          <w:szCs w:val="26"/>
        </w:rPr>
        <w:t xml:space="preserve">Ответ </w:t>
      </w:r>
      <w:r>
        <w:rPr>
          <w:rFonts w:ascii="Times New Roman" w:hAnsi="Times New Roman" w:cs="Times New Roman"/>
          <w:b/>
          <w:sz w:val="26"/>
          <w:szCs w:val="26"/>
        </w:rPr>
        <w:t>5</w:t>
      </w:r>
    </w:p>
    <w:p w:rsidR="00064484" w:rsidRDefault="00064484" w:rsidP="00064484">
      <w:pPr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64484">
        <w:rPr>
          <w:rFonts w:ascii="Times New Roman" w:hAnsi="Times New Roman" w:cs="Times New Roman"/>
          <w:color w:val="000000" w:themeColor="text1"/>
          <w:sz w:val="26"/>
          <w:szCs w:val="26"/>
        </w:rPr>
        <w:t>Отнесение на расходы в дату получения кредитной организацией купонного дохода по ОФЗ части премии, начисленной с даты последнего отражения ее в бухгалтерском учете по дату получения купонного дохода, требованиям приложения 8 к Положению Банка России от 27.02.2017 579-П «О Плане счетов бухгалтерского учета для кредитных организаций и порядке его применения» не противоречит.</w:t>
      </w:r>
    </w:p>
    <w:p w:rsidR="00A365E7" w:rsidRPr="00064484" w:rsidRDefault="00A365E7" w:rsidP="00064484">
      <w:pPr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0" w:name="_GoBack"/>
      <w:bookmarkEnd w:id="0"/>
    </w:p>
    <w:p w:rsidR="00064484" w:rsidRPr="00064484" w:rsidRDefault="00064484" w:rsidP="00064484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Вопрос </w:t>
      </w:r>
      <w:r>
        <w:rPr>
          <w:rFonts w:ascii="Times New Roman" w:hAnsi="Times New Roman" w:cs="Times New Roman"/>
          <w:b/>
          <w:sz w:val="26"/>
          <w:szCs w:val="26"/>
        </w:rPr>
        <w:t>6</w:t>
      </w:r>
    </w:p>
    <w:p w:rsidR="00064484" w:rsidRPr="00486914" w:rsidRDefault="00064484" w:rsidP="00064484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86914">
        <w:rPr>
          <w:rFonts w:ascii="Times New Roman" w:hAnsi="Times New Roman" w:cs="Times New Roman"/>
          <w:color w:val="000000" w:themeColor="text1"/>
          <w:sz w:val="26"/>
          <w:szCs w:val="26"/>
        </w:rPr>
        <w:t>Гражданский кодекс РФ допускает участие в обязательстве (в том числе по кредитному договору) нескольких солидарных должников (</w:t>
      </w:r>
      <w:proofErr w:type="spellStart"/>
      <w:r w:rsidRPr="00486914">
        <w:rPr>
          <w:rFonts w:ascii="Times New Roman" w:hAnsi="Times New Roman" w:cs="Times New Roman"/>
          <w:color w:val="000000" w:themeColor="text1"/>
          <w:sz w:val="26"/>
          <w:szCs w:val="26"/>
        </w:rPr>
        <w:t>ст.ст</w:t>
      </w:r>
      <w:proofErr w:type="spellEnd"/>
      <w:r w:rsidRPr="00486914">
        <w:rPr>
          <w:rFonts w:ascii="Times New Roman" w:hAnsi="Times New Roman" w:cs="Times New Roman"/>
          <w:color w:val="000000" w:themeColor="text1"/>
          <w:sz w:val="26"/>
          <w:szCs w:val="26"/>
        </w:rPr>
        <w:t>. 321,322), что является распространенной практикой по кредитам, предоставляемым на приобретение жилья.</w:t>
      </w:r>
    </w:p>
    <w:p w:rsidR="00064484" w:rsidRPr="00486914" w:rsidRDefault="00064484" w:rsidP="00064484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8691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Согласно </w:t>
      </w:r>
      <w:r w:rsidRPr="008E149C">
        <w:rPr>
          <w:rFonts w:ascii="Times New Roman" w:hAnsi="Times New Roman" w:cs="Times New Roman"/>
          <w:color w:val="000000" w:themeColor="text1"/>
          <w:sz w:val="26"/>
          <w:szCs w:val="26"/>
        </w:rPr>
        <w:t>Положени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8E149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 579-П</w:t>
      </w:r>
      <w:r w:rsidRPr="0048691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аналитический учет по ссудным счетам осуществляется в разрезе заемщиков по каждому договору, при этом порядок учета нескольких солидарных </w:t>
      </w:r>
      <w:proofErr w:type="spellStart"/>
      <w:r w:rsidRPr="00486914">
        <w:rPr>
          <w:rFonts w:ascii="Times New Roman" w:hAnsi="Times New Roman" w:cs="Times New Roman"/>
          <w:color w:val="000000" w:themeColor="text1"/>
          <w:sz w:val="26"/>
          <w:szCs w:val="26"/>
        </w:rPr>
        <w:t>созаемщиков</w:t>
      </w:r>
      <w:proofErr w:type="spellEnd"/>
      <w:r w:rsidRPr="0048691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ссудному счету Положением не предусмотрен.</w:t>
      </w:r>
    </w:p>
    <w:p w:rsidR="00064484" w:rsidRPr="00486914" w:rsidRDefault="00064484" w:rsidP="00064484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8691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Ответственность </w:t>
      </w:r>
      <w:proofErr w:type="spellStart"/>
      <w:r w:rsidRPr="00486914">
        <w:rPr>
          <w:rFonts w:ascii="Times New Roman" w:hAnsi="Times New Roman" w:cs="Times New Roman"/>
          <w:color w:val="000000" w:themeColor="text1"/>
          <w:sz w:val="26"/>
          <w:szCs w:val="26"/>
        </w:rPr>
        <w:t>созаемщика</w:t>
      </w:r>
      <w:proofErr w:type="spellEnd"/>
      <w:r w:rsidRPr="0048691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является аналогичной ответственности поручителя. Согласно Гражданскому кодексу по договору поручительства поручитель обязывается перед кредитором другого лица отвечать за исполнение последним его обязательства полностью или в части (ст.361).</w:t>
      </w:r>
    </w:p>
    <w:p w:rsidR="00064484" w:rsidRPr="00486914" w:rsidRDefault="00064484" w:rsidP="00064484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8691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Кроме того, отправка сообщений в бюро кредитных сообщений осуществляется автоматизировано в отношении каждого лица, что также требует отдельного учета каждого </w:t>
      </w:r>
      <w:proofErr w:type="spellStart"/>
      <w:r w:rsidRPr="00486914">
        <w:rPr>
          <w:rFonts w:ascii="Times New Roman" w:hAnsi="Times New Roman" w:cs="Times New Roman"/>
          <w:color w:val="000000" w:themeColor="text1"/>
          <w:sz w:val="26"/>
          <w:szCs w:val="26"/>
        </w:rPr>
        <w:t>созаемщика</w:t>
      </w:r>
      <w:proofErr w:type="spellEnd"/>
      <w:r w:rsidRPr="00486914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064484" w:rsidRDefault="00064484" w:rsidP="00064484">
      <w:pPr>
        <w:ind w:firstLine="426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В связи с вышеизложенным банки просят</w:t>
      </w:r>
      <w:r w:rsidRPr="0048691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подтвердить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486914">
        <w:rPr>
          <w:rFonts w:ascii="Times New Roman" w:hAnsi="Times New Roman" w:cs="Times New Roman"/>
          <w:color w:val="000000" w:themeColor="text1"/>
          <w:sz w:val="26"/>
          <w:szCs w:val="26"/>
        </w:rPr>
        <w:t>боснованност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ь</w:t>
      </w:r>
      <w:r w:rsidRPr="0048691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учета на </w:t>
      </w:r>
      <w:proofErr w:type="spellStart"/>
      <w:r w:rsidRPr="00486914">
        <w:rPr>
          <w:rFonts w:ascii="Times New Roman" w:hAnsi="Times New Roman" w:cs="Times New Roman"/>
          <w:color w:val="000000" w:themeColor="text1"/>
          <w:sz w:val="26"/>
          <w:szCs w:val="26"/>
        </w:rPr>
        <w:t>внебалансовом</w:t>
      </w:r>
      <w:proofErr w:type="spellEnd"/>
      <w:r w:rsidRPr="0048691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счете № 91414 «Полученные гарантии и поручительства»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8691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требований к </w:t>
      </w:r>
      <w:proofErr w:type="spellStart"/>
      <w:r w:rsidRPr="00486914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созаемщикам</w:t>
      </w:r>
      <w:proofErr w:type="spellEnd"/>
      <w:r w:rsidRPr="0048691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кредитам, предоставленным физическим лицам.</w:t>
      </w:r>
      <w:r w:rsidRPr="00002E1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</w:p>
    <w:p w:rsidR="00064484" w:rsidRPr="00EE080E" w:rsidRDefault="00064484" w:rsidP="00064484">
      <w:pPr>
        <w:rPr>
          <w:rFonts w:ascii="Times New Roman" w:hAnsi="Times New Roman" w:cs="Times New Roman"/>
          <w:b/>
          <w:sz w:val="26"/>
          <w:szCs w:val="26"/>
        </w:rPr>
      </w:pPr>
      <w:r w:rsidRPr="00EE080E">
        <w:rPr>
          <w:rFonts w:ascii="Times New Roman" w:hAnsi="Times New Roman" w:cs="Times New Roman"/>
          <w:b/>
          <w:sz w:val="26"/>
          <w:szCs w:val="26"/>
        </w:rPr>
        <w:t xml:space="preserve">Ответ </w:t>
      </w:r>
      <w:r>
        <w:rPr>
          <w:rFonts w:ascii="Times New Roman" w:hAnsi="Times New Roman" w:cs="Times New Roman"/>
          <w:b/>
          <w:sz w:val="26"/>
          <w:szCs w:val="26"/>
        </w:rPr>
        <w:t>6</w:t>
      </w:r>
    </w:p>
    <w:p w:rsidR="00064484" w:rsidRPr="00064484" w:rsidRDefault="00064484" w:rsidP="00064484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644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Если в соответствии с законодательством Российской Федерации ответственность </w:t>
      </w:r>
      <w:proofErr w:type="spellStart"/>
      <w:r w:rsidRPr="00064484">
        <w:rPr>
          <w:rFonts w:ascii="Times New Roman" w:hAnsi="Times New Roman" w:cs="Times New Roman"/>
          <w:color w:val="000000" w:themeColor="text1"/>
          <w:sz w:val="26"/>
          <w:szCs w:val="26"/>
        </w:rPr>
        <w:t>созаемщика</w:t>
      </w:r>
      <w:proofErr w:type="spellEnd"/>
      <w:r w:rsidRPr="000644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приравнивается к ответственности поручителя, то в бухгалтерском учете величина обязательства </w:t>
      </w:r>
      <w:proofErr w:type="spellStart"/>
      <w:r w:rsidRPr="00064484">
        <w:rPr>
          <w:rFonts w:ascii="Times New Roman" w:hAnsi="Times New Roman" w:cs="Times New Roman"/>
          <w:color w:val="000000" w:themeColor="text1"/>
          <w:sz w:val="26"/>
          <w:szCs w:val="26"/>
        </w:rPr>
        <w:t>созаемщика</w:t>
      </w:r>
      <w:proofErr w:type="spellEnd"/>
      <w:r w:rsidRPr="000644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отражается на </w:t>
      </w:r>
      <w:proofErr w:type="spellStart"/>
      <w:r w:rsidRPr="00064484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внебалансовом</w:t>
      </w:r>
      <w:proofErr w:type="spellEnd"/>
      <w:r w:rsidRPr="000644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счете № 91414 «Полученные гарантии и поручительства» в сумме задолженности по кредитному договору.</w:t>
      </w:r>
    </w:p>
    <w:p w:rsidR="00064484" w:rsidRDefault="00064484" w:rsidP="00064484">
      <w:pPr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F6041" w:rsidRPr="009366BC" w:rsidRDefault="000F6041" w:rsidP="000F6041">
      <w:pPr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9366BC">
        <w:rPr>
          <w:rFonts w:ascii="Times New Roman" w:hAnsi="Times New Roman" w:cs="Times New Roman"/>
          <w:b/>
          <w:i/>
          <w:sz w:val="26"/>
          <w:szCs w:val="26"/>
          <w:u w:val="single"/>
        </w:rPr>
        <w:t>Предложения для рассмотрения</w:t>
      </w:r>
    </w:p>
    <w:p w:rsidR="000F6041" w:rsidRDefault="000F6041" w:rsidP="000F6041">
      <w:pPr>
        <w:pStyle w:val="a3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55FED">
        <w:rPr>
          <w:rFonts w:ascii="Times New Roman" w:hAnsi="Times New Roman"/>
          <w:sz w:val="26"/>
          <w:szCs w:val="26"/>
        </w:rPr>
        <w:t xml:space="preserve">Вовлечение банковского сообщества в процесс подготовки новых </w:t>
      </w:r>
      <w:r>
        <w:rPr>
          <w:rFonts w:ascii="Times New Roman" w:hAnsi="Times New Roman"/>
          <w:sz w:val="26"/>
          <w:szCs w:val="26"/>
        </w:rPr>
        <w:t>/</w:t>
      </w:r>
      <w:r w:rsidRPr="00DC116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доработки</w:t>
      </w:r>
      <w:r w:rsidRPr="007301FF">
        <w:rPr>
          <w:rFonts w:ascii="Times New Roman" w:hAnsi="Times New Roman"/>
          <w:sz w:val="26"/>
          <w:szCs w:val="26"/>
        </w:rPr>
        <w:t xml:space="preserve"> действующих </w:t>
      </w:r>
      <w:r>
        <w:rPr>
          <w:rFonts w:ascii="Times New Roman" w:hAnsi="Times New Roman"/>
          <w:sz w:val="26"/>
          <w:szCs w:val="26"/>
        </w:rPr>
        <w:t>нормативных документов</w:t>
      </w:r>
      <w:r w:rsidRPr="00F55FED">
        <w:rPr>
          <w:rFonts w:ascii="Times New Roman" w:hAnsi="Times New Roman"/>
          <w:sz w:val="26"/>
          <w:szCs w:val="26"/>
        </w:rPr>
        <w:t xml:space="preserve"> Банка России, регулирующих ведение бухгалтерского учета.</w:t>
      </w:r>
    </w:p>
    <w:p w:rsidR="000F6041" w:rsidRPr="00F55FED" w:rsidRDefault="000F6041" w:rsidP="000F6041">
      <w:pPr>
        <w:spacing w:after="0" w:line="276" w:lineRule="auto"/>
        <w:ind w:firstLine="567"/>
        <w:jc w:val="both"/>
        <w:rPr>
          <w:color w:val="000000" w:themeColor="text1"/>
        </w:rPr>
      </w:pPr>
      <w:r w:rsidRPr="00F55FED">
        <w:rPr>
          <w:rFonts w:ascii="Times New Roman" w:hAnsi="Times New Roman"/>
          <w:sz w:val="26"/>
          <w:szCs w:val="26"/>
          <w:u w:val="single"/>
        </w:rPr>
        <w:t>Предложение:</w:t>
      </w:r>
      <w:r w:rsidRPr="00F55FED">
        <w:rPr>
          <w:rFonts w:ascii="Times New Roman" w:hAnsi="Times New Roman"/>
          <w:sz w:val="26"/>
          <w:szCs w:val="26"/>
        </w:rPr>
        <w:t xml:space="preserve"> в Ассоциации «Россия» создана Рабочая группа по учету, </w:t>
      </w:r>
      <w:r w:rsidRPr="00F55FED">
        <w:rPr>
          <w:rFonts w:ascii="Times New Roman" w:hAnsi="Times New Roman" w:cs="Times New Roman"/>
          <w:sz w:val="26"/>
          <w:szCs w:val="26"/>
        </w:rPr>
        <w:t>отчетности и налогам,</w:t>
      </w:r>
      <w:r>
        <w:rPr>
          <w:rFonts w:ascii="Times New Roman" w:hAnsi="Times New Roman" w:cs="Times New Roman"/>
          <w:sz w:val="26"/>
          <w:szCs w:val="26"/>
        </w:rPr>
        <w:t xml:space="preserve"> одной из </w:t>
      </w:r>
      <w:r w:rsidRPr="00F55FED">
        <w:rPr>
          <w:rFonts w:ascii="Times New Roman" w:hAnsi="Times New Roman" w:cs="Times New Roman"/>
          <w:sz w:val="26"/>
          <w:szCs w:val="26"/>
        </w:rPr>
        <w:t xml:space="preserve">задач которой является подготовка предложений по </w:t>
      </w:r>
      <w:r>
        <w:rPr>
          <w:rFonts w:ascii="Times New Roman" w:hAnsi="Times New Roman" w:cs="Times New Roman"/>
          <w:sz w:val="26"/>
          <w:szCs w:val="26"/>
        </w:rPr>
        <w:t xml:space="preserve">изменению и </w:t>
      </w:r>
      <w:r w:rsidRPr="00F55FED">
        <w:rPr>
          <w:rFonts w:ascii="Times New Roman" w:hAnsi="Times New Roman" w:cs="Times New Roman"/>
          <w:sz w:val="26"/>
          <w:szCs w:val="26"/>
        </w:rPr>
        <w:t>дополнени</w:t>
      </w:r>
      <w:r>
        <w:rPr>
          <w:rFonts w:ascii="Times New Roman" w:hAnsi="Times New Roman" w:cs="Times New Roman"/>
          <w:sz w:val="26"/>
          <w:szCs w:val="26"/>
        </w:rPr>
        <w:t>ю действующей</w:t>
      </w:r>
      <w:r w:rsidRPr="00F55FED">
        <w:rPr>
          <w:rFonts w:ascii="Times New Roman" w:hAnsi="Times New Roman" w:cs="Times New Roman"/>
          <w:sz w:val="26"/>
          <w:szCs w:val="26"/>
        </w:rPr>
        <w:t xml:space="preserve"> нормативно</w:t>
      </w:r>
      <w:r>
        <w:rPr>
          <w:rFonts w:ascii="Times New Roman" w:hAnsi="Times New Roman" w:cs="Times New Roman"/>
          <w:sz w:val="26"/>
          <w:szCs w:val="26"/>
        </w:rPr>
        <w:t>й базы</w:t>
      </w:r>
      <w:r w:rsidRPr="00F55FE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области учета и отчётности </w:t>
      </w:r>
      <w:r w:rsidRPr="00F55FED">
        <w:rPr>
          <w:rFonts w:ascii="Times New Roman" w:hAnsi="Times New Roman" w:cs="Times New Roman"/>
          <w:sz w:val="26"/>
          <w:szCs w:val="26"/>
        </w:rPr>
        <w:t>с целью ее совершенствования.</w:t>
      </w:r>
      <w:r>
        <w:rPr>
          <w:rFonts w:ascii="Times New Roman" w:hAnsi="Times New Roman" w:cs="Times New Roman"/>
          <w:sz w:val="26"/>
          <w:szCs w:val="26"/>
        </w:rPr>
        <w:t xml:space="preserve"> В связи с чем, предлагаем рассмотреть возможность назначения ответственного сотрудника из числа сотрудников Департамента бухгалтерского учета и отчётности Банка России для участия в работе Рабочей группы. </w:t>
      </w:r>
    </w:p>
    <w:p w:rsidR="00A365E7" w:rsidRPr="00EE080E" w:rsidRDefault="00A365E7" w:rsidP="00A365E7">
      <w:pPr>
        <w:rPr>
          <w:rFonts w:ascii="Times New Roman" w:hAnsi="Times New Roman" w:cs="Times New Roman"/>
          <w:b/>
          <w:sz w:val="26"/>
          <w:szCs w:val="26"/>
        </w:rPr>
      </w:pPr>
      <w:r w:rsidRPr="00EE080E">
        <w:rPr>
          <w:rFonts w:ascii="Times New Roman" w:hAnsi="Times New Roman" w:cs="Times New Roman"/>
          <w:b/>
          <w:sz w:val="26"/>
          <w:szCs w:val="26"/>
        </w:rPr>
        <w:t xml:space="preserve">Ответ </w:t>
      </w:r>
    </w:p>
    <w:p w:rsidR="00A365E7" w:rsidRPr="00A365E7" w:rsidRDefault="00A365E7" w:rsidP="00A365E7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365E7">
        <w:rPr>
          <w:rFonts w:ascii="Times New Roman" w:hAnsi="Times New Roman" w:cs="Times New Roman"/>
          <w:color w:val="000000" w:themeColor="text1"/>
          <w:sz w:val="26"/>
          <w:szCs w:val="26"/>
        </w:rPr>
        <w:t>Все нормативные акты Банка России по бухгалтерскому учету в кредитных организациях в обязательном порядке проходят процедуру оценки регулирующего воздействия, которая предполагает размещение проектов указанных документов на официальном сайте Банка Россия для обсуждения с профессиональным сообществом. В этой связи участие сотрудников Департамента в Рабочей группе Ассоциации «Россия» по учету, отчетности и налогам представляется нецелесообразным.</w:t>
      </w:r>
    </w:p>
    <w:p w:rsidR="00A365E7" w:rsidRDefault="00A365E7" w:rsidP="000F6041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6041" w:rsidRPr="006C4D00" w:rsidRDefault="000F6041" w:rsidP="000F6041">
      <w:pPr>
        <w:spacing w:after="0"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C4D00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 xml:space="preserve"> </w:t>
      </w:r>
      <w:r w:rsidRPr="006C4D00">
        <w:rPr>
          <w:rFonts w:ascii="Times New Roman" w:hAnsi="Times New Roman"/>
          <w:sz w:val="26"/>
          <w:szCs w:val="26"/>
        </w:rPr>
        <w:t>Изменение подходов к формированию надзорной консолидированной отчетности</w:t>
      </w:r>
      <w:r>
        <w:rPr>
          <w:rFonts w:ascii="Times New Roman" w:hAnsi="Times New Roman"/>
          <w:sz w:val="26"/>
          <w:szCs w:val="26"/>
        </w:rPr>
        <w:t>.</w:t>
      </w:r>
    </w:p>
    <w:p w:rsidR="000F6041" w:rsidRDefault="000F6041" w:rsidP="000F6041">
      <w:pPr>
        <w:pStyle w:val="a3"/>
        <w:spacing w:line="276" w:lineRule="auto"/>
        <w:ind w:left="0" w:firstLine="567"/>
        <w:jc w:val="both"/>
        <w:rPr>
          <w:rFonts w:ascii="Times New Roman" w:hAnsi="Times New Roman"/>
          <w:b/>
          <w:sz w:val="26"/>
          <w:szCs w:val="26"/>
        </w:rPr>
      </w:pPr>
      <w:r w:rsidRPr="006C4D00">
        <w:rPr>
          <w:rFonts w:ascii="Times New Roman" w:hAnsi="Times New Roman"/>
          <w:sz w:val="26"/>
          <w:szCs w:val="26"/>
          <w:u w:val="single"/>
        </w:rPr>
        <w:t>Предложение:</w:t>
      </w:r>
      <w:r w:rsidRPr="006C4D00">
        <w:rPr>
          <w:rFonts w:ascii="Times New Roman" w:hAnsi="Times New Roman"/>
          <w:sz w:val="26"/>
          <w:szCs w:val="26"/>
        </w:rPr>
        <w:t xml:space="preserve"> при подготовке надзорной отчетности банковской Группы предоставить головным кредитным организациям право использовать возможность консолидации на уровне «</w:t>
      </w:r>
      <w:proofErr w:type="spellStart"/>
      <w:r w:rsidRPr="006C4D00">
        <w:rPr>
          <w:rFonts w:ascii="Times New Roman" w:hAnsi="Times New Roman"/>
          <w:sz w:val="26"/>
          <w:szCs w:val="26"/>
        </w:rPr>
        <w:t>субгрупп</w:t>
      </w:r>
      <w:proofErr w:type="spellEnd"/>
      <w:r w:rsidRPr="006C4D00">
        <w:rPr>
          <w:rFonts w:ascii="Times New Roman" w:hAnsi="Times New Roman"/>
          <w:sz w:val="26"/>
          <w:szCs w:val="26"/>
        </w:rPr>
        <w:t xml:space="preserve">», а не индивидуальных данных отчетности участников </w:t>
      </w:r>
      <w:r>
        <w:rPr>
          <w:rFonts w:ascii="Times New Roman" w:hAnsi="Times New Roman"/>
          <w:sz w:val="26"/>
          <w:szCs w:val="26"/>
        </w:rPr>
        <w:t>«</w:t>
      </w:r>
      <w:proofErr w:type="spellStart"/>
      <w:r w:rsidRPr="006C4D00">
        <w:rPr>
          <w:rFonts w:ascii="Times New Roman" w:hAnsi="Times New Roman"/>
          <w:sz w:val="26"/>
          <w:szCs w:val="26"/>
        </w:rPr>
        <w:t>субгруппы</w:t>
      </w:r>
      <w:proofErr w:type="spellEnd"/>
      <w:r>
        <w:rPr>
          <w:rFonts w:ascii="Times New Roman" w:hAnsi="Times New Roman"/>
          <w:sz w:val="26"/>
          <w:szCs w:val="26"/>
        </w:rPr>
        <w:t>»</w:t>
      </w:r>
      <w:r w:rsidRPr="006C4D00">
        <w:rPr>
          <w:rFonts w:ascii="Times New Roman" w:hAnsi="Times New Roman"/>
          <w:sz w:val="26"/>
          <w:szCs w:val="26"/>
        </w:rPr>
        <w:t>, при этом предоставить право использовать принципы МСФО для формирования отчетности по участникам группы - резидентам.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A365E7" w:rsidRDefault="00A365E7" w:rsidP="000F6041">
      <w:pPr>
        <w:pStyle w:val="a3"/>
        <w:spacing w:line="276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</w:p>
    <w:p w:rsidR="000F6041" w:rsidRDefault="000F6041" w:rsidP="000F6041">
      <w:pPr>
        <w:pStyle w:val="a3"/>
        <w:spacing w:line="276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654FA"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 xml:space="preserve"> У</w:t>
      </w:r>
      <w:r w:rsidRPr="006654FA">
        <w:rPr>
          <w:rFonts w:ascii="Times New Roman" w:hAnsi="Times New Roman"/>
          <w:sz w:val="26"/>
          <w:szCs w:val="26"/>
        </w:rPr>
        <w:t xml:space="preserve">празднить дублирование данных в отчетности, составляемой по стандартам РСБУ, излагаемых согласно требованиям МСФО. </w:t>
      </w:r>
    </w:p>
    <w:p w:rsidR="000F6041" w:rsidRDefault="000F6041" w:rsidP="000F6041">
      <w:pPr>
        <w:pStyle w:val="a3"/>
        <w:spacing w:line="276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654FA">
        <w:rPr>
          <w:rFonts w:ascii="Times New Roman" w:hAnsi="Times New Roman"/>
          <w:sz w:val="26"/>
          <w:szCs w:val="26"/>
        </w:rPr>
        <w:t>Указанное дублирование данных приводит к значительному увеличению трудозатрат, связанных с необходимостью сверки информации, а также с заполнением одних и тех же данных в разных аналитических таблицах.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A365E7" w:rsidRPr="00A365E7" w:rsidRDefault="00A365E7" w:rsidP="00A365E7">
      <w:pPr>
        <w:rPr>
          <w:rFonts w:ascii="Times New Roman" w:hAnsi="Times New Roman" w:cs="Times New Roman"/>
          <w:b/>
          <w:sz w:val="26"/>
          <w:szCs w:val="26"/>
        </w:rPr>
      </w:pPr>
      <w:r w:rsidRPr="00A365E7">
        <w:rPr>
          <w:rFonts w:ascii="Times New Roman" w:hAnsi="Times New Roman" w:cs="Times New Roman"/>
          <w:b/>
          <w:sz w:val="26"/>
          <w:szCs w:val="26"/>
        </w:rPr>
        <w:t xml:space="preserve">Ответ </w:t>
      </w:r>
    </w:p>
    <w:p w:rsidR="000F6041" w:rsidRPr="00EE080E" w:rsidRDefault="00A365E7" w:rsidP="00A365E7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365E7">
        <w:rPr>
          <w:rFonts w:ascii="Times New Roman" w:hAnsi="Times New Roman" w:cs="Times New Roman"/>
          <w:color w:val="000000" w:themeColor="text1"/>
          <w:sz w:val="26"/>
          <w:szCs w:val="26"/>
        </w:rPr>
        <w:t>Информируем, что предложения 2 и 3 относятся к компетенции Департамента банковского регулирования Банка России.</w:t>
      </w:r>
    </w:p>
    <w:sectPr w:rsidR="000F6041" w:rsidRPr="00EE080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65E7" w:rsidRDefault="00A365E7" w:rsidP="00A365E7">
      <w:pPr>
        <w:spacing w:after="0" w:line="240" w:lineRule="auto"/>
      </w:pPr>
      <w:r>
        <w:separator/>
      </w:r>
    </w:p>
  </w:endnote>
  <w:endnote w:type="continuationSeparator" w:id="0">
    <w:p w:rsidR="00A365E7" w:rsidRDefault="00A365E7" w:rsidP="00A36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504473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365E7" w:rsidRPr="00A365E7" w:rsidRDefault="00A365E7" w:rsidP="00A365E7">
        <w:pPr>
          <w:pStyle w:val="a6"/>
          <w:jc w:val="right"/>
          <w:rPr>
            <w:rFonts w:ascii="Times New Roman" w:hAnsi="Times New Roman" w:cs="Times New Roman"/>
          </w:rPr>
        </w:pPr>
        <w:r w:rsidRPr="00A365E7">
          <w:rPr>
            <w:rFonts w:ascii="Times New Roman" w:hAnsi="Times New Roman" w:cs="Times New Roman"/>
          </w:rPr>
          <w:fldChar w:fldCharType="begin"/>
        </w:r>
        <w:r w:rsidRPr="00A365E7">
          <w:rPr>
            <w:rFonts w:ascii="Times New Roman" w:hAnsi="Times New Roman" w:cs="Times New Roman"/>
          </w:rPr>
          <w:instrText>PAGE   \* MERGEFORMAT</w:instrText>
        </w:r>
        <w:r w:rsidRPr="00A365E7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5</w:t>
        </w:r>
        <w:r w:rsidRPr="00A365E7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65E7" w:rsidRDefault="00A365E7" w:rsidP="00A365E7">
      <w:pPr>
        <w:spacing w:after="0" w:line="240" w:lineRule="auto"/>
      </w:pPr>
      <w:r>
        <w:separator/>
      </w:r>
    </w:p>
  </w:footnote>
  <w:footnote w:type="continuationSeparator" w:id="0">
    <w:p w:rsidR="00A365E7" w:rsidRDefault="00A365E7" w:rsidP="00A36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2E4071"/>
    <w:multiLevelType w:val="hybridMultilevel"/>
    <w:tmpl w:val="F1A4D9D0"/>
    <w:lvl w:ilvl="0" w:tplc="1D0EE8C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3FD"/>
    <w:rsid w:val="000264CF"/>
    <w:rsid w:val="00064484"/>
    <w:rsid w:val="000F6041"/>
    <w:rsid w:val="004A3D77"/>
    <w:rsid w:val="00A365E7"/>
    <w:rsid w:val="00B143FD"/>
    <w:rsid w:val="00C408F0"/>
    <w:rsid w:val="00EE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1C6BB"/>
  <w15:chartTrackingRefBased/>
  <w15:docId w15:val="{C8D0AF9F-5218-4942-BE2E-471C1E688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B143F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B143FD"/>
    <w:pPr>
      <w:widowControl w:val="0"/>
      <w:shd w:val="clear" w:color="auto" w:fill="FFFFFF"/>
      <w:spacing w:before="1260" w:after="0" w:line="48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0F6041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A36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365E7"/>
  </w:style>
  <w:style w:type="paragraph" w:styleId="a6">
    <w:name w:val="footer"/>
    <w:basedOn w:val="a"/>
    <w:link w:val="a7"/>
    <w:uiPriority w:val="99"/>
    <w:unhideWhenUsed/>
    <w:rsid w:val="00A36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36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1694</Words>
  <Characters>9658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Самохина Елена</dc:creator>
  <cp:keywords/>
  <dc:description/>
  <cp:lastModifiedBy>Самохина Елена</cp:lastModifiedBy>
  <cp:revision>5</cp:revision>
  <dcterms:created xsi:type="dcterms:W3CDTF">2018-02-26T19:44:00Z</dcterms:created>
  <dcterms:modified xsi:type="dcterms:W3CDTF">2018-02-26T19:56:00Z</dcterms:modified>
</cp:coreProperties>
</file>