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DE" w:rsidRDefault="00860FDE" w:rsidP="00860FDE">
      <w:pPr>
        <w:pStyle w:val="Default"/>
        <w:jc w:val="center"/>
        <w:rPr>
          <w:b/>
        </w:rPr>
      </w:pPr>
      <w:r w:rsidRPr="00296936">
        <w:rPr>
          <w:b/>
        </w:rPr>
        <w:t>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первого заместителя Председателя Банка России Д.В. Тулина</w:t>
      </w:r>
    </w:p>
    <w:tbl>
      <w:tblPr>
        <w:tblStyle w:val="a3"/>
        <w:tblW w:w="15163" w:type="dxa"/>
        <w:tblLayout w:type="fixed"/>
        <w:tblLook w:val="04A0" w:firstRow="1" w:lastRow="0" w:firstColumn="1" w:lastColumn="0" w:noHBand="0" w:noVBand="1"/>
      </w:tblPr>
      <w:tblGrid>
        <w:gridCol w:w="801"/>
        <w:gridCol w:w="6424"/>
        <w:gridCol w:w="7938"/>
      </w:tblGrid>
      <w:tr w:rsidR="00E56BB7" w:rsidRPr="008145F9" w:rsidTr="00296936">
        <w:trPr>
          <w:tblHeader/>
        </w:trPr>
        <w:tc>
          <w:tcPr>
            <w:tcW w:w="801" w:type="dxa"/>
          </w:tcPr>
          <w:p w:rsidR="00E56BB7" w:rsidRPr="008145F9" w:rsidRDefault="00E56BB7" w:rsidP="00296936">
            <w:pPr>
              <w:spacing w:after="0" w:line="240" w:lineRule="auto"/>
              <w:rPr>
                <w:rFonts w:ascii="Times New Roman" w:hAnsi="Times New Roman" w:cs="Times New Roman"/>
                <w:b/>
                <w:sz w:val="24"/>
                <w:szCs w:val="24"/>
              </w:rPr>
            </w:pPr>
            <w:r w:rsidRPr="008145F9">
              <w:rPr>
                <w:rFonts w:ascii="Times New Roman" w:hAnsi="Times New Roman" w:cs="Times New Roman"/>
                <w:b/>
                <w:sz w:val="24"/>
                <w:szCs w:val="24"/>
              </w:rPr>
              <w:t>№п/п</w:t>
            </w:r>
          </w:p>
        </w:tc>
        <w:tc>
          <w:tcPr>
            <w:tcW w:w="6424" w:type="dxa"/>
          </w:tcPr>
          <w:p w:rsidR="00E56BB7" w:rsidRPr="008145F9" w:rsidRDefault="00E56BB7" w:rsidP="00296936">
            <w:pPr>
              <w:spacing w:after="0" w:line="240" w:lineRule="auto"/>
              <w:rPr>
                <w:rFonts w:ascii="Times New Roman" w:hAnsi="Times New Roman" w:cs="Times New Roman"/>
                <w:b/>
                <w:sz w:val="24"/>
                <w:szCs w:val="24"/>
              </w:rPr>
            </w:pPr>
            <w:r w:rsidRPr="008145F9">
              <w:rPr>
                <w:rFonts w:ascii="Times New Roman" w:hAnsi="Times New Roman" w:cs="Times New Roman"/>
                <w:b/>
                <w:sz w:val="24"/>
                <w:szCs w:val="24"/>
              </w:rPr>
              <w:t>Вопрос</w:t>
            </w:r>
          </w:p>
        </w:tc>
        <w:tc>
          <w:tcPr>
            <w:tcW w:w="7938" w:type="dxa"/>
          </w:tcPr>
          <w:p w:rsidR="00E56BB7" w:rsidRPr="008145F9" w:rsidRDefault="00E56BB7" w:rsidP="00296936">
            <w:pPr>
              <w:spacing w:after="0" w:line="240" w:lineRule="auto"/>
              <w:rPr>
                <w:rFonts w:ascii="Times New Roman" w:hAnsi="Times New Roman" w:cs="Times New Roman"/>
                <w:b/>
                <w:sz w:val="24"/>
                <w:szCs w:val="24"/>
              </w:rPr>
            </w:pPr>
            <w:r w:rsidRPr="008145F9">
              <w:rPr>
                <w:rFonts w:ascii="Times New Roman" w:hAnsi="Times New Roman" w:cs="Times New Roman"/>
                <w:b/>
                <w:sz w:val="24"/>
                <w:szCs w:val="24"/>
              </w:rPr>
              <w:t>Ответ</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1</w:t>
            </w:r>
          </w:p>
        </w:tc>
        <w:tc>
          <w:tcPr>
            <w:tcW w:w="6424" w:type="dxa"/>
          </w:tcPr>
          <w:p w:rsidR="00E56BB7" w:rsidRPr="008145F9" w:rsidRDefault="00E56BB7" w:rsidP="00296936">
            <w:pPr>
              <w:spacing w:after="0" w:line="240" w:lineRule="auto"/>
              <w:ind w:firstLine="362"/>
              <w:jc w:val="both"/>
              <w:rPr>
                <w:rFonts w:ascii="Times New Roman" w:hAnsi="Times New Roman" w:cs="Times New Roman"/>
                <w:sz w:val="24"/>
                <w:szCs w:val="24"/>
              </w:rPr>
            </w:pPr>
            <w:r w:rsidRPr="008145F9">
              <w:rPr>
                <w:rFonts w:ascii="Times New Roman" w:hAnsi="Times New Roman"/>
                <w:sz w:val="24"/>
                <w:szCs w:val="24"/>
              </w:rPr>
              <w:t>Стратегия развития банковского регулирования в 2021-2022 г.</w:t>
            </w:r>
          </w:p>
        </w:tc>
        <w:tc>
          <w:tcPr>
            <w:tcW w:w="7938" w:type="dxa"/>
          </w:tcPr>
          <w:p w:rsidR="00E56BB7" w:rsidRPr="00AC263B" w:rsidRDefault="00E56BB7" w:rsidP="00296936">
            <w:pPr>
              <w:spacing w:after="0" w:line="240" w:lineRule="auto"/>
              <w:ind w:firstLine="317"/>
              <w:contextualSpacing/>
              <w:jc w:val="both"/>
              <w:rPr>
                <w:rFonts w:ascii="Times New Roman" w:hAnsi="Times New Roman"/>
                <w:bCs/>
                <w:sz w:val="24"/>
                <w:szCs w:val="24"/>
              </w:rPr>
            </w:pPr>
            <w:r w:rsidRPr="00AC263B">
              <w:rPr>
                <w:rFonts w:ascii="Times New Roman" w:hAnsi="Times New Roman"/>
                <w:bCs/>
                <w:sz w:val="24"/>
                <w:szCs w:val="24"/>
              </w:rPr>
              <w:t xml:space="preserve">Развитие банковского регулирования в 2021-2022 годах будет определяться, в первую очередь, вызовами, стоящими перед российским банковским сектором, а также вытекает из международных обязательств Российской Федерации и Банка России. Кроме того, в ближайшие несколько лет на банковский сектор будут оказывать влияние последствия пандемии </w:t>
            </w:r>
            <w:proofErr w:type="spellStart"/>
            <w:r w:rsidRPr="00AC263B">
              <w:rPr>
                <w:rFonts w:ascii="Times New Roman" w:hAnsi="Times New Roman"/>
                <w:bCs/>
                <w:sz w:val="24"/>
                <w:szCs w:val="24"/>
              </w:rPr>
              <w:t>коронавирусной</w:t>
            </w:r>
            <w:proofErr w:type="spellEnd"/>
            <w:r w:rsidRPr="00AC263B">
              <w:rPr>
                <w:rFonts w:ascii="Times New Roman" w:hAnsi="Times New Roman"/>
                <w:bCs/>
                <w:sz w:val="24"/>
                <w:szCs w:val="24"/>
              </w:rPr>
              <w:t xml:space="preserve"> инфекции.</w:t>
            </w:r>
          </w:p>
          <w:p w:rsidR="00E56BB7" w:rsidRPr="00AC263B" w:rsidRDefault="00E56BB7" w:rsidP="00296936">
            <w:pPr>
              <w:spacing w:after="0" w:line="240" w:lineRule="auto"/>
              <w:ind w:firstLine="317"/>
              <w:contextualSpacing/>
              <w:jc w:val="both"/>
              <w:rPr>
                <w:rFonts w:ascii="Times New Roman" w:hAnsi="Times New Roman"/>
                <w:bCs/>
                <w:sz w:val="24"/>
                <w:szCs w:val="24"/>
              </w:rPr>
            </w:pPr>
            <w:r w:rsidRPr="00AC263B">
              <w:rPr>
                <w:rFonts w:ascii="Times New Roman" w:hAnsi="Times New Roman"/>
                <w:bCs/>
                <w:sz w:val="24"/>
                <w:szCs w:val="24"/>
              </w:rPr>
              <w:t xml:space="preserve">К основным вызовам можно отнести трансформацию банковского сектора, в частности, инвестиции в небанковские виды бизнеса со стороны банков, и, соответственно, наличие на балансах непрофильных и потенциально некачественных активов. Банк России планирует провести реформу учета залогового обеспечения и иных инструментов снижения рисков в целях формирования резервов на возможные потери и оценки требований к капиталу на покрытие кредитного риска, а также осуществить сближение методологии формирования бухгалтерских и пруденциальных резервов на возможные потери в связи с внедрением МСФО 9. </w:t>
            </w:r>
          </w:p>
          <w:p w:rsidR="00E56BB7" w:rsidRPr="00AC263B" w:rsidRDefault="00E56BB7" w:rsidP="00296936">
            <w:pPr>
              <w:spacing w:after="0" w:line="240" w:lineRule="auto"/>
              <w:ind w:firstLine="317"/>
              <w:contextualSpacing/>
              <w:jc w:val="both"/>
              <w:rPr>
                <w:rFonts w:ascii="Times New Roman" w:hAnsi="Times New Roman"/>
                <w:bCs/>
                <w:sz w:val="24"/>
                <w:szCs w:val="24"/>
              </w:rPr>
            </w:pPr>
            <w:r w:rsidRPr="00AC263B">
              <w:rPr>
                <w:rFonts w:ascii="Times New Roman" w:hAnsi="Times New Roman"/>
                <w:bCs/>
                <w:sz w:val="24"/>
                <w:szCs w:val="24"/>
              </w:rPr>
              <w:t xml:space="preserve">Кроме того, в части традиционно профильных сегментов банковского бизнеса, в последнее время отмечается выход на рынок банковских услуг крупных небанковских участников, а также сокращение роли банковского посредничества. В этой связи Банку России предстоит разработать подходы к регулированию т.н. </w:t>
            </w:r>
            <w:r>
              <w:rPr>
                <w:rFonts w:ascii="Times New Roman" w:hAnsi="Times New Roman"/>
                <w:bCs/>
                <w:sz w:val="24"/>
                <w:szCs w:val="24"/>
              </w:rPr>
              <w:t>«</w:t>
            </w:r>
            <w:r w:rsidRPr="00AC263B">
              <w:rPr>
                <w:rFonts w:ascii="Times New Roman" w:hAnsi="Times New Roman"/>
                <w:bCs/>
                <w:sz w:val="24"/>
                <w:szCs w:val="24"/>
              </w:rPr>
              <w:t>экосистем</w:t>
            </w:r>
            <w:r>
              <w:rPr>
                <w:rFonts w:ascii="Times New Roman" w:hAnsi="Times New Roman"/>
                <w:bCs/>
                <w:sz w:val="24"/>
                <w:szCs w:val="24"/>
              </w:rPr>
              <w:t>»</w:t>
            </w:r>
            <w:r w:rsidRPr="00AC263B">
              <w:rPr>
                <w:rFonts w:ascii="Times New Roman" w:hAnsi="Times New Roman"/>
                <w:bCs/>
                <w:sz w:val="24"/>
                <w:szCs w:val="24"/>
              </w:rPr>
              <w:t xml:space="preserve">. В связи с тем, что наличие конкуренции сокращает маржу кредитных операций, требуется развитие практик управления процентным риском, в том числе посредством новых регулятивных требований. </w:t>
            </w:r>
          </w:p>
          <w:p w:rsidR="00E56BB7" w:rsidRPr="00AC263B" w:rsidRDefault="00E56BB7" w:rsidP="00296936">
            <w:pPr>
              <w:spacing w:after="0" w:line="240" w:lineRule="auto"/>
              <w:ind w:firstLine="317"/>
              <w:contextualSpacing/>
              <w:jc w:val="both"/>
              <w:rPr>
                <w:rFonts w:ascii="Times New Roman" w:hAnsi="Times New Roman"/>
                <w:bCs/>
                <w:sz w:val="24"/>
                <w:szCs w:val="24"/>
              </w:rPr>
            </w:pPr>
            <w:r w:rsidRPr="00AC263B">
              <w:rPr>
                <w:rFonts w:ascii="Times New Roman" w:hAnsi="Times New Roman"/>
                <w:bCs/>
                <w:sz w:val="24"/>
                <w:szCs w:val="24"/>
              </w:rPr>
              <w:t xml:space="preserve">В рамках исполнения международных обязательств Банк России продолжит внедрение стандартов </w:t>
            </w:r>
            <w:proofErr w:type="spellStart"/>
            <w:r w:rsidRPr="00AC263B">
              <w:rPr>
                <w:rFonts w:ascii="Times New Roman" w:hAnsi="Times New Roman"/>
                <w:bCs/>
                <w:sz w:val="24"/>
                <w:szCs w:val="24"/>
              </w:rPr>
              <w:t>Базельского</w:t>
            </w:r>
            <w:proofErr w:type="spellEnd"/>
            <w:r w:rsidRPr="00AC263B">
              <w:rPr>
                <w:rFonts w:ascii="Times New Roman" w:hAnsi="Times New Roman"/>
                <w:bCs/>
                <w:sz w:val="24"/>
                <w:szCs w:val="24"/>
              </w:rPr>
              <w:t xml:space="preserve"> комитета по банковскому надзору. В ближайшие два года планируется внедрить новый норматив концентрации крупных кредитных рисков в отношении системно значимых </w:t>
            </w:r>
            <w:r w:rsidRPr="00AC263B">
              <w:rPr>
                <w:rFonts w:ascii="Times New Roman" w:hAnsi="Times New Roman"/>
                <w:bCs/>
                <w:sz w:val="24"/>
                <w:szCs w:val="24"/>
              </w:rPr>
              <w:lastRenderedPageBreak/>
              <w:t xml:space="preserve">кредитных организаций, а также обновленный порядок расчета величины рыночного риска. </w:t>
            </w:r>
          </w:p>
          <w:p w:rsidR="00E56BB7" w:rsidRPr="008145F9" w:rsidRDefault="00E56BB7" w:rsidP="00296936">
            <w:pPr>
              <w:spacing w:after="0" w:line="240" w:lineRule="auto"/>
              <w:ind w:firstLine="317"/>
              <w:contextualSpacing/>
              <w:jc w:val="both"/>
              <w:rPr>
                <w:rFonts w:ascii="Times New Roman" w:hAnsi="Times New Roman" w:cs="Times New Roman"/>
                <w:sz w:val="24"/>
                <w:szCs w:val="24"/>
              </w:rPr>
            </w:pPr>
            <w:r w:rsidRPr="00AC263B">
              <w:rPr>
                <w:rFonts w:ascii="Times New Roman" w:hAnsi="Times New Roman"/>
                <w:bCs/>
                <w:sz w:val="24"/>
                <w:szCs w:val="24"/>
              </w:rPr>
              <w:t>В рамках развития действующего регулирования планируется продолжить реформу регулирования системы вознаграждений в кредитных организациях (отсрочка бонусов при увольнении ключевого персонала, возврат бонусов при увольнении и санации кредитной организации), а также расширить систему страхования вкладов на средства большинства юридических лиц.</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2</w:t>
            </w:r>
          </w:p>
        </w:tc>
        <w:tc>
          <w:tcPr>
            <w:tcW w:w="6424" w:type="dxa"/>
          </w:tcPr>
          <w:p w:rsidR="00E56BB7" w:rsidRPr="008145F9" w:rsidRDefault="00E56BB7" w:rsidP="00296936">
            <w:pPr>
              <w:tabs>
                <w:tab w:val="left" w:pos="319"/>
              </w:tabs>
              <w:spacing w:after="0" w:line="240" w:lineRule="auto"/>
              <w:ind w:firstLine="362"/>
              <w:jc w:val="both"/>
              <w:rPr>
                <w:rFonts w:ascii="Times New Roman" w:hAnsi="Times New Roman" w:cs="Times New Roman"/>
                <w:sz w:val="24"/>
                <w:szCs w:val="24"/>
              </w:rPr>
            </w:pPr>
            <w:r w:rsidRPr="008145F9">
              <w:rPr>
                <w:rFonts w:ascii="Times New Roman" w:hAnsi="Times New Roman"/>
                <w:sz w:val="24"/>
                <w:szCs w:val="24"/>
              </w:rPr>
              <w:t>Ожидается ли введение дополнительных мер для обеспечения механизмов финансирования крупнейших стратегических проектов для российской экономики (в т.ч. в части нормативов концентрации, риск-весов и резервирования)?</w:t>
            </w:r>
          </w:p>
        </w:tc>
        <w:tc>
          <w:tcPr>
            <w:tcW w:w="7938" w:type="dxa"/>
          </w:tcPr>
          <w:p w:rsidR="00E56BB7" w:rsidRPr="00880FB1" w:rsidRDefault="00E56BB7" w:rsidP="00296936">
            <w:pPr>
              <w:spacing w:after="0" w:line="240" w:lineRule="auto"/>
              <w:ind w:firstLine="317"/>
              <w:contextualSpacing/>
              <w:jc w:val="both"/>
              <w:rPr>
                <w:rFonts w:ascii="Times New Roman" w:hAnsi="Times New Roman"/>
                <w:bCs/>
                <w:sz w:val="24"/>
                <w:szCs w:val="24"/>
              </w:rPr>
            </w:pPr>
            <w:r w:rsidRPr="00880FB1">
              <w:rPr>
                <w:rFonts w:ascii="Times New Roman" w:hAnsi="Times New Roman"/>
                <w:bCs/>
                <w:sz w:val="24"/>
                <w:szCs w:val="24"/>
              </w:rPr>
              <w:t xml:space="preserve">В целях формирования резервов на возможные потери в отношении кредитов, предоставленных в рамках проектного финансирования, Положением </w:t>
            </w:r>
            <w:r>
              <w:rPr>
                <w:rFonts w:ascii="Times New Roman" w:hAnsi="Times New Roman"/>
                <w:bCs/>
                <w:sz w:val="24"/>
                <w:szCs w:val="24"/>
              </w:rPr>
              <w:t>Банка России</w:t>
            </w:r>
            <w:r w:rsidRPr="00880FB1">
              <w:rPr>
                <w:rFonts w:ascii="Times New Roman" w:hAnsi="Times New Roman"/>
                <w:bCs/>
                <w:sz w:val="24"/>
                <w:szCs w:val="24"/>
              </w:rPr>
              <w:t xml:space="preserve"> </w:t>
            </w:r>
            <w:r w:rsidR="000E440E">
              <w:rPr>
                <w:rFonts w:ascii="Times New Roman" w:hAnsi="Times New Roman"/>
                <w:bCs/>
                <w:sz w:val="24"/>
                <w:szCs w:val="24"/>
              </w:rPr>
              <w:t>от 28.06.2017</w:t>
            </w:r>
            <w:r w:rsidRPr="006B0B43">
              <w:rPr>
                <w:rFonts w:ascii="Times New Roman" w:hAnsi="Times New Roman"/>
                <w:bCs/>
                <w:sz w:val="24"/>
                <w:szCs w:val="24"/>
              </w:rPr>
              <w:t xml:space="preserve"> №</w:t>
            </w:r>
            <w:r>
              <w:rPr>
                <w:rFonts w:ascii="Times New Roman" w:hAnsi="Times New Roman"/>
                <w:bCs/>
                <w:sz w:val="24"/>
                <w:szCs w:val="24"/>
              </w:rPr>
              <w:t> </w:t>
            </w:r>
            <w:r w:rsidRPr="006B0B43">
              <w:rPr>
                <w:rFonts w:ascii="Times New Roman" w:hAnsi="Times New Roman"/>
                <w:bCs/>
                <w:sz w:val="24"/>
                <w:szCs w:val="24"/>
              </w:rPr>
              <w:t xml:space="preserve">590-П </w:t>
            </w:r>
            <w:r>
              <w:rPr>
                <w:rFonts w:ascii="Times New Roman" w:hAnsi="Times New Roman"/>
                <w:bCs/>
                <w:sz w:val="24"/>
                <w:szCs w:val="24"/>
              </w:rPr>
              <w:t>«</w:t>
            </w:r>
            <w:r w:rsidRPr="006B0B43">
              <w:rPr>
                <w:rFonts w:ascii="Times New Roman" w:hAnsi="Times New Roman"/>
                <w:bCs/>
                <w:sz w:val="24"/>
                <w:szCs w:val="24"/>
              </w:rPr>
              <w:t>О порядке формирования кредитными организациями резервов на возможные потери по ссудам, ссудной и приравненной к ней задолженности</w:t>
            </w:r>
            <w:r>
              <w:rPr>
                <w:rFonts w:ascii="Times New Roman" w:hAnsi="Times New Roman"/>
                <w:bCs/>
                <w:sz w:val="24"/>
                <w:szCs w:val="24"/>
              </w:rPr>
              <w:t>» (далее – Положение № 590-П)</w:t>
            </w:r>
            <w:r w:rsidRPr="00880FB1">
              <w:rPr>
                <w:rFonts w:ascii="Times New Roman" w:hAnsi="Times New Roman"/>
                <w:bCs/>
                <w:sz w:val="24"/>
                <w:szCs w:val="24"/>
              </w:rPr>
              <w:t xml:space="preserve"> предусмотрен специальный порядок, в соответствии с которым оценка кредитного риска по кредиту осуществляется исходя из уровня кредитоспособности заемщика, определенного на основании критериев оценки проекта (п. 4.10 Положения № 590-П), в отличие от общего подхода, основанного на оценке качества кредита исходя из оценки финансового положения заемщика и качества обслуживания им долга по кредиту.</w:t>
            </w:r>
          </w:p>
          <w:p w:rsidR="00E56BB7" w:rsidRDefault="00E56BB7" w:rsidP="00296936">
            <w:pPr>
              <w:spacing w:after="0" w:line="240" w:lineRule="auto"/>
              <w:ind w:firstLine="317"/>
              <w:contextualSpacing/>
              <w:jc w:val="both"/>
              <w:rPr>
                <w:rFonts w:ascii="Times New Roman" w:hAnsi="Times New Roman"/>
                <w:bCs/>
                <w:sz w:val="24"/>
                <w:szCs w:val="24"/>
              </w:rPr>
            </w:pPr>
            <w:r w:rsidRPr="00880FB1">
              <w:rPr>
                <w:rFonts w:ascii="Times New Roman" w:hAnsi="Times New Roman"/>
                <w:bCs/>
                <w:sz w:val="24"/>
                <w:szCs w:val="24"/>
              </w:rPr>
              <w:t>Одновременно в качестве альтернативы у кредитной организации сохраняется право использовать общий порядок формирования резервов, основанный на оценке финансового положения заемщиков и качества обслуживания долга по ссудам, предусматривающий льготный период (2 года), в течение которого кредитная организация может не формировать резерв на возможные потери по кредитам, предоставленным на реализацию инвестиционных проектов</w:t>
            </w:r>
            <w:r>
              <w:rPr>
                <w:rFonts w:ascii="Times New Roman" w:hAnsi="Times New Roman"/>
                <w:bCs/>
                <w:sz w:val="24"/>
                <w:szCs w:val="24"/>
              </w:rPr>
              <w:t>,</w:t>
            </w:r>
            <w:r w:rsidRPr="00147785">
              <w:rPr>
                <w:rFonts w:ascii="Times New Roman" w:hAnsi="Times New Roman"/>
                <w:bCs/>
                <w:color w:val="92D050"/>
                <w:sz w:val="24"/>
                <w:szCs w:val="24"/>
              </w:rPr>
              <w:t xml:space="preserve"> </w:t>
            </w:r>
            <w:r w:rsidRPr="00A119A1">
              <w:rPr>
                <w:rFonts w:ascii="Times New Roman" w:hAnsi="Times New Roman"/>
                <w:bCs/>
                <w:sz w:val="24"/>
                <w:szCs w:val="24"/>
              </w:rPr>
              <w:t xml:space="preserve">при отсутствии платежей по ссудам или их поступлении в незначительных размерах </w:t>
            </w:r>
            <w:r w:rsidRPr="00880FB1">
              <w:rPr>
                <w:rFonts w:ascii="Times New Roman" w:hAnsi="Times New Roman"/>
                <w:bCs/>
                <w:sz w:val="24"/>
                <w:szCs w:val="24"/>
              </w:rPr>
              <w:t>(п. 3.18 Положения № 590-П).</w:t>
            </w:r>
          </w:p>
          <w:p w:rsidR="00E56BB7" w:rsidRPr="00880FB1" w:rsidRDefault="00E56BB7" w:rsidP="00296936">
            <w:pPr>
              <w:spacing w:after="0" w:line="240" w:lineRule="auto"/>
              <w:ind w:firstLine="317"/>
              <w:contextualSpacing/>
              <w:jc w:val="both"/>
              <w:rPr>
                <w:rFonts w:ascii="Times New Roman" w:hAnsi="Times New Roman"/>
                <w:bCs/>
                <w:sz w:val="24"/>
                <w:szCs w:val="24"/>
              </w:rPr>
            </w:pPr>
            <w:r>
              <w:rPr>
                <w:rFonts w:ascii="Times New Roman" w:hAnsi="Times New Roman"/>
                <w:bCs/>
                <w:sz w:val="24"/>
                <w:szCs w:val="24"/>
              </w:rPr>
              <w:t>Учитывая, что данные подходы позволяют учитывать специфику конкретного финансируемого проекта, необходимость введения дополнительных мер для целей формирования резервов не усматриваем.</w:t>
            </w:r>
          </w:p>
          <w:p w:rsidR="00E56BB7" w:rsidRPr="00F82E46" w:rsidRDefault="00E56BB7" w:rsidP="00296936">
            <w:pPr>
              <w:spacing w:after="0" w:line="240" w:lineRule="auto"/>
              <w:ind w:firstLine="317"/>
              <w:rPr>
                <w:rFonts w:ascii="Times New Roman" w:hAnsi="Times New Roman" w:cs="Times New Roman"/>
                <w:sz w:val="10"/>
                <w:szCs w:val="10"/>
              </w:rPr>
            </w:pPr>
          </w:p>
          <w:p w:rsidR="00E56BB7" w:rsidRDefault="00E56BB7" w:rsidP="0029693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 xml:space="preserve">В части обязательных нормативов банков предоставление новых льгот </w:t>
            </w:r>
            <w:r w:rsidRPr="00E23FE1">
              <w:rPr>
                <w:rFonts w:ascii="Times New Roman" w:hAnsi="Times New Roman" w:cs="Times New Roman"/>
                <w:sz w:val="24"/>
                <w:szCs w:val="24"/>
              </w:rPr>
              <w:t xml:space="preserve">по расчету </w:t>
            </w:r>
            <w:r>
              <w:rPr>
                <w:rFonts w:ascii="Times New Roman" w:hAnsi="Times New Roman" w:cs="Times New Roman"/>
                <w:sz w:val="24"/>
                <w:szCs w:val="24"/>
              </w:rPr>
              <w:t xml:space="preserve">обязательных нормативов, в том числе, </w:t>
            </w:r>
            <w:r w:rsidRPr="00E23FE1">
              <w:rPr>
                <w:rFonts w:ascii="Times New Roman" w:hAnsi="Times New Roman" w:cs="Times New Roman"/>
                <w:sz w:val="24"/>
                <w:szCs w:val="24"/>
              </w:rPr>
              <w:t>нормативов Н6 и Н25</w:t>
            </w:r>
            <w:r>
              <w:rPr>
                <w:rFonts w:ascii="Times New Roman" w:hAnsi="Times New Roman" w:cs="Times New Roman"/>
                <w:sz w:val="24"/>
                <w:szCs w:val="24"/>
              </w:rPr>
              <w:t>, не планируется.</w:t>
            </w:r>
          </w:p>
          <w:p w:rsidR="00E56BB7" w:rsidRPr="00E23FE1" w:rsidRDefault="00E56BB7" w:rsidP="00296936">
            <w:pPr>
              <w:spacing w:after="0" w:line="240" w:lineRule="auto"/>
              <w:ind w:firstLine="317"/>
              <w:jc w:val="both"/>
              <w:rPr>
                <w:rFonts w:ascii="Times New Roman" w:hAnsi="Times New Roman" w:cs="Times New Roman"/>
                <w:sz w:val="24"/>
                <w:szCs w:val="24"/>
              </w:rPr>
            </w:pPr>
            <w:r w:rsidRPr="00E23FE1">
              <w:rPr>
                <w:rFonts w:ascii="Times New Roman" w:hAnsi="Times New Roman" w:cs="Times New Roman"/>
                <w:sz w:val="24"/>
                <w:szCs w:val="24"/>
              </w:rPr>
              <w:t>Полагаем, что дальнейшее ослабление нормативов концентрации рисков будет вести лишь к возрастанию рисков банков и снижению их финансовой устойчивости</w:t>
            </w:r>
            <w:r>
              <w:rPr>
                <w:rFonts w:ascii="Times New Roman" w:hAnsi="Times New Roman" w:cs="Times New Roman"/>
                <w:sz w:val="24"/>
                <w:szCs w:val="24"/>
              </w:rPr>
              <w:t>.</w:t>
            </w:r>
          </w:p>
          <w:p w:rsidR="00E56BB7" w:rsidRPr="006808A1" w:rsidRDefault="00E56BB7" w:rsidP="00296936">
            <w:pPr>
              <w:spacing w:after="0" w:line="240" w:lineRule="auto"/>
              <w:ind w:firstLine="317"/>
              <w:jc w:val="both"/>
              <w:rPr>
                <w:rFonts w:ascii="Times New Roman" w:hAnsi="Times New Roman" w:cs="Times New Roman"/>
                <w:sz w:val="24"/>
                <w:szCs w:val="24"/>
              </w:rPr>
            </w:pPr>
            <w:r w:rsidRPr="00E23FE1">
              <w:rPr>
                <w:rFonts w:ascii="Times New Roman" w:hAnsi="Times New Roman" w:cs="Times New Roman"/>
                <w:sz w:val="24"/>
                <w:szCs w:val="24"/>
              </w:rPr>
              <w:t xml:space="preserve">Дальнейшие направления решения задач в указанном направлении видятся в </w:t>
            </w:r>
            <w:proofErr w:type="spellStart"/>
            <w:r w:rsidRPr="00E23FE1">
              <w:rPr>
                <w:rFonts w:ascii="Times New Roman" w:hAnsi="Times New Roman" w:cs="Times New Roman"/>
                <w:sz w:val="24"/>
                <w:szCs w:val="24"/>
              </w:rPr>
              <w:t>докапитализации</w:t>
            </w:r>
            <w:proofErr w:type="spellEnd"/>
            <w:r w:rsidRPr="00E23FE1">
              <w:rPr>
                <w:rFonts w:ascii="Times New Roman" w:hAnsi="Times New Roman" w:cs="Times New Roman"/>
                <w:sz w:val="24"/>
                <w:szCs w:val="24"/>
              </w:rPr>
              <w:t xml:space="preserve"> российского банковского сектора, в том числе для соответствия потребностям в кредитовании со стороны крупнейших заемщиков, и в диверсификации структуры задо</w:t>
            </w:r>
            <w:r w:rsidR="006D2EA2">
              <w:rPr>
                <w:rFonts w:ascii="Times New Roman" w:hAnsi="Times New Roman" w:cs="Times New Roman"/>
                <w:sz w:val="24"/>
                <w:szCs w:val="24"/>
              </w:rPr>
              <w:t>лженности в разрезе кредиторов, в том числе путем развития синдицированного кредитования.</w:t>
            </w:r>
          </w:p>
          <w:p w:rsidR="00E56BB7" w:rsidRDefault="00E56BB7" w:rsidP="00296936">
            <w:pPr>
              <w:spacing w:after="0" w:line="240" w:lineRule="auto"/>
              <w:ind w:firstLine="317"/>
              <w:jc w:val="both"/>
              <w:rPr>
                <w:rFonts w:ascii="Times New Roman" w:hAnsi="Times New Roman" w:cs="Times New Roman"/>
                <w:sz w:val="24"/>
                <w:szCs w:val="24"/>
              </w:rPr>
            </w:pPr>
            <w:r w:rsidRPr="006808A1">
              <w:rPr>
                <w:rFonts w:ascii="Times New Roman" w:hAnsi="Times New Roman" w:cs="Times New Roman"/>
                <w:sz w:val="24"/>
                <w:szCs w:val="24"/>
              </w:rPr>
              <w:t xml:space="preserve">По нашему мнению, </w:t>
            </w:r>
            <w:r w:rsidRPr="00E23FE1">
              <w:rPr>
                <w:rFonts w:ascii="Times New Roman" w:hAnsi="Times New Roman" w:cs="Times New Roman"/>
                <w:sz w:val="24"/>
                <w:szCs w:val="24"/>
              </w:rPr>
              <w:t>это позволит решить проблему кредитования крупнейших заемщиков без неоправданного смягчения регулятивных норм.</w:t>
            </w:r>
          </w:p>
          <w:p w:rsidR="00E56BB7" w:rsidRDefault="00E56BB7" w:rsidP="00296936">
            <w:pPr>
              <w:spacing w:after="0" w:line="240" w:lineRule="auto"/>
              <w:ind w:firstLine="317"/>
              <w:jc w:val="both"/>
              <w:rPr>
                <w:rFonts w:ascii="Times New Roman" w:hAnsi="Times New Roman" w:cs="Times New Roman"/>
                <w:sz w:val="24"/>
                <w:szCs w:val="24"/>
              </w:rPr>
            </w:pPr>
            <w:r w:rsidRPr="00925189">
              <w:rPr>
                <w:rFonts w:ascii="Times New Roman" w:hAnsi="Times New Roman" w:cs="Times New Roman"/>
                <w:sz w:val="24"/>
                <w:szCs w:val="24"/>
              </w:rPr>
              <w:t xml:space="preserve">Кроме того, в качестве </w:t>
            </w:r>
            <w:r>
              <w:rPr>
                <w:rFonts w:ascii="Times New Roman" w:hAnsi="Times New Roman" w:cs="Times New Roman"/>
                <w:sz w:val="24"/>
                <w:szCs w:val="24"/>
              </w:rPr>
              <w:t xml:space="preserve">обеспечения механизмов </w:t>
            </w:r>
            <w:r w:rsidRPr="00925189">
              <w:rPr>
                <w:rFonts w:ascii="Times New Roman" w:hAnsi="Times New Roman" w:cs="Times New Roman"/>
                <w:sz w:val="24"/>
                <w:szCs w:val="24"/>
              </w:rPr>
              <w:t>кредитования крупных заемщиков можно рассматривать привлечение заемного финансирования посредством эмиссии ценных бумаг (облигаций), позволяющее получать финансирование как от банков, так и от иных участников финансового рынка, а также использование механизмов государственных гарантий</w:t>
            </w:r>
            <w:r>
              <w:rPr>
                <w:rFonts w:ascii="Times New Roman" w:hAnsi="Times New Roman" w:cs="Times New Roman"/>
                <w:sz w:val="24"/>
                <w:szCs w:val="24"/>
              </w:rPr>
              <w:t>.</w:t>
            </w:r>
          </w:p>
          <w:p w:rsidR="00E56BB7" w:rsidRPr="00F82E46" w:rsidRDefault="00E56BB7" w:rsidP="00296936">
            <w:pPr>
              <w:spacing w:after="0" w:line="240" w:lineRule="auto"/>
              <w:ind w:firstLine="317"/>
              <w:rPr>
                <w:rFonts w:ascii="Times New Roman" w:hAnsi="Times New Roman" w:cs="Times New Roman"/>
                <w:sz w:val="10"/>
                <w:szCs w:val="10"/>
              </w:rPr>
            </w:pPr>
          </w:p>
          <w:p w:rsidR="00E56BB7" w:rsidRPr="00A957A7" w:rsidRDefault="00E56BB7" w:rsidP="00296936">
            <w:pPr>
              <w:pStyle w:val="aa"/>
              <w:ind w:firstLine="317"/>
              <w:jc w:val="both"/>
              <w:rPr>
                <w:rFonts w:ascii="Times New Roman" w:hAnsi="Times New Roman"/>
                <w:sz w:val="24"/>
                <w:szCs w:val="24"/>
              </w:rPr>
            </w:pPr>
            <w:r w:rsidRPr="00A957A7">
              <w:rPr>
                <w:rFonts w:ascii="Times New Roman" w:hAnsi="Times New Roman"/>
                <w:sz w:val="24"/>
                <w:szCs w:val="24"/>
              </w:rPr>
              <w:t>Банк России планирует введение норматива концентрации кредитного риска на одного контрагента (группу связанных контрагентов) банковской группы, головной кредитной организацией которой является системно значимая кредитная организация (Н30) (далее – норматив Н30).</w:t>
            </w:r>
          </w:p>
          <w:p w:rsidR="00E56BB7" w:rsidRPr="00A957A7" w:rsidRDefault="00E56BB7" w:rsidP="00296936">
            <w:pPr>
              <w:pStyle w:val="aa"/>
              <w:ind w:firstLine="317"/>
              <w:jc w:val="both"/>
              <w:rPr>
                <w:rFonts w:ascii="Times New Roman" w:hAnsi="Times New Roman"/>
                <w:sz w:val="24"/>
                <w:szCs w:val="24"/>
              </w:rPr>
            </w:pPr>
            <w:r w:rsidRPr="00A957A7">
              <w:rPr>
                <w:rFonts w:ascii="Times New Roman" w:hAnsi="Times New Roman"/>
                <w:sz w:val="24"/>
                <w:szCs w:val="24"/>
              </w:rPr>
              <w:t xml:space="preserve">Разработка нормативного акта Банка России, определяющего порядок расчета и максимальное значение норматива Н30 для головных кредитных организаций банковских групп, осуществляется Банком России в рамках приведения российского банковского регулирования в соответствие с </w:t>
            </w:r>
            <w:proofErr w:type="spellStart"/>
            <w:r w:rsidRPr="00A957A7">
              <w:rPr>
                <w:rFonts w:ascii="Times New Roman" w:hAnsi="Times New Roman"/>
                <w:sz w:val="24"/>
                <w:szCs w:val="24"/>
              </w:rPr>
              <w:t>международно</w:t>
            </w:r>
            <w:proofErr w:type="spellEnd"/>
            <w:r w:rsidRPr="00A957A7">
              <w:rPr>
                <w:rFonts w:ascii="Times New Roman" w:hAnsi="Times New Roman"/>
                <w:sz w:val="24"/>
                <w:szCs w:val="24"/>
              </w:rPr>
              <w:t xml:space="preserve"> признанными подходами, в частности, с требованиями </w:t>
            </w:r>
            <w:r>
              <w:rPr>
                <w:rFonts w:ascii="Times New Roman" w:hAnsi="Times New Roman"/>
                <w:sz w:val="24"/>
                <w:szCs w:val="24"/>
              </w:rPr>
              <w:t>с</w:t>
            </w:r>
            <w:r w:rsidRPr="00A957A7">
              <w:rPr>
                <w:rFonts w:ascii="Times New Roman" w:hAnsi="Times New Roman"/>
                <w:sz w:val="24"/>
                <w:szCs w:val="24"/>
              </w:rPr>
              <w:t xml:space="preserve">тандарта </w:t>
            </w:r>
            <w:proofErr w:type="spellStart"/>
            <w:r w:rsidRPr="00A957A7">
              <w:rPr>
                <w:rFonts w:ascii="Times New Roman" w:hAnsi="Times New Roman"/>
                <w:sz w:val="24"/>
                <w:szCs w:val="24"/>
              </w:rPr>
              <w:t>Базельского</w:t>
            </w:r>
            <w:proofErr w:type="spellEnd"/>
            <w:r w:rsidRPr="00A957A7">
              <w:rPr>
                <w:rFonts w:ascii="Times New Roman" w:hAnsi="Times New Roman"/>
                <w:sz w:val="24"/>
                <w:szCs w:val="24"/>
              </w:rPr>
              <w:t xml:space="preserve"> комитета по банковскому надзору </w:t>
            </w:r>
            <w:r>
              <w:rPr>
                <w:rFonts w:ascii="Times New Roman" w:hAnsi="Times New Roman"/>
                <w:sz w:val="24"/>
                <w:szCs w:val="24"/>
              </w:rPr>
              <w:t>«</w:t>
            </w:r>
            <w:proofErr w:type="spellStart"/>
            <w:r w:rsidRPr="00A957A7">
              <w:rPr>
                <w:rFonts w:ascii="Times New Roman" w:hAnsi="Times New Roman"/>
                <w:sz w:val="24"/>
                <w:szCs w:val="24"/>
              </w:rPr>
              <w:t>Supervisory</w:t>
            </w:r>
            <w:proofErr w:type="spellEnd"/>
            <w:r w:rsidRPr="00A957A7">
              <w:rPr>
                <w:rFonts w:ascii="Times New Roman" w:hAnsi="Times New Roman"/>
                <w:sz w:val="24"/>
                <w:szCs w:val="24"/>
              </w:rPr>
              <w:t xml:space="preserve"> framework </w:t>
            </w:r>
            <w:proofErr w:type="spellStart"/>
            <w:r w:rsidRPr="00A957A7">
              <w:rPr>
                <w:rFonts w:ascii="Times New Roman" w:hAnsi="Times New Roman"/>
                <w:sz w:val="24"/>
                <w:szCs w:val="24"/>
              </w:rPr>
              <w:t>for</w:t>
            </w:r>
            <w:proofErr w:type="spellEnd"/>
            <w:r w:rsidRPr="00A957A7">
              <w:rPr>
                <w:rFonts w:ascii="Times New Roman" w:hAnsi="Times New Roman"/>
                <w:sz w:val="24"/>
                <w:szCs w:val="24"/>
              </w:rPr>
              <w:t xml:space="preserve"> </w:t>
            </w:r>
            <w:proofErr w:type="spellStart"/>
            <w:r w:rsidRPr="00A957A7">
              <w:rPr>
                <w:rFonts w:ascii="Times New Roman" w:hAnsi="Times New Roman"/>
                <w:sz w:val="24"/>
                <w:szCs w:val="24"/>
              </w:rPr>
              <w:t>measuring</w:t>
            </w:r>
            <w:proofErr w:type="spellEnd"/>
            <w:r w:rsidRPr="00A957A7">
              <w:rPr>
                <w:rFonts w:ascii="Times New Roman" w:hAnsi="Times New Roman"/>
                <w:sz w:val="24"/>
                <w:szCs w:val="24"/>
              </w:rPr>
              <w:t xml:space="preserve"> </w:t>
            </w:r>
            <w:proofErr w:type="spellStart"/>
            <w:r w:rsidRPr="00A957A7">
              <w:rPr>
                <w:rFonts w:ascii="Times New Roman" w:hAnsi="Times New Roman"/>
                <w:sz w:val="24"/>
                <w:szCs w:val="24"/>
              </w:rPr>
              <w:t>and</w:t>
            </w:r>
            <w:proofErr w:type="spellEnd"/>
            <w:r w:rsidRPr="00A957A7">
              <w:rPr>
                <w:rFonts w:ascii="Times New Roman" w:hAnsi="Times New Roman"/>
                <w:sz w:val="24"/>
                <w:szCs w:val="24"/>
              </w:rPr>
              <w:t xml:space="preserve"> </w:t>
            </w:r>
            <w:proofErr w:type="spellStart"/>
            <w:r w:rsidRPr="00A957A7">
              <w:rPr>
                <w:rFonts w:ascii="Times New Roman" w:hAnsi="Times New Roman"/>
                <w:sz w:val="24"/>
                <w:szCs w:val="24"/>
              </w:rPr>
              <w:t>controlling</w:t>
            </w:r>
            <w:proofErr w:type="spellEnd"/>
            <w:r w:rsidRPr="00A957A7">
              <w:rPr>
                <w:rFonts w:ascii="Times New Roman" w:hAnsi="Times New Roman"/>
                <w:sz w:val="24"/>
                <w:szCs w:val="24"/>
              </w:rPr>
              <w:t xml:space="preserve"> </w:t>
            </w:r>
            <w:proofErr w:type="spellStart"/>
            <w:r w:rsidRPr="00A957A7">
              <w:rPr>
                <w:rFonts w:ascii="Times New Roman" w:hAnsi="Times New Roman"/>
                <w:sz w:val="24"/>
                <w:szCs w:val="24"/>
              </w:rPr>
              <w:t>large</w:t>
            </w:r>
            <w:proofErr w:type="spellEnd"/>
            <w:r w:rsidRPr="00A957A7">
              <w:rPr>
                <w:rFonts w:ascii="Times New Roman" w:hAnsi="Times New Roman"/>
                <w:sz w:val="24"/>
                <w:szCs w:val="24"/>
              </w:rPr>
              <w:t xml:space="preserve"> </w:t>
            </w:r>
            <w:proofErr w:type="spellStart"/>
            <w:r w:rsidRPr="00A957A7">
              <w:rPr>
                <w:rFonts w:ascii="Times New Roman" w:hAnsi="Times New Roman"/>
                <w:sz w:val="24"/>
                <w:szCs w:val="24"/>
              </w:rPr>
              <w:t>exposures</w:t>
            </w:r>
            <w:proofErr w:type="spellEnd"/>
            <w:r>
              <w:rPr>
                <w:rFonts w:ascii="Times New Roman" w:hAnsi="Times New Roman"/>
                <w:sz w:val="24"/>
                <w:szCs w:val="24"/>
              </w:rPr>
              <w:t>»</w:t>
            </w:r>
            <w:r w:rsidRPr="00A957A7">
              <w:rPr>
                <w:rFonts w:ascii="Times New Roman" w:hAnsi="Times New Roman"/>
                <w:sz w:val="24"/>
                <w:szCs w:val="24"/>
              </w:rPr>
              <w:t xml:space="preserve"> (далее – Стандарт БКБН) (апрель 2014 года). </w:t>
            </w:r>
          </w:p>
          <w:p w:rsidR="00E56BB7" w:rsidRPr="00A957A7" w:rsidRDefault="00E56BB7" w:rsidP="00296936">
            <w:pPr>
              <w:pStyle w:val="aa"/>
              <w:ind w:firstLine="317"/>
              <w:jc w:val="both"/>
              <w:rPr>
                <w:rFonts w:ascii="Times New Roman" w:hAnsi="Times New Roman"/>
                <w:sz w:val="24"/>
                <w:szCs w:val="24"/>
              </w:rPr>
            </w:pPr>
            <w:r w:rsidRPr="00A957A7">
              <w:rPr>
                <w:rFonts w:ascii="Times New Roman" w:hAnsi="Times New Roman"/>
                <w:sz w:val="24"/>
                <w:szCs w:val="24"/>
              </w:rPr>
              <w:lastRenderedPageBreak/>
              <w:t xml:space="preserve">Целью введения нового норматива Н30 является ограничение максимально возможных потерь системно значимых кредитных организаций в случае внезапной неплатежеспособности одного заемщика или группы связанных заемщиков до уровня, не ставящего под угрозу платежеспособность банковской группы или ее отдельных участников - кредитных организаций. Выявление крупных рисков на контрагента на уровне банковской группы позволяет учитывать каналы передачи и распространения риска по финансовой системе, в том числе от </w:t>
            </w:r>
            <w:proofErr w:type="spellStart"/>
            <w:r w:rsidRPr="00A957A7">
              <w:rPr>
                <w:rFonts w:ascii="Times New Roman" w:hAnsi="Times New Roman"/>
                <w:sz w:val="24"/>
                <w:szCs w:val="24"/>
              </w:rPr>
              <w:t>некредитных</w:t>
            </w:r>
            <w:proofErr w:type="spellEnd"/>
            <w:r w:rsidRPr="00A957A7">
              <w:rPr>
                <w:rFonts w:ascii="Times New Roman" w:hAnsi="Times New Roman"/>
                <w:sz w:val="24"/>
                <w:szCs w:val="24"/>
              </w:rPr>
              <w:t xml:space="preserve"> финансовых институтов, входящих в состав банковских групп.</w:t>
            </w:r>
          </w:p>
          <w:p w:rsidR="00E56BB7" w:rsidRPr="00A957A7" w:rsidRDefault="00E56BB7" w:rsidP="00296936">
            <w:pPr>
              <w:pStyle w:val="aa"/>
              <w:ind w:firstLine="317"/>
              <w:jc w:val="both"/>
              <w:rPr>
                <w:rFonts w:ascii="Times New Roman" w:hAnsi="Times New Roman"/>
                <w:sz w:val="24"/>
                <w:szCs w:val="24"/>
              </w:rPr>
            </w:pPr>
            <w:r w:rsidRPr="00A957A7">
              <w:rPr>
                <w:rFonts w:ascii="Times New Roman" w:hAnsi="Times New Roman"/>
                <w:sz w:val="24"/>
                <w:szCs w:val="24"/>
              </w:rPr>
              <w:t xml:space="preserve">Издание данного нормативного акта Банка России требует внесения изменений в Федеральный закон </w:t>
            </w:r>
            <w:r>
              <w:rPr>
                <w:rFonts w:ascii="Times New Roman" w:hAnsi="Times New Roman"/>
                <w:sz w:val="24"/>
                <w:szCs w:val="24"/>
              </w:rPr>
              <w:t>«</w:t>
            </w:r>
            <w:r w:rsidRPr="00A957A7">
              <w:rPr>
                <w:rFonts w:ascii="Times New Roman" w:hAnsi="Times New Roman"/>
                <w:sz w:val="24"/>
                <w:szCs w:val="24"/>
              </w:rPr>
              <w:t>О Центральном банке Российской Федерации (Банке России)</w:t>
            </w:r>
            <w:r>
              <w:rPr>
                <w:rFonts w:ascii="Times New Roman" w:hAnsi="Times New Roman"/>
                <w:sz w:val="24"/>
                <w:szCs w:val="24"/>
              </w:rPr>
              <w:t>»</w:t>
            </w:r>
            <w:r w:rsidRPr="00A957A7">
              <w:rPr>
                <w:rFonts w:ascii="Times New Roman" w:hAnsi="Times New Roman"/>
                <w:sz w:val="24"/>
                <w:szCs w:val="24"/>
              </w:rPr>
              <w:t xml:space="preserve">, поскольку норматив Н30 в отличие от нормативов максимального размера риска на одного заемщика (группу связанных заемщиков) кредитной организации (банковской группы) (Н6 и Н21) рассчитывается как отношение совокупных требований банковской группы к контрагенту к величине основного капитала банковской группы, а не </w:t>
            </w:r>
            <w:r>
              <w:rPr>
                <w:rFonts w:ascii="Times New Roman" w:hAnsi="Times New Roman"/>
                <w:sz w:val="24"/>
                <w:szCs w:val="24"/>
              </w:rPr>
              <w:t xml:space="preserve">к величине </w:t>
            </w:r>
            <w:r w:rsidRPr="00A957A7">
              <w:rPr>
                <w:rFonts w:ascii="Times New Roman" w:hAnsi="Times New Roman"/>
                <w:sz w:val="24"/>
                <w:szCs w:val="24"/>
              </w:rPr>
              <w:t>ее собственных средств</w:t>
            </w:r>
            <w:r>
              <w:rPr>
                <w:rFonts w:ascii="Times New Roman" w:hAnsi="Times New Roman"/>
                <w:sz w:val="24"/>
                <w:szCs w:val="24"/>
              </w:rPr>
              <w:t xml:space="preserve"> (капитала)</w:t>
            </w:r>
            <w:r w:rsidRPr="00A957A7">
              <w:rPr>
                <w:rFonts w:ascii="Times New Roman" w:hAnsi="Times New Roman"/>
                <w:sz w:val="24"/>
                <w:szCs w:val="24"/>
              </w:rPr>
              <w:t>.</w:t>
            </w:r>
          </w:p>
          <w:p w:rsidR="00E56BB7" w:rsidRPr="008145F9" w:rsidRDefault="00E56BB7" w:rsidP="00296936">
            <w:pPr>
              <w:pStyle w:val="aa"/>
              <w:ind w:firstLine="317"/>
              <w:jc w:val="both"/>
              <w:rPr>
                <w:rFonts w:ascii="Times New Roman" w:hAnsi="Times New Roman"/>
                <w:sz w:val="24"/>
                <w:szCs w:val="24"/>
              </w:rPr>
            </w:pPr>
            <w:r w:rsidRPr="00A957A7">
              <w:rPr>
                <w:rFonts w:ascii="Times New Roman" w:hAnsi="Times New Roman"/>
                <w:sz w:val="24"/>
                <w:szCs w:val="24"/>
              </w:rPr>
              <w:t xml:space="preserve">Планируемый срок подготовки нормативного акта – </w:t>
            </w:r>
            <w:r w:rsidRPr="00A957A7">
              <w:rPr>
                <w:rFonts w:ascii="Times New Roman" w:hAnsi="Times New Roman"/>
                <w:sz w:val="24"/>
                <w:szCs w:val="24"/>
                <w:lang w:val="en-US"/>
              </w:rPr>
              <w:t>II</w:t>
            </w:r>
            <w:r w:rsidRPr="00A957A7">
              <w:rPr>
                <w:rFonts w:ascii="Times New Roman" w:hAnsi="Times New Roman"/>
                <w:sz w:val="24"/>
                <w:szCs w:val="24"/>
              </w:rPr>
              <w:t xml:space="preserve"> квартал</w:t>
            </w:r>
            <w:r>
              <w:rPr>
                <w:rFonts w:ascii="Times New Roman" w:hAnsi="Times New Roman"/>
                <w:sz w:val="24"/>
                <w:szCs w:val="24"/>
              </w:rPr>
              <w:t xml:space="preserve"> </w:t>
            </w:r>
            <w:r w:rsidRPr="00A957A7">
              <w:rPr>
                <w:rFonts w:ascii="Times New Roman" w:hAnsi="Times New Roman"/>
                <w:sz w:val="24"/>
                <w:szCs w:val="24"/>
              </w:rPr>
              <w:t>2021 года, планируемый срок введения нового норматива – не ранее</w:t>
            </w:r>
            <w:r>
              <w:rPr>
                <w:rFonts w:ascii="Times New Roman" w:hAnsi="Times New Roman"/>
                <w:sz w:val="24"/>
                <w:szCs w:val="24"/>
              </w:rPr>
              <w:t xml:space="preserve"> </w:t>
            </w:r>
            <w:r w:rsidRPr="00A957A7">
              <w:rPr>
                <w:rFonts w:ascii="Times New Roman" w:hAnsi="Times New Roman"/>
                <w:sz w:val="24"/>
                <w:szCs w:val="24"/>
              </w:rPr>
              <w:t>2022 года.</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3</w:t>
            </w:r>
          </w:p>
        </w:tc>
        <w:tc>
          <w:tcPr>
            <w:tcW w:w="6424" w:type="dxa"/>
            <w:tcBorders>
              <w:bottom w:val="single" w:sz="4" w:space="0" w:color="auto"/>
            </w:tcBorders>
          </w:tcPr>
          <w:p w:rsidR="00E56BB7" w:rsidRPr="008145F9" w:rsidRDefault="00E56BB7" w:rsidP="00296936">
            <w:pPr>
              <w:tabs>
                <w:tab w:val="left" w:pos="426"/>
                <w:tab w:val="left" w:pos="993"/>
              </w:tabs>
              <w:spacing w:after="0" w:line="240" w:lineRule="auto"/>
              <w:ind w:firstLine="362"/>
              <w:contextualSpacing/>
              <w:jc w:val="both"/>
              <w:rPr>
                <w:rFonts w:ascii="Times New Roman" w:hAnsi="Times New Roman" w:cs="Times New Roman"/>
                <w:sz w:val="24"/>
                <w:szCs w:val="24"/>
              </w:rPr>
            </w:pPr>
            <w:r w:rsidRPr="008145F9">
              <w:rPr>
                <w:rFonts w:ascii="Times New Roman" w:hAnsi="Times New Roman"/>
                <w:sz w:val="24"/>
                <w:szCs w:val="24"/>
              </w:rPr>
              <w:t>Планирует ли Банк России введение для банков дополнительных мер стимулирования для предоставления кредитов и/или банковских гарантий предприятиям в рамках программ государственной поддержки, например, в рамках Фонда развития промышленности?</w:t>
            </w:r>
          </w:p>
        </w:tc>
        <w:tc>
          <w:tcPr>
            <w:tcW w:w="7938" w:type="dxa"/>
            <w:tcBorders>
              <w:bottom w:val="single" w:sz="4" w:space="0" w:color="auto"/>
            </w:tcBorders>
          </w:tcPr>
          <w:p w:rsidR="00253A16" w:rsidRPr="008145F9" w:rsidRDefault="00253A16" w:rsidP="00253A1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xml:space="preserve">Указанием Банка России от 11.01.2021 № 5690-У </w:t>
            </w:r>
            <w:r>
              <w:rPr>
                <w:rFonts w:ascii="Times New Roman" w:hAnsi="Times New Roman" w:cs="Times New Roman"/>
                <w:sz w:val="24"/>
                <w:szCs w:val="24"/>
              </w:rPr>
              <w:t>«</w:t>
            </w:r>
            <w:r w:rsidRPr="008145F9">
              <w:rPr>
                <w:rFonts w:ascii="Times New Roman" w:hAnsi="Times New Roman" w:cs="Times New Roman"/>
                <w:sz w:val="24"/>
                <w:szCs w:val="24"/>
              </w:rPr>
              <w:t xml:space="preserve">О внесении изменений в Положение Банка России от 28 июня 2017 года № 590-П </w:t>
            </w:r>
            <w:r>
              <w:rPr>
                <w:rFonts w:ascii="Times New Roman" w:hAnsi="Times New Roman" w:cs="Times New Roman"/>
                <w:sz w:val="24"/>
                <w:szCs w:val="24"/>
              </w:rPr>
              <w:br/>
              <w:t>«</w:t>
            </w:r>
            <w:r w:rsidRPr="008145F9">
              <w:rPr>
                <w:rFonts w:ascii="Times New Roman" w:hAnsi="Times New Roman" w:cs="Times New Roman"/>
                <w:sz w:val="24"/>
                <w:szCs w:val="24"/>
              </w:rPr>
              <w:t>О порядке формирования кредитными организациями резервов на возможные потери по ссудам, ссудной и приравненной к ней задолженности</w:t>
            </w:r>
            <w:r>
              <w:rPr>
                <w:rFonts w:ascii="Times New Roman" w:hAnsi="Times New Roman" w:cs="Times New Roman"/>
                <w:sz w:val="24"/>
                <w:szCs w:val="24"/>
              </w:rPr>
              <w:t>»</w:t>
            </w:r>
            <w:r w:rsidRPr="008145F9">
              <w:rPr>
                <w:rFonts w:ascii="Times New Roman" w:hAnsi="Times New Roman" w:cs="Times New Roman"/>
                <w:sz w:val="24"/>
                <w:szCs w:val="24"/>
              </w:rPr>
              <w:t xml:space="preserve"> (</w:t>
            </w:r>
            <w:r>
              <w:rPr>
                <w:rFonts w:ascii="Times New Roman" w:hAnsi="Times New Roman" w:cs="Times New Roman"/>
                <w:sz w:val="24"/>
                <w:szCs w:val="24"/>
              </w:rPr>
              <w:t>проходит процедуру</w:t>
            </w:r>
            <w:r w:rsidRPr="008145F9">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8145F9">
              <w:rPr>
                <w:rFonts w:ascii="Times New Roman" w:hAnsi="Times New Roman" w:cs="Times New Roman"/>
                <w:sz w:val="24"/>
                <w:szCs w:val="24"/>
              </w:rPr>
              <w:t xml:space="preserve"> регистраци</w:t>
            </w:r>
            <w:r>
              <w:rPr>
                <w:rFonts w:ascii="Times New Roman" w:hAnsi="Times New Roman" w:cs="Times New Roman"/>
                <w:sz w:val="24"/>
                <w:szCs w:val="24"/>
              </w:rPr>
              <w:t>и</w:t>
            </w:r>
            <w:r w:rsidRPr="008145F9">
              <w:rPr>
                <w:rFonts w:ascii="Times New Roman" w:hAnsi="Times New Roman" w:cs="Times New Roman"/>
                <w:sz w:val="24"/>
                <w:szCs w:val="24"/>
              </w:rPr>
              <w:t xml:space="preserve">  Минюст</w:t>
            </w:r>
            <w:r>
              <w:rPr>
                <w:rFonts w:ascii="Times New Roman" w:hAnsi="Times New Roman" w:cs="Times New Roman"/>
                <w:sz w:val="24"/>
                <w:szCs w:val="24"/>
              </w:rPr>
              <w:t>ом</w:t>
            </w:r>
            <w:r w:rsidRPr="008145F9">
              <w:rPr>
                <w:rFonts w:ascii="Times New Roman" w:hAnsi="Times New Roman" w:cs="Times New Roman"/>
                <w:sz w:val="24"/>
                <w:szCs w:val="24"/>
              </w:rPr>
              <w:t xml:space="preserve"> России) кредитным организациям предоставляется возможность принимать решение о неухудшении качества обслуживания долга по реструктурированным ссудам на основании актов Правительства Российской Федерации независимо от оценки финансового положения заемщика.</w:t>
            </w:r>
          </w:p>
          <w:p w:rsidR="00E56BB7" w:rsidRPr="00F82E46" w:rsidRDefault="00E56BB7" w:rsidP="00296936">
            <w:pPr>
              <w:spacing w:after="0" w:line="240" w:lineRule="auto"/>
              <w:ind w:firstLine="317"/>
              <w:contextualSpacing/>
              <w:jc w:val="both"/>
              <w:rPr>
                <w:rFonts w:ascii="Times New Roman" w:hAnsi="Times New Roman" w:cs="Times New Roman"/>
                <w:sz w:val="10"/>
                <w:szCs w:val="10"/>
              </w:rPr>
            </w:pPr>
          </w:p>
          <w:p w:rsidR="00E56BB7" w:rsidRPr="000F3ED0" w:rsidRDefault="00E56BB7" w:rsidP="00296936">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Также отмечаем, что, в</w:t>
            </w:r>
            <w:r w:rsidRPr="000F3ED0">
              <w:rPr>
                <w:rFonts w:ascii="Times New Roman" w:hAnsi="Times New Roman" w:cs="Times New Roman"/>
                <w:sz w:val="24"/>
                <w:szCs w:val="24"/>
              </w:rPr>
              <w:t xml:space="preserve"> рамках Дорожной карты по развитию финансирования МСП на 2021-2022 годы (далее – Дорожная карта), </w:t>
            </w:r>
            <w:r w:rsidRPr="000F3ED0">
              <w:rPr>
                <w:rFonts w:ascii="Times New Roman" w:hAnsi="Times New Roman" w:cs="Times New Roman"/>
                <w:sz w:val="24"/>
                <w:szCs w:val="24"/>
              </w:rPr>
              <w:lastRenderedPageBreak/>
              <w:t>утвержденной Банком России в конце 2020 года предусмотрены мероприятия по проработке подходов к оптимизации резервирования (возможность не начислять повышенные резервы). В частности, по ссудам, обеспеченным поручительствами региональных гарантийных организаций (далее – РГО), запланирована:</w:t>
            </w:r>
          </w:p>
          <w:p w:rsidR="00E56BB7" w:rsidRPr="000F3ED0" w:rsidRDefault="00E56BB7" w:rsidP="00296936">
            <w:pPr>
              <w:spacing w:after="0" w:line="240" w:lineRule="auto"/>
              <w:ind w:firstLine="317"/>
              <w:contextualSpacing/>
              <w:jc w:val="both"/>
              <w:rPr>
                <w:rFonts w:ascii="Times New Roman" w:hAnsi="Times New Roman" w:cs="Times New Roman"/>
                <w:sz w:val="24"/>
                <w:szCs w:val="24"/>
              </w:rPr>
            </w:pPr>
            <w:r w:rsidRPr="000F3ED0">
              <w:rPr>
                <w:rFonts w:ascii="Times New Roman" w:hAnsi="Times New Roman" w:cs="Times New Roman"/>
                <w:sz w:val="24"/>
                <w:szCs w:val="24"/>
              </w:rPr>
              <w:t>– проработка совместно с АО «Корпорация «МСП» механизма присвоения РГО I категории качества обеспечения в соответствии с Положением № 590-П;</w:t>
            </w:r>
          </w:p>
          <w:p w:rsidR="00E56BB7" w:rsidRPr="008145F9" w:rsidRDefault="00E56BB7" w:rsidP="00296936">
            <w:pPr>
              <w:spacing w:after="0" w:line="240" w:lineRule="auto"/>
              <w:ind w:firstLine="317"/>
              <w:contextualSpacing/>
              <w:jc w:val="both"/>
              <w:rPr>
                <w:rFonts w:ascii="Times New Roman" w:hAnsi="Times New Roman" w:cs="Times New Roman"/>
                <w:sz w:val="24"/>
                <w:szCs w:val="24"/>
              </w:rPr>
            </w:pPr>
            <w:r w:rsidRPr="000F3ED0">
              <w:rPr>
                <w:rFonts w:ascii="Times New Roman" w:hAnsi="Times New Roman" w:cs="Times New Roman"/>
                <w:sz w:val="24"/>
                <w:szCs w:val="24"/>
              </w:rPr>
              <w:t>– подготовка совместно с АО «Корпорация «МСП» предложений и информации о действующих организационно-правовых формах РГО в целях проработки возможности внесения изменения в подпункт 6.3.4 пункта 6.3 Положения № 590-П в части закрепления нормы о категории качества поручительства РГО с учетом законодательного статуса РГО.</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4</w:t>
            </w:r>
          </w:p>
        </w:tc>
        <w:tc>
          <w:tcPr>
            <w:tcW w:w="6424" w:type="dxa"/>
            <w:tcBorders>
              <w:bottom w:val="single" w:sz="4" w:space="0" w:color="auto"/>
            </w:tcBorders>
          </w:tcPr>
          <w:p w:rsidR="00E56BB7" w:rsidRPr="008145F9" w:rsidRDefault="00E56BB7" w:rsidP="00296936">
            <w:pPr>
              <w:tabs>
                <w:tab w:val="left" w:pos="426"/>
                <w:tab w:val="left" w:pos="993"/>
              </w:tabs>
              <w:spacing w:after="0" w:line="240" w:lineRule="auto"/>
              <w:ind w:firstLine="362"/>
              <w:contextualSpacing/>
              <w:jc w:val="both"/>
              <w:rPr>
                <w:rFonts w:ascii="Times New Roman" w:hAnsi="Times New Roman" w:cs="Times New Roman"/>
                <w:sz w:val="24"/>
                <w:szCs w:val="24"/>
              </w:rPr>
            </w:pPr>
            <w:r w:rsidRPr="008145F9">
              <w:rPr>
                <w:rFonts w:ascii="Times New Roman" w:hAnsi="Times New Roman"/>
                <w:sz w:val="24"/>
                <w:szCs w:val="24"/>
              </w:rPr>
              <w:t>Какие механизмы поддержки кредитования МСП планируются Банком России к реализации в 2021 году?</w:t>
            </w:r>
          </w:p>
        </w:tc>
        <w:tc>
          <w:tcPr>
            <w:tcW w:w="7938" w:type="dxa"/>
            <w:tcBorders>
              <w:bottom w:val="single" w:sz="4" w:space="0" w:color="auto"/>
            </w:tcBorders>
          </w:tcPr>
          <w:p w:rsidR="00E56BB7" w:rsidRPr="008145F9"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xml:space="preserve">Указанием Банка России от 11.01.2021 № 5690-У </w:t>
            </w:r>
            <w:r>
              <w:rPr>
                <w:rFonts w:ascii="Times New Roman" w:hAnsi="Times New Roman" w:cs="Times New Roman"/>
                <w:sz w:val="24"/>
                <w:szCs w:val="24"/>
              </w:rPr>
              <w:t>«</w:t>
            </w:r>
            <w:r w:rsidRPr="008145F9">
              <w:rPr>
                <w:rFonts w:ascii="Times New Roman" w:hAnsi="Times New Roman" w:cs="Times New Roman"/>
                <w:sz w:val="24"/>
                <w:szCs w:val="24"/>
              </w:rPr>
              <w:t xml:space="preserve">О внесении изменений в Положение Банка России от 28 июня 2017 года № 590-П </w:t>
            </w:r>
            <w:r>
              <w:rPr>
                <w:rFonts w:ascii="Times New Roman" w:hAnsi="Times New Roman" w:cs="Times New Roman"/>
                <w:sz w:val="24"/>
                <w:szCs w:val="24"/>
              </w:rPr>
              <w:t>«</w:t>
            </w:r>
            <w:r w:rsidRPr="008145F9">
              <w:rPr>
                <w:rFonts w:ascii="Times New Roman" w:hAnsi="Times New Roman" w:cs="Times New Roman"/>
                <w:sz w:val="24"/>
                <w:szCs w:val="24"/>
              </w:rPr>
              <w:t>О порядке формирования кредитными организациями резервов на возможные потери по ссудам, ссудной и приравненной к ней задолженности</w:t>
            </w:r>
            <w:r>
              <w:rPr>
                <w:rFonts w:ascii="Times New Roman" w:hAnsi="Times New Roman" w:cs="Times New Roman"/>
                <w:sz w:val="24"/>
                <w:szCs w:val="24"/>
              </w:rPr>
              <w:t>»</w:t>
            </w:r>
            <w:r w:rsidRPr="008145F9">
              <w:rPr>
                <w:rFonts w:ascii="Times New Roman" w:hAnsi="Times New Roman" w:cs="Times New Roman"/>
                <w:sz w:val="24"/>
                <w:szCs w:val="24"/>
              </w:rPr>
              <w:t xml:space="preserve"> (12.01.2021 направлено на государственную регистрацию в Минюст России) реализуются нормы, направленные</w:t>
            </w:r>
            <w:r w:rsidR="00253A16">
              <w:rPr>
                <w:rFonts w:ascii="Times New Roman" w:hAnsi="Times New Roman" w:cs="Times New Roman"/>
                <w:sz w:val="24"/>
                <w:szCs w:val="24"/>
              </w:rPr>
              <w:t>, в том числе,</w:t>
            </w:r>
            <w:r w:rsidRPr="008145F9">
              <w:rPr>
                <w:rFonts w:ascii="Times New Roman" w:hAnsi="Times New Roman" w:cs="Times New Roman"/>
                <w:sz w:val="24"/>
                <w:szCs w:val="24"/>
              </w:rPr>
              <w:t xml:space="preserve"> на поддержку кредитования субъектов малого и среднего предпринимательства (далее – МСП), которыми установлена:</w:t>
            </w:r>
          </w:p>
          <w:p w:rsidR="00E56BB7" w:rsidRPr="008145F9"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xml:space="preserve">- </w:t>
            </w:r>
            <w:r w:rsidR="00253A16" w:rsidRPr="008145F9">
              <w:rPr>
                <w:rFonts w:ascii="Times New Roman" w:hAnsi="Times New Roman" w:cs="Times New Roman"/>
                <w:sz w:val="24"/>
                <w:szCs w:val="24"/>
              </w:rPr>
              <w:t xml:space="preserve">возможность </w:t>
            </w:r>
            <w:r w:rsidRPr="008145F9">
              <w:rPr>
                <w:rFonts w:ascii="Times New Roman" w:hAnsi="Times New Roman" w:cs="Times New Roman"/>
                <w:sz w:val="24"/>
                <w:szCs w:val="24"/>
              </w:rPr>
              <w:t>продолжать использовать подходы, предусмотренные для ссуд, предоставленных заемщикам - субъектам МСП, в течение года с даты их исключения из единого реестра субъектов МСП;</w:t>
            </w:r>
          </w:p>
          <w:p w:rsidR="00E56BB7" w:rsidRPr="008145F9"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xml:space="preserve">- </w:t>
            </w:r>
            <w:r w:rsidR="00253A16">
              <w:rPr>
                <w:rFonts w:ascii="Times New Roman" w:hAnsi="Times New Roman" w:cs="Times New Roman"/>
                <w:sz w:val="24"/>
                <w:szCs w:val="24"/>
              </w:rPr>
              <w:t xml:space="preserve">право </w:t>
            </w:r>
            <w:r w:rsidRPr="008145F9">
              <w:rPr>
                <w:rFonts w:ascii="Times New Roman" w:hAnsi="Times New Roman" w:cs="Times New Roman"/>
                <w:sz w:val="24"/>
                <w:szCs w:val="24"/>
              </w:rPr>
              <w:t>не осуществлять оценку реальности деятельности в отношении:</w:t>
            </w:r>
          </w:p>
          <w:p w:rsidR="00E56BB7" w:rsidRPr="008145F9"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xml:space="preserve">- ссуд, предоставленных заемщикам – субъектам МСП, обеспеченных поручительством (гарантией) АО </w:t>
            </w:r>
            <w:r>
              <w:rPr>
                <w:rFonts w:ascii="Times New Roman" w:hAnsi="Times New Roman" w:cs="Times New Roman"/>
                <w:sz w:val="24"/>
                <w:szCs w:val="24"/>
              </w:rPr>
              <w:t>«</w:t>
            </w:r>
            <w:r w:rsidRPr="008145F9">
              <w:rPr>
                <w:rFonts w:ascii="Times New Roman" w:hAnsi="Times New Roman" w:cs="Times New Roman"/>
                <w:sz w:val="24"/>
                <w:szCs w:val="24"/>
              </w:rPr>
              <w:t xml:space="preserve">Корпорация </w:t>
            </w:r>
            <w:r>
              <w:rPr>
                <w:rFonts w:ascii="Times New Roman" w:hAnsi="Times New Roman" w:cs="Times New Roman"/>
                <w:sz w:val="24"/>
                <w:szCs w:val="24"/>
              </w:rPr>
              <w:t>«</w:t>
            </w:r>
            <w:r w:rsidRPr="008145F9">
              <w:rPr>
                <w:rFonts w:ascii="Times New Roman" w:hAnsi="Times New Roman" w:cs="Times New Roman"/>
                <w:sz w:val="24"/>
                <w:szCs w:val="24"/>
              </w:rPr>
              <w:t>МСП</w:t>
            </w:r>
            <w:r>
              <w:rPr>
                <w:rFonts w:ascii="Times New Roman" w:hAnsi="Times New Roman" w:cs="Times New Roman"/>
                <w:sz w:val="24"/>
                <w:szCs w:val="24"/>
              </w:rPr>
              <w:t>»</w:t>
            </w:r>
            <w:r w:rsidRPr="008145F9">
              <w:rPr>
                <w:rFonts w:ascii="Times New Roman" w:hAnsi="Times New Roman" w:cs="Times New Roman"/>
                <w:sz w:val="24"/>
                <w:szCs w:val="24"/>
              </w:rPr>
              <w:t xml:space="preserve">, </w:t>
            </w:r>
          </w:p>
          <w:p w:rsidR="00E56BB7" w:rsidRPr="008145F9"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ссуд, предоставленных заемщикам – юридическим лицам, в том числе субъектам МСП, на осуществление деятельности в сфере закупок товаров, работ, услуг в соответствии с требованиями Федер</w:t>
            </w:r>
            <w:r>
              <w:rPr>
                <w:rFonts w:ascii="Times New Roman" w:hAnsi="Times New Roman" w:cs="Times New Roman"/>
                <w:sz w:val="24"/>
                <w:szCs w:val="24"/>
              </w:rPr>
              <w:t xml:space="preserve">ального закона от </w:t>
            </w:r>
            <w:r>
              <w:rPr>
                <w:rFonts w:ascii="Times New Roman" w:hAnsi="Times New Roman" w:cs="Times New Roman"/>
                <w:sz w:val="24"/>
                <w:szCs w:val="24"/>
              </w:rPr>
              <w:lastRenderedPageBreak/>
              <w:t xml:space="preserve">18.07.2011 </w:t>
            </w:r>
            <w:r w:rsidRPr="008145F9">
              <w:rPr>
                <w:rFonts w:ascii="Times New Roman" w:hAnsi="Times New Roman" w:cs="Times New Roman"/>
                <w:sz w:val="24"/>
                <w:szCs w:val="24"/>
              </w:rPr>
              <w:t xml:space="preserve">№ 223-ФЗ </w:t>
            </w:r>
            <w:r>
              <w:rPr>
                <w:rFonts w:ascii="Times New Roman" w:hAnsi="Times New Roman" w:cs="Times New Roman"/>
                <w:sz w:val="24"/>
                <w:szCs w:val="24"/>
              </w:rPr>
              <w:t>«</w:t>
            </w:r>
            <w:r w:rsidRPr="008145F9">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r w:rsidRPr="008145F9">
              <w:rPr>
                <w:rFonts w:ascii="Times New Roman" w:hAnsi="Times New Roman" w:cs="Times New Roman"/>
                <w:sz w:val="24"/>
                <w:szCs w:val="24"/>
              </w:rPr>
              <w:t xml:space="preserve">, </w:t>
            </w:r>
          </w:p>
          <w:p w:rsidR="00E56BB7"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ссуд, предоставленных заемщикам - субъектам МСП, на которые распространяются меры государственной поддержки в соответствии с актами Пра</w:t>
            </w:r>
            <w:r w:rsidR="00253A16">
              <w:rPr>
                <w:rFonts w:ascii="Times New Roman" w:hAnsi="Times New Roman" w:cs="Times New Roman"/>
                <w:sz w:val="24"/>
                <w:szCs w:val="24"/>
              </w:rPr>
              <w:t>вительства Российской Федерации;</w:t>
            </w:r>
          </w:p>
          <w:p w:rsidR="00253A16" w:rsidRPr="006336FD" w:rsidRDefault="00253A16" w:rsidP="00253A16">
            <w:pPr>
              <w:tabs>
                <w:tab w:val="left" w:pos="993"/>
              </w:tabs>
              <w:spacing w:after="0" w:line="240" w:lineRule="auto"/>
              <w:ind w:firstLine="317"/>
              <w:contextualSpacing/>
              <w:jc w:val="both"/>
              <w:rPr>
                <w:rFonts w:ascii="Times New Roman" w:hAnsi="Times New Roman" w:cs="Times New Roman"/>
                <w:sz w:val="24"/>
                <w:szCs w:val="24"/>
              </w:rPr>
            </w:pPr>
            <w:r w:rsidRPr="006336FD">
              <w:rPr>
                <w:rFonts w:ascii="Times New Roman" w:hAnsi="Times New Roman" w:cs="Times New Roman"/>
                <w:sz w:val="24"/>
                <w:szCs w:val="24"/>
              </w:rPr>
              <w:t>- возможност</w:t>
            </w:r>
            <w:r>
              <w:rPr>
                <w:rFonts w:ascii="Times New Roman" w:hAnsi="Times New Roman" w:cs="Times New Roman"/>
                <w:sz w:val="24"/>
                <w:szCs w:val="24"/>
              </w:rPr>
              <w:t>ь</w:t>
            </w:r>
            <w:r w:rsidRPr="006336FD">
              <w:rPr>
                <w:rFonts w:ascii="Times New Roman" w:hAnsi="Times New Roman" w:cs="Times New Roman"/>
                <w:sz w:val="24"/>
                <w:szCs w:val="24"/>
              </w:rPr>
              <w:t xml:space="preserve"> принимать решение о неухудшении качества</w:t>
            </w:r>
            <w:r>
              <w:rPr>
                <w:rFonts w:ascii="Times New Roman" w:hAnsi="Times New Roman" w:cs="Times New Roman"/>
                <w:sz w:val="24"/>
                <w:szCs w:val="24"/>
              </w:rPr>
              <w:t xml:space="preserve"> </w:t>
            </w:r>
            <w:r w:rsidRPr="006336FD">
              <w:rPr>
                <w:rFonts w:ascii="Times New Roman" w:hAnsi="Times New Roman" w:cs="Times New Roman"/>
                <w:sz w:val="24"/>
                <w:szCs w:val="24"/>
              </w:rPr>
              <w:t>обслуживания долга по реструктурированным на основании актов Правительства</w:t>
            </w:r>
            <w:r>
              <w:rPr>
                <w:rFonts w:ascii="Times New Roman" w:hAnsi="Times New Roman" w:cs="Times New Roman"/>
                <w:sz w:val="24"/>
                <w:szCs w:val="24"/>
              </w:rPr>
              <w:t xml:space="preserve"> </w:t>
            </w:r>
            <w:r w:rsidRPr="006336FD">
              <w:rPr>
                <w:rFonts w:ascii="Times New Roman" w:hAnsi="Times New Roman" w:cs="Times New Roman"/>
                <w:sz w:val="24"/>
                <w:szCs w:val="24"/>
              </w:rPr>
              <w:t>Российской Федерации ссудам независимо от оценки финансового положения заемщика;</w:t>
            </w:r>
          </w:p>
          <w:p w:rsidR="00253A16" w:rsidRPr="006336FD" w:rsidRDefault="00253A16" w:rsidP="00253A16">
            <w:pPr>
              <w:tabs>
                <w:tab w:val="left" w:pos="993"/>
              </w:tabs>
              <w:spacing w:after="0" w:line="240" w:lineRule="auto"/>
              <w:ind w:firstLine="317"/>
              <w:contextualSpacing/>
              <w:jc w:val="both"/>
              <w:rPr>
                <w:rFonts w:ascii="Times New Roman" w:hAnsi="Times New Roman" w:cs="Times New Roman"/>
                <w:sz w:val="24"/>
                <w:szCs w:val="24"/>
              </w:rPr>
            </w:pPr>
            <w:r w:rsidRPr="006336FD">
              <w:rPr>
                <w:rFonts w:ascii="Times New Roman" w:hAnsi="Times New Roman" w:cs="Times New Roman"/>
                <w:sz w:val="24"/>
                <w:szCs w:val="24"/>
              </w:rPr>
              <w:t>- уточнение сроков просроченных платежей по основному долгу и (или) процентам,</w:t>
            </w:r>
            <w:r>
              <w:rPr>
                <w:rFonts w:ascii="Times New Roman" w:hAnsi="Times New Roman" w:cs="Times New Roman"/>
                <w:sz w:val="24"/>
                <w:szCs w:val="24"/>
              </w:rPr>
              <w:t xml:space="preserve"> </w:t>
            </w:r>
            <w:r w:rsidRPr="006336FD">
              <w:rPr>
                <w:rFonts w:ascii="Times New Roman" w:hAnsi="Times New Roman" w:cs="Times New Roman"/>
                <w:sz w:val="24"/>
                <w:szCs w:val="24"/>
              </w:rPr>
              <w:t>при которых по реструктурированным ссудам и по ссудам, по которым платежи</w:t>
            </w:r>
            <w:r>
              <w:rPr>
                <w:rFonts w:ascii="Times New Roman" w:hAnsi="Times New Roman" w:cs="Times New Roman"/>
                <w:sz w:val="24"/>
                <w:szCs w:val="24"/>
              </w:rPr>
              <w:t xml:space="preserve"> </w:t>
            </w:r>
            <w:r w:rsidRPr="006336FD">
              <w:rPr>
                <w:rFonts w:ascii="Times New Roman" w:hAnsi="Times New Roman" w:cs="Times New Roman"/>
                <w:sz w:val="24"/>
                <w:szCs w:val="24"/>
              </w:rPr>
              <w:t>осуществляются за счет средств, предоставленных заемщику прямо либо косвенно</w:t>
            </w:r>
            <w:r>
              <w:rPr>
                <w:rFonts w:ascii="Times New Roman" w:hAnsi="Times New Roman" w:cs="Times New Roman"/>
                <w:sz w:val="24"/>
                <w:szCs w:val="24"/>
              </w:rPr>
              <w:t xml:space="preserve"> </w:t>
            </w:r>
            <w:r w:rsidRPr="006336FD">
              <w:rPr>
                <w:rFonts w:ascii="Times New Roman" w:hAnsi="Times New Roman" w:cs="Times New Roman"/>
                <w:sz w:val="24"/>
                <w:szCs w:val="24"/>
              </w:rPr>
              <w:t>кредитной организацией – ссудодателем, может приниматься решение о признании</w:t>
            </w:r>
            <w:r>
              <w:rPr>
                <w:rFonts w:ascii="Times New Roman" w:hAnsi="Times New Roman" w:cs="Times New Roman"/>
                <w:sz w:val="24"/>
                <w:szCs w:val="24"/>
              </w:rPr>
              <w:t xml:space="preserve"> </w:t>
            </w:r>
            <w:r w:rsidRPr="006336FD">
              <w:rPr>
                <w:rFonts w:ascii="Times New Roman" w:hAnsi="Times New Roman" w:cs="Times New Roman"/>
                <w:sz w:val="24"/>
                <w:szCs w:val="24"/>
              </w:rPr>
              <w:t>качества обслуживания долга хорошим;</w:t>
            </w:r>
          </w:p>
          <w:p w:rsidR="00253A16" w:rsidRPr="006336FD" w:rsidRDefault="00253A16" w:rsidP="00253A16">
            <w:pPr>
              <w:tabs>
                <w:tab w:val="left" w:pos="993"/>
              </w:tabs>
              <w:spacing w:after="0" w:line="240" w:lineRule="auto"/>
              <w:ind w:firstLine="317"/>
              <w:contextualSpacing/>
              <w:jc w:val="both"/>
              <w:rPr>
                <w:rFonts w:ascii="Times New Roman" w:hAnsi="Times New Roman" w:cs="Times New Roman"/>
                <w:sz w:val="24"/>
                <w:szCs w:val="24"/>
              </w:rPr>
            </w:pPr>
            <w:r w:rsidRPr="006336FD">
              <w:rPr>
                <w:rFonts w:ascii="Times New Roman" w:hAnsi="Times New Roman" w:cs="Times New Roman"/>
                <w:sz w:val="24"/>
                <w:szCs w:val="24"/>
              </w:rPr>
              <w:t>- увеличение с 270 до 365 дней срока реализации залога вещей со дня возникновения</w:t>
            </w:r>
            <w:r>
              <w:rPr>
                <w:rFonts w:ascii="Times New Roman" w:hAnsi="Times New Roman" w:cs="Times New Roman"/>
                <w:sz w:val="24"/>
                <w:szCs w:val="24"/>
              </w:rPr>
              <w:t xml:space="preserve"> </w:t>
            </w:r>
            <w:r w:rsidRPr="006336FD">
              <w:rPr>
                <w:rFonts w:ascii="Times New Roman" w:hAnsi="Times New Roman" w:cs="Times New Roman"/>
                <w:sz w:val="24"/>
                <w:szCs w:val="24"/>
              </w:rPr>
              <w:t>основания для обращения взыскания на соответствующий вид залога, учитываемого в целях</w:t>
            </w:r>
            <w:r>
              <w:rPr>
                <w:rFonts w:ascii="Times New Roman" w:hAnsi="Times New Roman" w:cs="Times New Roman"/>
                <w:sz w:val="24"/>
                <w:szCs w:val="24"/>
              </w:rPr>
              <w:t xml:space="preserve"> </w:t>
            </w:r>
            <w:r w:rsidRPr="006336FD">
              <w:rPr>
                <w:rFonts w:ascii="Times New Roman" w:hAnsi="Times New Roman" w:cs="Times New Roman"/>
                <w:sz w:val="24"/>
                <w:szCs w:val="24"/>
              </w:rPr>
              <w:t>минимизации размера резерва на возможные потери в соответствии с главой 6 Положения</w:t>
            </w:r>
            <w:r>
              <w:rPr>
                <w:rFonts w:ascii="Times New Roman" w:hAnsi="Times New Roman" w:cs="Times New Roman"/>
                <w:sz w:val="24"/>
                <w:szCs w:val="24"/>
              </w:rPr>
              <w:t xml:space="preserve"> </w:t>
            </w:r>
            <w:r w:rsidRPr="006336FD">
              <w:rPr>
                <w:rFonts w:ascii="Times New Roman" w:hAnsi="Times New Roman" w:cs="Times New Roman"/>
                <w:sz w:val="24"/>
                <w:szCs w:val="24"/>
              </w:rPr>
              <w:t>№ 590-П;</w:t>
            </w:r>
          </w:p>
          <w:p w:rsidR="00253A16" w:rsidRPr="008145F9" w:rsidRDefault="00253A16" w:rsidP="00253A16">
            <w:pPr>
              <w:tabs>
                <w:tab w:val="left" w:pos="993"/>
              </w:tabs>
              <w:spacing w:after="0" w:line="240" w:lineRule="auto"/>
              <w:ind w:firstLine="317"/>
              <w:contextualSpacing/>
              <w:jc w:val="both"/>
              <w:rPr>
                <w:rFonts w:ascii="Times New Roman" w:hAnsi="Times New Roman" w:cs="Times New Roman"/>
                <w:sz w:val="24"/>
                <w:szCs w:val="24"/>
              </w:rPr>
            </w:pPr>
            <w:r w:rsidRPr="006336FD">
              <w:rPr>
                <w:rFonts w:ascii="Times New Roman" w:hAnsi="Times New Roman" w:cs="Times New Roman"/>
                <w:sz w:val="24"/>
                <w:szCs w:val="24"/>
              </w:rPr>
              <w:t>- включение в перечень обеспечения I категории качества обеспечительного платежа,</w:t>
            </w:r>
            <w:r>
              <w:rPr>
                <w:rFonts w:ascii="Times New Roman" w:hAnsi="Times New Roman" w:cs="Times New Roman"/>
                <w:sz w:val="24"/>
                <w:szCs w:val="24"/>
              </w:rPr>
              <w:t xml:space="preserve"> </w:t>
            </w:r>
            <w:r w:rsidRPr="006336FD">
              <w:rPr>
                <w:rFonts w:ascii="Times New Roman" w:hAnsi="Times New Roman" w:cs="Times New Roman"/>
                <w:sz w:val="24"/>
                <w:szCs w:val="24"/>
              </w:rPr>
              <w:t>внесенного на счет кредитной организации - кредитора, если отсутствуют препятствия к</w:t>
            </w:r>
            <w:r>
              <w:rPr>
                <w:rFonts w:ascii="Times New Roman" w:hAnsi="Times New Roman" w:cs="Times New Roman"/>
                <w:sz w:val="24"/>
                <w:szCs w:val="24"/>
              </w:rPr>
              <w:t xml:space="preserve"> </w:t>
            </w:r>
            <w:r w:rsidRPr="006336FD">
              <w:rPr>
                <w:rFonts w:ascii="Times New Roman" w:hAnsi="Times New Roman" w:cs="Times New Roman"/>
                <w:sz w:val="24"/>
                <w:szCs w:val="24"/>
              </w:rPr>
              <w:t>реализации кредитной организацией права по договору об обеспечительном платеже и срок</w:t>
            </w:r>
            <w:r>
              <w:rPr>
                <w:rFonts w:ascii="Times New Roman" w:hAnsi="Times New Roman" w:cs="Times New Roman"/>
                <w:sz w:val="24"/>
                <w:szCs w:val="24"/>
              </w:rPr>
              <w:t xml:space="preserve"> </w:t>
            </w:r>
            <w:r w:rsidRPr="006336FD">
              <w:rPr>
                <w:rFonts w:ascii="Times New Roman" w:hAnsi="Times New Roman" w:cs="Times New Roman"/>
                <w:sz w:val="24"/>
                <w:szCs w:val="24"/>
              </w:rPr>
              <w:t>возврата обеспечительного платежа соотнесен со сроком обеспечиваемого им</w:t>
            </w:r>
            <w:r>
              <w:rPr>
                <w:rFonts w:ascii="Times New Roman" w:hAnsi="Times New Roman" w:cs="Times New Roman"/>
                <w:sz w:val="24"/>
                <w:szCs w:val="24"/>
              </w:rPr>
              <w:t xml:space="preserve"> </w:t>
            </w:r>
            <w:r w:rsidRPr="006336FD">
              <w:rPr>
                <w:rFonts w:ascii="Times New Roman" w:hAnsi="Times New Roman" w:cs="Times New Roman"/>
                <w:sz w:val="24"/>
                <w:szCs w:val="24"/>
              </w:rPr>
              <w:t>обязательства.</w:t>
            </w:r>
          </w:p>
          <w:p w:rsidR="00253A16" w:rsidRPr="008145F9" w:rsidRDefault="00253A16" w:rsidP="00296936">
            <w:pPr>
              <w:tabs>
                <w:tab w:val="left" w:pos="993"/>
              </w:tabs>
              <w:spacing w:after="0" w:line="240" w:lineRule="auto"/>
              <w:ind w:firstLine="317"/>
              <w:contextualSpacing/>
              <w:jc w:val="both"/>
              <w:rPr>
                <w:rFonts w:ascii="Times New Roman" w:hAnsi="Times New Roman" w:cs="Times New Roman"/>
                <w:sz w:val="24"/>
                <w:szCs w:val="24"/>
              </w:rPr>
            </w:pPr>
          </w:p>
          <w:p w:rsidR="00E56BB7" w:rsidRPr="008145F9"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В части обязательных нормативов банков.</w:t>
            </w:r>
          </w:p>
          <w:p w:rsidR="00E56BB7"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xml:space="preserve">В настоящее время дополнительных мер по поддержке МСП не планируется. </w:t>
            </w:r>
          </w:p>
          <w:p w:rsidR="00E56BB7" w:rsidRDefault="00E56BB7" w:rsidP="00296936">
            <w:pPr>
              <w:tabs>
                <w:tab w:val="left" w:pos="993"/>
              </w:tabs>
              <w:spacing w:after="0" w:line="240" w:lineRule="auto"/>
              <w:ind w:firstLine="317"/>
              <w:contextualSpacing/>
              <w:jc w:val="both"/>
              <w:rPr>
                <w:rFonts w:ascii="Times New Roman" w:hAnsi="Times New Roman" w:cs="Times New Roman"/>
                <w:sz w:val="24"/>
                <w:szCs w:val="24"/>
              </w:rPr>
            </w:pPr>
            <w:r w:rsidRPr="008145F9">
              <w:rPr>
                <w:rFonts w:ascii="Times New Roman" w:hAnsi="Times New Roman" w:cs="Times New Roman"/>
                <w:sz w:val="24"/>
                <w:szCs w:val="24"/>
              </w:rPr>
              <w:t xml:space="preserve">Полагаем, что принятые в 2020 году системные (за рамками временных послаблений) меры по перенастройке банковского регулирования </w:t>
            </w:r>
            <w:r w:rsidRPr="008145F9">
              <w:rPr>
                <w:rFonts w:ascii="Times New Roman" w:hAnsi="Times New Roman" w:cs="Times New Roman"/>
                <w:sz w:val="24"/>
                <w:szCs w:val="24"/>
              </w:rPr>
              <w:lastRenderedPageBreak/>
              <w:t>высвободили для банковского сектора регулятивный капитал, который может использоваться как для расширения кредитования, в том числе МСП, так и для покрытия потерь по таким кредитам.</w:t>
            </w:r>
          </w:p>
          <w:p w:rsidR="00E56BB7" w:rsidRPr="000F3ED0" w:rsidRDefault="00E56BB7" w:rsidP="00296936">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отмечаем, что в </w:t>
            </w:r>
            <w:r w:rsidRPr="000F3ED0">
              <w:rPr>
                <w:rFonts w:ascii="Times New Roman" w:hAnsi="Times New Roman" w:cs="Times New Roman"/>
                <w:sz w:val="24"/>
                <w:szCs w:val="24"/>
              </w:rPr>
              <w:t>2021 году Банк России продолжит рефинансирование кредитов в рамках Программы стимулирования кредитования, реализуемой АО «Корпорация «МСП</w:t>
            </w:r>
            <w:r w:rsidR="006D2FE6">
              <w:rPr>
                <w:rFonts w:ascii="Times New Roman" w:hAnsi="Times New Roman" w:cs="Times New Roman"/>
                <w:sz w:val="24"/>
                <w:szCs w:val="24"/>
              </w:rPr>
              <w:t>»</w:t>
            </w:r>
            <w:r w:rsidRPr="000F3ED0">
              <w:rPr>
                <w:rFonts w:ascii="Times New Roman" w:hAnsi="Times New Roman" w:cs="Times New Roman"/>
                <w:sz w:val="24"/>
                <w:szCs w:val="24"/>
              </w:rPr>
              <w:t>.</w:t>
            </w:r>
          </w:p>
          <w:p w:rsidR="00E56BB7" w:rsidRDefault="00E56BB7" w:rsidP="00296936">
            <w:pPr>
              <w:spacing w:after="0" w:line="240" w:lineRule="auto"/>
              <w:ind w:firstLine="317"/>
              <w:contextualSpacing/>
              <w:jc w:val="both"/>
              <w:rPr>
                <w:rFonts w:ascii="Times New Roman" w:hAnsi="Times New Roman" w:cs="Times New Roman"/>
                <w:sz w:val="24"/>
                <w:szCs w:val="24"/>
              </w:rPr>
            </w:pPr>
            <w:r w:rsidRPr="000F3ED0">
              <w:rPr>
                <w:rFonts w:ascii="Times New Roman" w:hAnsi="Times New Roman" w:cs="Times New Roman"/>
                <w:sz w:val="24"/>
                <w:szCs w:val="24"/>
              </w:rPr>
              <w:t xml:space="preserve">Кроме того, в рамках мероприятий Дорожной карты в 2021 году Банком России </w:t>
            </w:r>
            <w:r>
              <w:rPr>
                <w:rFonts w:ascii="Times New Roman" w:hAnsi="Times New Roman" w:cs="Times New Roman"/>
                <w:sz w:val="24"/>
                <w:szCs w:val="24"/>
              </w:rPr>
              <w:t>планируется:</w:t>
            </w:r>
          </w:p>
          <w:p w:rsidR="00E56BB7" w:rsidRDefault="00E56BB7" w:rsidP="00296936">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 xml:space="preserve">- разработать подход и оценить возможность </w:t>
            </w:r>
            <w:r w:rsidRPr="001E448B">
              <w:rPr>
                <w:rFonts w:ascii="Times New Roman" w:hAnsi="Times New Roman" w:cs="Times New Roman"/>
                <w:sz w:val="24"/>
                <w:szCs w:val="24"/>
              </w:rPr>
              <w:t>проведени</w:t>
            </w:r>
            <w:r>
              <w:rPr>
                <w:rFonts w:ascii="Times New Roman" w:hAnsi="Times New Roman" w:cs="Times New Roman"/>
                <w:sz w:val="24"/>
                <w:szCs w:val="24"/>
              </w:rPr>
              <w:t>я</w:t>
            </w:r>
            <w:r w:rsidRPr="001E448B">
              <w:rPr>
                <w:rFonts w:ascii="Times New Roman" w:hAnsi="Times New Roman" w:cs="Times New Roman"/>
                <w:sz w:val="24"/>
                <w:szCs w:val="24"/>
              </w:rPr>
              <w:t xml:space="preserve"> анализа эффективности применения банковских методик</w:t>
            </w:r>
            <w:r>
              <w:rPr>
                <w:rFonts w:ascii="Times New Roman" w:hAnsi="Times New Roman" w:cs="Times New Roman"/>
                <w:sz w:val="24"/>
                <w:szCs w:val="24"/>
              </w:rPr>
              <w:t>, разработанных для оценки кредитоспособности заемщика без использования официальной отчетности и проведения оценки финансового положения в соответствии с требованиями главы 3 Положения № 590-П, при формировании банками резервов на возможные потери по ссудам субъектов МСП;</w:t>
            </w:r>
          </w:p>
          <w:p w:rsidR="00E56BB7" w:rsidRPr="008145F9" w:rsidRDefault="00E56BB7" w:rsidP="00296936">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F3ED0">
              <w:rPr>
                <w:rFonts w:ascii="Times New Roman" w:hAnsi="Times New Roman" w:cs="Times New Roman"/>
                <w:sz w:val="24"/>
                <w:szCs w:val="24"/>
              </w:rPr>
              <w:t>во взаимодействии с Минэкономразвития России проработать вопросы и предложения по оптимизации программ льготного финансирования субъектов МСП.</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5</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hAnsi="Times New Roman" w:cs="Times New Roman"/>
                <w:sz w:val="24"/>
                <w:szCs w:val="24"/>
              </w:rPr>
            </w:pPr>
            <w:r w:rsidRPr="008145F9">
              <w:rPr>
                <w:rFonts w:ascii="Times New Roman" w:hAnsi="Times New Roman" w:cs="Arial"/>
                <w:bCs/>
                <w:sz w:val="24"/>
                <w:szCs w:val="24"/>
              </w:rPr>
              <w:t>Просим Банк России прокомментировать, планируется ли упрощение условий получения кредитов в рамках Программы стимулирования кредитования МСП и смягчение требований к заемщикам по аналогии с требованиями в программе субсидирования кредитования МСП?</w:t>
            </w:r>
          </w:p>
        </w:tc>
        <w:tc>
          <w:tcPr>
            <w:tcW w:w="7938" w:type="dxa"/>
          </w:tcPr>
          <w:p w:rsidR="00E56BB7" w:rsidRPr="00470D26" w:rsidRDefault="00E56BB7" w:rsidP="00296936">
            <w:pPr>
              <w:spacing w:after="0" w:line="240" w:lineRule="auto"/>
              <w:ind w:firstLine="317"/>
              <w:jc w:val="both"/>
              <w:rPr>
                <w:rFonts w:ascii="Times New Roman" w:hAnsi="Times New Roman" w:cs="Times New Roman"/>
                <w:sz w:val="24"/>
                <w:szCs w:val="24"/>
              </w:rPr>
            </w:pPr>
            <w:r w:rsidRPr="001D6A96">
              <w:rPr>
                <w:rFonts w:ascii="Times New Roman" w:hAnsi="Times New Roman" w:cs="Times New Roman"/>
                <w:sz w:val="24"/>
                <w:szCs w:val="24"/>
              </w:rPr>
              <w:t xml:space="preserve">Банк России в настоящее время не поддерживает предложение о снижении процентной ставки по кредитам Банка России, обеспеченным поручительствами АО «Корпорация «МСП», поскольку текущий уровень данной процентной ставки (4,0 процента годовых) является льготным. </w:t>
            </w:r>
          </w:p>
          <w:p w:rsidR="00E56BB7" w:rsidRPr="001D6A96" w:rsidRDefault="00E56BB7" w:rsidP="00296936">
            <w:pPr>
              <w:spacing w:after="0" w:line="240" w:lineRule="auto"/>
              <w:ind w:firstLine="317"/>
              <w:jc w:val="both"/>
              <w:rPr>
                <w:rFonts w:ascii="Times New Roman" w:hAnsi="Times New Roman" w:cs="Times New Roman"/>
                <w:sz w:val="24"/>
                <w:szCs w:val="24"/>
              </w:rPr>
            </w:pPr>
            <w:r w:rsidRPr="001D6A96">
              <w:rPr>
                <w:rFonts w:ascii="Times New Roman" w:hAnsi="Times New Roman" w:cs="Times New Roman"/>
                <w:sz w:val="24"/>
                <w:szCs w:val="24"/>
              </w:rPr>
              <w:t xml:space="preserve">Что касается условий отбора банков к участию в Программе стимулирования кредитования и установления требований к заемщикам в рамках данной программы, нужно отметить, что эти вопросы относятся к компетенции АО «Корпорация «МСП». </w:t>
            </w:r>
          </w:p>
          <w:p w:rsidR="00E56BB7" w:rsidRPr="008145F9" w:rsidRDefault="00E56BB7" w:rsidP="006D2FE6">
            <w:pPr>
              <w:spacing w:after="0" w:line="240" w:lineRule="auto"/>
              <w:ind w:firstLine="317"/>
              <w:jc w:val="both"/>
              <w:rPr>
                <w:rFonts w:ascii="Times New Roman" w:hAnsi="Times New Roman" w:cs="Times New Roman"/>
                <w:sz w:val="24"/>
                <w:szCs w:val="24"/>
              </w:rPr>
            </w:pPr>
            <w:r w:rsidRPr="001D6A96">
              <w:rPr>
                <w:rFonts w:ascii="Times New Roman" w:hAnsi="Times New Roman" w:cs="Times New Roman"/>
                <w:sz w:val="24"/>
                <w:szCs w:val="24"/>
              </w:rPr>
              <w:t>При этом Банк России поддерживает более активное вовлечение в Программу стимулирования кредитования небольших региональных банков и банков с базовой лицензией, а также не возражает против снижения максимальной ставки для конечных заемщиков в рамках Програм</w:t>
            </w:r>
            <w:r w:rsidR="006D2FE6">
              <w:rPr>
                <w:rFonts w:ascii="Times New Roman" w:hAnsi="Times New Roman" w:cs="Times New Roman"/>
                <w:sz w:val="24"/>
                <w:szCs w:val="24"/>
              </w:rPr>
              <w:t>мы стимулирования кредитования.</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6</w:t>
            </w:r>
          </w:p>
        </w:tc>
        <w:tc>
          <w:tcPr>
            <w:tcW w:w="6424" w:type="dxa"/>
          </w:tcPr>
          <w:p w:rsidR="00E56BB7" w:rsidRPr="008145F9" w:rsidRDefault="00E56BB7" w:rsidP="00296936">
            <w:pPr>
              <w:tabs>
                <w:tab w:val="left" w:pos="567"/>
              </w:tabs>
              <w:spacing w:after="0" w:line="240" w:lineRule="auto"/>
              <w:ind w:firstLine="362"/>
              <w:jc w:val="both"/>
              <w:rPr>
                <w:rFonts w:ascii="Times New Roman" w:hAnsi="Times New Roman"/>
                <w:sz w:val="24"/>
                <w:szCs w:val="24"/>
              </w:rPr>
            </w:pPr>
            <w:r w:rsidRPr="008145F9">
              <w:rPr>
                <w:rFonts w:ascii="Times New Roman" w:hAnsi="Times New Roman" w:cs="Arial"/>
                <w:bCs/>
                <w:sz w:val="24"/>
                <w:szCs w:val="24"/>
              </w:rPr>
              <w:t>Просим Банк России высказать мнение, что</w:t>
            </w:r>
            <w:r w:rsidRPr="008145F9">
              <w:rPr>
                <w:rFonts w:ascii="Times New Roman" w:hAnsi="Times New Roman"/>
                <w:bCs/>
                <w:sz w:val="24"/>
                <w:szCs w:val="24"/>
              </w:rPr>
              <w:t xml:space="preserve"> препятствует реализации заявительного порядка отбора банков для участия в программах субсидирования недополученных доходов по кредитам юридическим лицам, которые не предполагают получения банками целевого фондирования (например, по кредитам субъектам МСБ</w:t>
            </w:r>
            <w:r w:rsidR="0045286A">
              <w:rPr>
                <w:rStyle w:val="a6"/>
                <w:rFonts w:ascii="Times New Roman" w:hAnsi="Times New Roman"/>
                <w:bCs/>
                <w:sz w:val="24"/>
                <w:szCs w:val="24"/>
              </w:rPr>
              <w:footnoteReference w:id="1"/>
            </w:r>
            <w:r w:rsidRPr="008145F9">
              <w:rPr>
                <w:rFonts w:ascii="Times New Roman" w:hAnsi="Times New Roman"/>
                <w:bCs/>
                <w:sz w:val="24"/>
                <w:szCs w:val="24"/>
              </w:rPr>
              <w:t xml:space="preserve"> в </w:t>
            </w:r>
            <w:r>
              <w:rPr>
                <w:rFonts w:ascii="Times New Roman" w:hAnsi="Times New Roman"/>
                <w:bCs/>
                <w:sz w:val="24"/>
                <w:szCs w:val="24"/>
              </w:rPr>
              <w:br/>
            </w:r>
            <w:r w:rsidRPr="008145F9">
              <w:rPr>
                <w:rFonts w:ascii="Times New Roman" w:hAnsi="Times New Roman"/>
                <w:bCs/>
                <w:sz w:val="24"/>
                <w:szCs w:val="24"/>
              </w:rPr>
              <w:t>рамках Постановления Правительства №1764</w:t>
            </w:r>
            <w:r w:rsidR="000E440E">
              <w:rPr>
                <w:rStyle w:val="a6"/>
                <w:rFonts w:ascii="Times New Roman" w:hAnsi="Times New Roman"/>
                <w:bCs/>
                <w:sz w:val="24"/>
                <w:szCs w:val="24"/>
              </w:rPr>
              <w:footnoteReference w:id="2"/>
            </w:r>
            <w:r w:rsidRPr="008145F9">
              <w:rPr>
                <w:rFonts w:ascii="Times New Roman" w:hAnsi="Times New Roman"/>
                <w:bCs/>
                <w:sz w:val="24"/>
                <w:szCs w:val="24"/>
              </w:rPr>
              <w:t xml:space="preserve"> или по кредитам </w:t>
            </w:r>
            <w:proofErr w:type="spellStart"/>
            <w:r w:rsidRPr="008145F9">
              <w:rPr>
                <w:rFonts w:ascii="Times New Roman" w:hAnsi="Times New Roman"/>
                <w:bCs/>
                <w:sz w:val="24"/>
                <w:szCs w:val="24"/>
              </w:rPr>
              <w:t>сельхозтоваропроизводителям</w:t>
            </w:r>
            <w:proofErr w:type="spellEnd"/>
            <w:r w:rsidRPr="008145F9">
              <w:rPr>
                <w:rFonts w:ascii="Times New Roman" w:hAnsi="Times New Roman"/>
                <w:bCs/>
                <w:sz w:val="24"/>
                <w:szCs w:val="24"/>
              </w:rPr>
              <w:t xml:space="preserve"> в рамках Постановления Правительства №1528</w:t>
            </w:r>
            <w:r w:rsidR="000E440E">
              <w:rPr>
                <w:rStyle w:val="a6"/>
                <w:rFonts w:ascii="Times New Roman" w:hAnsi="Times New Roman"/>
                <w:bCs/>
                <w:sz w:val="24"/>
                <w:szCs w:val="24"/>
              </w:rPr>
              <w:footnoteReference w:id="3"/>
            </w:r>
            <w:r w:rsidRPr="008145F9">
              <w:rPr>
                <w:rFonts w:ascii="Times New Roman" w:hAnsi="Times New Roman"/>
                <w:bCs/>
                <w:sz w:val="24"/>
                <w:szCs w:val="24"/>
              </w:rPr>
              <w:t xml:space="preserve">) для тех банков, которые удовлетворяют требованиям в части рейтингов и соблюдения нормативов? </w:t>
            </w:r>
          </w:p>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bCs/>
                <w:sz w:val="24"/>
                <w:szCs w:val="24"/>
              </w:rPr>
              <w:t>На текущий момент в каждой подобной программе существуют дополнительные непрозрачные требования, такие как подтверждение опыта работа, наличие специализированных продуктов и прочее, а также неясные подходы к определению дат объявления новых отборов.</w:t>
            </w:r>
          </w:p>
        </w:tc>
        <w:tc>
          <w:tcPr>
            <w:tcW w:w="7938" w:type="dxa"/>
          </w:tcPr>
          <w:p w:rsidR="00E56BB7" w:rsidRDefault="00E56BB7" w:rsidP="00296936">
            <w:pPr>
              <w:spacing w:after="0" w:line="240" w:lineRule="auto"/>
              <w:ind w:firstLine="330"/>
              <w:contextualSpacing/>
              <w:jc w:val="both"/>
              <w:rPr>
                <w:rFonts w:ascii="Times New Roman" w:hAnsi="Times New Roman" w:cs="Times New Roman"/>
                <w:sz w:val="24"/>
                <w:szCs w:val="24"/>
              </w:rPr>
            </w:pPr>
            <w:r w:rsidRPr="00B9263A">
              <w:rPr>
                <w:rFonts w:ascii="Times New Roman" w:hAnsi="Times New Roman" w:cs="Times New Roman"/>
                <w:sz w:val="24"/>
                <w:szCs w:val="24"/>
              </w:rPr>
              <w:t>Определение требований к кредитным организациям, участвующим в программах льготного кредитования, и установление правил получения кредитными организациями субсидий из федерального бюджета на возмещение недополученных ими доходов по кредитам, выдаваемым по льготным ставкам, относится к компетенции Минфина России, а также федеральных органов исполнительной власти, осуществляющих соответствующие функции.</w:t>
            </w:r>
          </w:p>
          <w:p w:rsidR="00E56BB7" w:rsidRPr="005E4C58" w:rsidRDefault="00E56BB7" w:rsidP="00296936">
            <w:pPr>
              <w:spacing w:after="0" w:line="240" w:lineRule="auto"/>
              <w:ind w:firstLine="330"/>
              <w:contextualSpacing/>
              <w:jc w:val="both"/>
              <w:rPr>
                <w:rFonts w:ascii="Times New Roman" w:hAnsi="Times New Roman" w:cs="Times New Roman"/>
                <w:sz w:val="24"/>
                <w:szCs w:val="24"/>
              </w:rPr>
            </w:pPr>
            <w:r w:rsidRPr="005E4C58">
              <w:rPr>
                <w:rFonts w:ascii="Times New Roman" w:hAnsi="Times New Roman" w:cs="Times New Roman"/>
                <w:sz w:val="24"/>
                <w:szCs w:val="24"/>
              </w:rPr>
              <w:t xml:space="preserve">Вместе с тем представляется, что полный отказ от требований к банкам, участвующим в программах льготного кредитования, и переход на заявительный порядок отбора банков к участию в государственных программах льготного кредитования не будет способствовать понижению рисков нецелевого использования средств федерального бюджета. </w:t>
            </w:r>
          </w:p>
          <w:p w:rsidR="00E56BB7" w:rsidRPr="00B9263A" w:rsidRDefault="00E56BB7" w:rsidP="00296936">
            <w:pPr>
              <w:spacing w:after="0" w:line="240" w:lineRule="auto"/>
              <w:ind w:firstLine="330"/>
              <w:contextualSpacing/>
              <w:jc w:val="both"/>
              <w:rPr>
                <w:rFonts w:ascii="Times New Roman" w:hAnsi="Times New Roman" w:cs="Times New Roman"/>
                <w:sz w:val="24"/>
                <w:szCs w:val="24"/>
              </w:rPr>
            </w:pPr>
            <w:r w:rsidRPr="00B9263A">
              <w:rPr>
                <w:rFonts w:ascii="Times New Roman" w:hAnsi="Times New Roman" w:cs="Times New Roman"/>
                <w:sz w:val="24"/>
                <w:szCs w:val="24"/>
              </w:rPr>
              <w:t>Как правило, для участия в программах банки подают заявление об участии и направляют перечень необходимых документов. После прохождения проверки и в случае соответствия условиям программ, банки допускаются к участию в программах, после чего они могут подписать соответствующие соглашения и приступить к участию.</w:t>
            </w:r>
          </w:p>
          <w:p w:rsidR="00E56BB7" w:rsidRPr="00B9263A" w:rsidRDefault="00E56BB7" w:rsidP="00296936">
            <w:pPr>
              <w:spacing w:after="0" w:line="240" w:lineRule="auto"/>
              <w:ind w:firstLine="330"/>
              <w:contextualSpacing/>
              <w:jc w:val="both"/>
              <w:rPr>
                <w:rFonts w:ascii="Times New Roman" w:hAnsi="Times New Roman" w:cs="Times New Roman"/>
                <w:sz w:val="24"/>
                <w:szCs w:val="24"/>
              </w:rPr>
            </w:pPr>
            <w:r w:rsidRPr="00B9263A">
              <w:rPr>
                <w:rFonts w:ascii="Times New Roman" w:hAnsi="Times New Roman" w:cs="Times New Roman"/>
                <w:sz w:val="24"/>
                <w:szCs w:val="24"/>
              </w:rPr>
              <w:t xml:space="preserve">Банк России уделяет внимание расширению </w:t>
            </w:r>
            <w:r w:rsidRPr="0006094B">
              <w:rPr>
                <w:rFonts w:ascii="Times New Roman" w:hAnsi="Times New Roman" w:cs="Times New Roman"/>
                <w:sz w:val="24"/>
                <w:szCs w:val="24"/>
              </w:rPr>
              <w:t>перечня</w:t>
            </w:r>
            <w:r>
              <w:rPr>
                <w:rFonts w:ascii="Times New Roman" w:hAnsi="Times New Roman" w:cs="Times New Roman"/>
                <w:sz w:val="24"/>
                <w:szCs w:val="24"/>
              </w:rPr>
              <w:t xml:space="preserve"> банков, имеющих доступ к мерам </w:t>
            </w:r>
            <w:r w:rsidRPr="00B9263A">
              <w:rPr>
                <w:rFonts w:ascii="Times New Roman" w:hAnsi="Times New Roman" w:cs="Times New Roman"/>
                <w:sz w:val="24"/>
                <w:szCs w:val="24"/>
              </w:rPr>
              <w:t xml:space="preserve">государственной поддержки. Так, в апреле 2020 года </w:t>
            </w:r>
            <w:r>
              <w:rPr>
                <w:rFonts w:ascii="Times New Roman" w:hAnsi="Times New Roman" w:cs="Times New Roman"/>
                <w:sz w:val="24"/>
                <w:szCs w:val="24"/>
              </w:rPr>
              <w:t>было</w:t>
            </w:r>
            <w:r w:rsidRPr="00B9263A">
              <w:rPr>
                <w:rFonts w:ascii="Times New Roman" w:hAnsi="Times New Roman" w:cs="Times New Roman"/>
                <w:sz w:val="24"/>
                <w:szCs w:val="24"/>
              </w:rPr>
              <w:t xml:space="preserve"> приня</w:t>
            </w:r>
            <w:r>
              <w:rPr>
                <w:rFonts w:ascii="Times New Roman" w:hAnsi="Times New Roman" w:cs="Times New Roman"/>
                <w:sz w:val="24"/>
                <w:szCs w:val="24"/>
              </w:rPr>
              <w:t>то</w:t>
            </w:r>
            <w:r w:rsidRPr="00B9263A">
              <w:rPr>
                <w:rFonts w:ascii="Times New Roman" w:hAnsi="Times New Roman" w:cs="Times New Roman"/>
                <w:sz w:val="24"/>
                <w:szCs w:val="24"/>
              </w:rPr>
              <w:t xml:space="preserve"> решение о смягчении требования к минимальному рейтингу банков для их участия в новом механизме поддержки кредитования субъектов МСП. В рамках механизма банки, имеющие рейтинг на уровне не ниже «А-(RU)» по классификации рейтингового агентства АКРА (АО) </w:t>
            </w:r>
            <w:r w:rsidRPr="00B9263A">
              <w:rPr>
                <w:rFonts w:ascii="Times New Roman" w:hAnsi="Times New Roman" w:cs="Times New Roman"/>
                <w:sz w:val="24"/>
                <w:szCs w:val="24"/>
              </w:rPr>
              <w:lastRenderedPageBreak/>
              <w:t>или «</w:t>
            </w:r>
            <w:proofErr w:type="spellStart"/>
            <w:r w:rsidRPr="00B9263A">
              <w:rPr>
                <w:rFonts w:ascii="Times New Roman" w:hAnsi="Times New Roman" w:cs="Times New Roman"/>
                <w:sz w:val="24"/>
                <w:szCs w:val="24"/>
              </w:rPr>
              <w:t>ruА</w:t>
            </w:r>
            <w:proofErr w:type="spellEnd"/>
            <w:r w:rsidRPr="00B9263A">
              <w:rPr>
                <w:rFonts w:ascii="Times New Roman" w:hAnsi="Times New Roman" w:cs="Times New Roman"/>
                <w:sz w:val="24"/>
                <w:szCs w:val="24"/>
              </w:rPr>
              <w:t>-» по классификации рейтингового агентства АО «Эксперт РА», могут получать финансирование без обеспечения, остальные банки – под поручительство АО «Корпорация «МСП». Требования к рейтингу для кредитования без обеспечения были понижены сразу на 2 ступени (ранее соответствующие рейтинги были установлены на уровнях «АA(RU)» и «</w:t>
            </w:r>
            <w:proofErr w:type="spellStart"/>
            <w:r w:rsidRPr="00B9263A">
              <w:rPr>
                <w:rFonts w:ascii="Times New Roman" w:hAnsi="Times New Roman" w:cs="Times New Roman"/>
                <w:sz w:val="24"/>
                <w:szCs w:val="24"/>
              </w:rPr>
              <w:t>ruАА</w:t>
            </w:r>
            <w:proofErr w:type="spellEnd"/>
            <w:r w:rsidRPr="00B9263A">
              <w:rPr>
                <w:rFonts w:ascii="Times New Roman" w:hAnsi="Times New Roman" w:cs="Times New Roman"/>
                <w:sz w:val="24"/>
                <w:szCs w:val="24"/>
              </w:rPr>
              <w:t>»). Это способствовало существенному расширению круга банков, участвующих в механизме. Аналогичный подход был применен в части установления требований к банкам-участникам программ льготного кредитования МСП на поддержку и сохранение занятости и возобновление деятельности</w:t>
            </w:r>
            <w:r>
              <w:rPr>
                <w:rStyle w:val="a6"/>
                <w:rFonts w:ascii="Times New Roman" w:hAnsi="Times New Roman" w:cs="Times New Roman"/>
                <w:sz w:val="24"/>
                <w:szCs w:val="24"/>
              </w:rPr>
              <w:footnoteReference w:id="4"/>
            </w:r>
            <w:r w:rsidRPr="00B9263A">
              <w:rPr>
                <w:rFonts w:ascii="Times New Roman" w:hAnsi="Times New Roman" w:cs="Times New Roman"/>
                <w:sz w:val="24"/>
                <w:szCs w:val="24"/>
              </w:rPr>
              <w:t xml:space="preserve"> что позволило привлечь к реализации указанных программ небольшие региональные банки. В итоге участие в программах приняло 47 и 39 банков, соответственно. </w:t>
            </w:r>
          </w:p>
          <w:p w:rsidR="00E56BB7" w:rsidRPr="00B9263A" w:rsidRDefault="00E56BB7" w:rsidP="00296936">
            <w:pPr>
              <w:spacing w:after="0" w:line="240" w:lineRule="auto"/>
              <w:ind w:firstLine="330"/>
              <w:contextualSpacing/>
              <w:jc w:val="both"/>
              <w:rPr>
                <w:rFonts w:ascii="Times New Roman" w:hAnsi="Times New Roman" w:cs="Times New Roman"/>
                <w:sz w:val="24"/>
                <w:szCs w:val="24"/>
              </w:rPr>
            </w:pPr>
            <w:r w:rsidRPr="00B9263A">
              <w:rPr>
                <w:rFonts w:ascii="Times New Roman" w:hAnsi="Times New Roman" w:cs="Times New Roman"/>
                <w:sz w:val="24"/>
                <w:szCs w:val="24"/>
              </w:rPr>
              <w:t>Кроме того, с учетом предложений Банка России в 2019 году были существенно упрощены критерии отбора банков для участия в программе субсидирования ставок по кредитам субъектам МСП, реализуемой Минэкономразвития России совместно с АО «Корпорация «МСП» (Программа 8,5)</w:t>
            </w:r>
            <w:r>
              <w:rPr>
                <w:rStyle w:val="a6"/>
                <w:rFonts w:ascii="Times New Roman" w:hAnsi="Times New Roman" w:cs="Times New Roman"/>
                <w:sz w:val="24"/>
                <w:szCs w:val="24"/>
              </w:rPr>
              <w:footnoteReference w:id="5"/>
            </w:r>
            <w:r>
              <w:rPr>
                <w:rFonts w:ascii="Times New Roman" w:hAnsi="Times New Roman" w:cs="Times New Roman"/>
                <w:sz w:val="24"/>
                <w:szCs w:val="24"/>
              </w:rPr>
              <w:t>.</w:t>
            </w:r>
            <w:r w:rsidRPr="00B9263A">
              <w:rPr>
                <w:rFonts w:ascii="Times New Roman" w:hAnsi="Times New Roman" w:cs="Times New Roman"/>
                <w:sz w:val="24"/>
                <w:szCs w:val="24"/>
              </w:rPr>
              <w:t xml:space="preserve"> В частности, исключено требование к наличию у кредитной организации рейтинга, которое существенно ограничивало круг участников программы, а также обеспечены стимулирующие условия для участия в программе банков с базовой лицензией, что позволило включить в Программу 8,5 порядка 100 кредитных организаций (вместо 15 в 2018 году). </w:t>
            </w:r>
          </w:p>
          <w:p w:rsidR="00E56BB7" w:rsidRDefault="00E56BB7" w:rsidP="00296936">
            <w:pPr>
              <w:spacing w:after="0" w:line="240" w:lineRule="auto"/>
              <w:ind w:firstLine="330"/>
              <w:contextualSpacing/>
              <w:jc w:val="both"/>
              <w:rPr>
                <w:rFonts w:ascii="Times New Roman" w:hAnsi="Times New Roman" w:cs="Times New Roman"/>
                <w:sz w:val="24"/>
                <w:szCs w:val="24"/>
              </w:rPr>
            </w:pPr>
          </w:p>
          <w:p w:rsidR="00E56BB7" w:rsidRPr="005D299C" w:rsidRDefault="00E56BB7" w:rsidP="00296936">
            <w:pPr>
              <w:spacing w:after="0" w:line="240" w:lineRule="auto"/>
              <w:ind w:firstLine="330"/>
              <w:jc w:val="both"/>
              <w:rPr>
                <w:rFonts w:ascii="Times New Roman" w:hAnsi="Times New Roman" w:cs="Times New Roman"/>
                <w:sz w:val="24"/>
                <w:szCs w:val="24"/>
              </w:rPr>
            </w:pPr>
            <w:r w:rsidRPr="006B75D6">
              <w:rPr>
                <w:rFonts w:ascii="Times New Roman" w:eastAsia="Calibri" w:hAnsi="Times New Roman" w:cs="Times New Roman"/>
                <w:sz w:val="24"/>
                <w:szCs w:val="24"/>
              </w:rPr>
              <w:t xml:space="preserve">Полагаем, что требование к наличию у банка опыта кредитования определенной категории заемщиков, на которых нацелена та или иная </w:t>
            </w:r>
            <w:r w:rsidRPr="006B75D6">
              <w:rPr>
                <w:rFonts w:ascii="Times New Roman" w:eastAsia="Calibri" w:hAnsi="Times New Roman" w:cs="Times New Roman"/>
                <w:sz w:val="24"/>
                <w:szCs w:val="24"/>
              </w:rPr>
              <w:lastRenderedPageBreak/>
              <w:t>программа льготного кредитования, является обоснованным и необходимым. Дальнейшее развитие данного вопроса целесообразно осуществлять в диалоге с профильными федеральными органами исполнительной власти (Минфин России, Минсельхоз России, Минэкономразвития России, Правительство Российской Федерации и т.д.).</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7</w:t>
            </w:r>
          </w:p>
        </w:tc>
        <w:tc>
          <w:tcPr>
            <w:tcW w:w="6424" w:type="dxa"/>
          </w:tcPr>
          <w:p w:rsidR="00E56BB7" w:rsidRPr="008145F9" w:rsidRDefault="00E56BB7" w:rsidP="00296936">
            <w:pPr>
              <w:tabs>
                <w:tab w:val="left" w:pos="0"/>
                <w:tab w:val="left" w:pos="851"/>
              </w:tabs>
              <w:spacing w:after="0" w:line="240" w:lineRule="auto"/>
              <w:ind w:firstLine="362"/>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Предлагаем продлить до 2025 года действие установленных послаблений по включению в расчет обязательных нормативов кредитных требований к лицам,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в т.ч.:</w:t>
            </w:r>
          </w:p>
          <w:p w:rsidR="00E56BB7" w:rsidRPr="008145F9" w:rsidRDefault="00E56BB7" w:rsidP="00296936">
            <w:pPr>
              <w:tabs>
                <w:tab w:val="left" w:pos="0"/>
                <w:tab w:val="left" w:pos="851"/>
              </w:tabs>
              <w:spacing w:after="0" w:line="240" w:lineRule="auto"/>
              <w:ind w:firstLine="362"/>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 xml:space="preserve">- продлить до конца 2025 года срок действия Информационного письма Банка России от 31 января 2019 года № ИН-016-41/10 </w:t>
            </w:r>
            <w:r>
              <w:rPr>
                <w:rFonts w:ascii="Times New Roman" w:eastAsia="Calibri" w:hAnsi="Times New Roman" w:cs="Times New Roman"/>
                <w:sz w:val="24"/>
                <w:szCs w:val="24"/>
                <w:lang w:bidi="ru-RU"/>
              </w:rPr>
              <w:t>«</w:t>
            </w:r>
            <w:r w:rsidRPr="008145F9">
              <w:rPr>
                <w:rFonts w:ascii="Times New Roman" w:eastAsia="Calibri" w:hAnsi="Times New Roman" w:cs="Times New Roman"/>
                <w:sz w:val="24"/>
                <w:szCs w:val="24"/>
                <w:lang w:bidi="ru-RU"/>
              </w:rPr>
              <w:t>Об особенностях применения нормативных актов Банка России</w:t>
            </w:r>
            <w:r>
              <w:rPr>
                <w:rFonts w:ascii="Times New Roman" w:eastAsia="Calibri" w:hAnsi="Times New Roman" w:cs="Times New Roman"/>
                <w:sz w:val="24"/>
                <w:szCs w:val="24"/>
                <w:lang w:bidi="ru-RU"/>
              </w:rPr>
              <w:t>»</w:t>
            </w:r>
            <w:r w:rsidRPr="008145F9">
              <w:rPr>
                <w:rFonts w:ascii="Times New Roman" w:eastAsia="Calibri" w:hAnsi="Times New Roman" w:cs="Times New Roman"/>
                <w:sz w:val="24"/>
                <w:szCs w:val="24"/>
                <w:lang w:bidi="ru-RU"/>
              </w:rPr>
              <w:t>;</w:t>
            </w:r>
          </w:p>
          <w:p w:rsidR="00E56BB7" w:rsidRPr="008145F9" w:rsidRDefault="00E56BB7" w:rsidP="00296936">
            <w:pPr>
              <w:tabs>
                <w:tab w:val="left" w:pos="0"/>
                <w:tab w:val="left" w:pos="851"/>
              </w:tabs>
              <w:spacing w:after="0" w:line="240" w:lineRule="auto"/>
              <w:ind w:firstLine="362"/>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 xml:space="preserve">- продлить до конца 2025 года срок действия Информационного письма Банка России от 28 августа 2019 года № ИН-03-41/69 </w:t>
            </w:r>
            <w:r>
              <w:rPr>
                <w:rFonts w:ascii="Times New Roman" w:eastAsia="Calibri" w:hAnsi="Times New Roman" w:cs="Times New Roman"/>
                <w:sz w:val="24"/>
                <w:szCs w:val="24"/>
                <w:lang w:bidi="ru-RU"/>
              </w:rPr>
              <w:t>«</w:t>
            </w:r>
            <w:r w:rsidRPr="008145F9">
              <w:rPr>
                <w:rFonts w:ascii="Times New Roman" w:eastAsia="Calibri" w:hAnsi="Times New Roman" w:cs="Times New Roman"/>
                <w:sz w:val="24"/>
                <w:szCs w:val="24"/>
                <w:lang w:bidi="ru-RU"/>
              </w:rPr>
              <w:t>Об особенностях применения нормативных актов Банка России</w:t>
            </w:r>
            <w:r>
              <w:rPr>
                <w:rFonts w:ascii="Times New Roman" w:eastAsia="Calibri" w:hAnsi="Times New Roman" w:cs="Times New Roman"/>
                <w:sz w:val="24"/>
                <w:szCs w:val="24"/>
                <w:lang w:bidi="ru-RU"/>
              </w:rPr>
              <w:t>»</w:t>
            </w:r>
            <w:r w:rsidRPr="008145F9">
              <w:rPr>
                <w:rFonts w:ascii="Times New Roman" w:eastAsia="Calibri" w:hAnsi="Times New Roman" w:cs="Times New Roman"/>
                <w:sz w:val="24"/>
                <w:szCs w:val="24"/>
                <w:lang w:bidi="ru-RU"/>
              </w:rPr>
              <w:t>;</w:t>
            </w:r>
          </w:p>
          <w:p w:rsidR="00E56BB7" w:rsidRPr="008145F9" w:rsidRDefault="00E56BB7" w:rsidP="00296936">
            <w:pPr>
              <w:tabs>
                <w:tab w:val="left" w:pos="0"/>
                <w:tab w:val="left" w:pos="851"/>
              </w:tabs>
              <w:spacing w:after="0" w:line="240" w:lineRule="auto"/>
              <w:ind w:firstLine="362"/>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-продлить до конца 2025 года срок действия абзаца 8 пункта 6.6. Инструкции 199-И;</w:t>
            </w:r>
          </w:p>
          <w:p w:rsidR="00E56BB7" w:rsidRPr="008145F9" w:rsidRDefault="00E56BB7" w:rsidP="00296936">
            <w:pPr>
              <w:tabs>
                <w:tab w:val="left" w:pos="0"/>
                <w:tab w:val="left" w:pos="851"/>
              </w:tabs>
              <w:spacing w:after="0" w:line="240" w:lineRule="auto"/>
              <w:ind w:firstLine="362"/>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-продлить до конца 2025 года срок действия абзаца 9 пункта 6.7. Инструкции 199-И.</w:t>
            </w:r>
          </w:p>
        </w:tc>
        <w:tc>
          <w:tcPr>
            <w:tcW w:w="7938" w:type="dxa"/>
          </w:tcPr>
          <w:p w:rsidR="00600195" w:rsidRPr="00600195" w:rsidRDefault="00600195" w:rsidP="00600195">
            <w:pPr>
              <w:spacing w:after="0" w:line="240" w:lineRule="auto"/>
              <w:ind w:firstLine="330"/>
              <w:contextualSpacing/>
              <w:jc w:val="both"/>
              <w:rPr>
                <w:rFonts w:ascii="Times New Roman" w:hAnsi="Times New Roman"/>
                <w:bCs/>
                <w:sz w:val="24"/>
                <w:szCs w:val="24"/>
              </w:rPr>
            </w:pPr>
            <w:r w:rsidRPr="00600195">
              <w:rPr>
                <w:rFonts w:ascii="Times New Roman" w:hAnsi="Times New Roman"/>
                <w:bCs/>
                <w:sz w:val="24"/>
                <w:szCs w:val="24"/>
              </w:rPr>
              <w:t xml:space="preserve">Предложение </w:t>
            </w:r>
            <w:r>
              <w:rPr>
                <w:rFonts w:ascii="Times New Roman" w:hAnsi="Times New Roman"/>
                <w:bCs/>
                <w:sz w:val="24"/>
                <w:szCs w:val="24"/>
              </w:rPr>
              <w:t>о продлении информационн</w:t>
            </w:r>
            <w:r w:rsidR="00402014">
              <w:rPr>
                <w:rFonts w:ascii="Times New Roman" w:hAnsi="Times New Roman"/>
                <w:bCs/>
                <w:sz w:val="24"/>
                <w:szCs w:val="24"/>
              </w:rPr>
              <w:t>ых писем</w:t>
            </w:r>
            <w:r>
              <w:rPr>
                <w:rFonts w:ascii="Times New Roman" w:hAnsi="Times New Roman"/>
                <w:bCs/>
                <w:sz w:val="24"/>
                <w:szCs w:val="24"/>
              </w:rPr>
              <w:t xml:space="preserve"> </w:t>
            </w:r>
            <w:r w:rsidR="00402014">
              <w:rPr>
                <w:rFonts w:ascii="Times New Roman" w:hAnsi="Times New Roman"/>
                <w:bCs/>
                <w:sz w:val="24"/>
                <w:szCs w:val="24"/>
              </w:rPr>
              <w:t>от</w:t>
            </w:r>
            <w:r>
              <w:rPr>
                <w:rFonts w:ascii="Times New Roman" w:hAnsi="Times New Roman"/>
                <w:bCs/>
                <w:sz w:val="24"/>
                <w:szCs w:val="24"/>
              </w:rPr>
              <w:t xml:space="preserve"> 31.01.2019 </w:t>
            </w:r>
            <w:r>
              <w:rPr>
                <w:rFonts w:ascii="Times New Roman" w:hAnsi="Times New Roman"/>
                <w:bCs/>
                <w:sz w:val="24"/>
                <w:szCs w:val="24"/>
              </w:rPr>
              <w:br/>
            </w:r>
            <w:r w:rsidRPr="00600195">
              <w:rPr>
                <w:rFonts w:ascii="Times New Roman" w:hAnsi="Times New Roman"/>
                <w:bCs/>
                <w:sz w:val="24"/>
                <w:szCs w:val="24"/>
              </w:rPr>
              <w:t>№ ИН-016-41/10</w:t>
            </w:r>
            <w:r w:rsidR="00402014">
              <w:rPr>
                <w:rFonts w:ascii="Times New Roman" w:hAnsi="Times New Roman"/>
                <w:bCs/>
                <w:sz w:val="24"/>
                <w:szCs w:val="24"/>
              </w:rPr>
              <w:t>, от 28.08.2019 №ИН-03-41/69</w:t>
            </w:r>
            <w:r>
              <w:rPr>
                <w:rFonts w:ascii="Times New Roman" w:hAnsi="Times New Roman"/>
                <w:bCs/>
                <w:sz w:val="24"/>
                <w:szCs w:val="24"/>
              </w:rPr>
              <w:t xml:space="preserve"> </w:t>
            </w:r>
            <w:r w:rsidRPr="00600195">
              <w:rPr>
                <w:rFonts w:ascii="Times New Roman" w:hAnsi="Times New Roman"/>
                <w:bCs/>
                <w:sz w:val="24"/>
                <w:szCs w:val="24"/>
              </w:rPr>
              <w:t>может быть рассмотрено по результатам анализа использования в настоящее время данных писем.</w:t>
            </w:r>
          </w:p>
          <w:p w:rsidR="00600195" w:rsidRDefault="00600195" w:rsidP="00600195">
            <w:pPr>
              <w:spacing w:after="0" w:line="240" w:lineRule="auto"/>
              <w:ind w:firstLine="330"/>
              <w:contextualSpacing/>
              <w:jc w:val="both"/>
              <w:rPr>
                <w:rFonts w:ascii="Times New Roman" w:hAnsi="Times New Roman"/>
                <w:bCs/>
                <w:sz w:val="24"/>
                <w:szCs w:val="24"/>
                <w:highlight w:val="yellow"/>
              </w:rPr>
            </w:pPr>
            <w:r w:rsidRPr="00600195">
              <w:rPr>
                <w:rFonts w:ascii="Times New Roman" w:hAnsi="Times New Roman"/>
                <w:bCs/>
                <w:sz w:val="24"/>
                <w:szCs w:val="24"/>
              </w:rPr>
              <w:t>О принятом решении банковское сообщество будет проинформировано в установленном порядке.</w:t>
            </w:r>
          </w:p>
          <w:p w:rsidR="00402014" w:rsidRDefault="00402014" w:rsidP="00296936">
            <w:pPr>
              <w:spacing w:after="0" w:line="240" w:lineRule="auto"/>
              <w:ind w:firstLine="330"/>
              <w:jc w:val="both"/>
              <w:rPr>
                <w:rFonts w:ascii="Times New Roman" w:hAnsi="Times New Roman" w:cs="Times New Roman"/>
                <w:sz w:val="24"/>
                <w:szCs w:val="24"/>
              </w:rPr>
            </w:pPr>
          </w:p>
          <w:p w:rsidR="00B3775C" w:rsidRPr="00B3775C" w:rsidRDefault="00B3775C" w:rsidP="00B3775C">
            <w:pPr>
              <w:spacing w:after="0" w:line="240" w:lineRule="auto"/>
              <w:ind w:firstLine="330"/>
              <w:jc w:val="both"/>
              <w:rPr>
                <w:rFonts w:ascii="Times New Roman" w:hAnsi="Times New Roman" w:cs="Times New Roman"/>
                <w:sz w:val="24"/>
                <w:szCs w:val="24"/>
              </w:rPr>
            </w:pPr>
            <w:r w:rsidRPr="00B3775C">
              <w:rPr>
                <w:rFonts w:ascii="Times New Roman" w:hAnsi="Times New Roman" w:cs="Times New Roman"/>
                <w:sz w:val="24"/>
                <w:szCs w:val="24"/>
              </w:rPr>
              <w:t>В части обязательных нормативов банков срок действия указанных льгот по расчету нормативов концентрации рисков (Н6 и Н25) - по 31.12.2021.</w:t>
            </w:r>
          </w:p>
          <w:p w:rsidR="00B3775C" w:rsidRPr="00B3775C" w:rsidRDefault="00B3775C" w:rsidP="00B3775C">
            <w:pPr>
              <w:spacing w:after="0" w:line="240" w:lineRule="auto"/>
              <w:ind w:firstLine="330"/>
              <w:jc w:val="both"/>
              <w:rPr>
                <w:rFonts w:ascii="Times New Roman" w:hAnsi="Times New Roman" w:cs="Times New Roman"/>
                <w:sz w:val="24"/>
                <w:szCs w:val="24"/>
              </w:rPr>
            </w:pPr>
            <w:r w:rsidRPr="00B3775C">
              <w:rPr>
                <w:rFonts w:ascii="Times New Roman" w:hAnsi="Times New Roman" w:cs="Times New Roman"/>
                <w:sz w:val="24"/>
                <w:szCs w:val="24"/>
              </w:rPr>
              <w:t>В настоящее время вопрос о продлении указанных льгот рассматривается в Банке России. Решение будет принято во II полугодии 2021 г.</w:t>
            </w:r>
          </w:p>
          <w:p w:rsidR="00E56BB7" w:rsidRPr="008145F9" w:rsidRDefault="00E56BB7" w:rsidP="00296936">
            <w:pPr>
              <w:spacing w:after="0" w:line="240" w:lineRule="auto"/>
              <w:ind w:firstLine="317"/>
              <w:jc w:val="both"/>
              <w:rPr>
                <w:rFonts w:ascii="Times New Roman" w:hAnsi="Times New Roman" w:cs="Times New Roman"/>
                <w:sz w:val="24"/>
                <w:szCs w:val="24"/>
              </w:rPr>
            </w:pPr>
            <w:bookmarkStart w:id="0" w:name="_GoBack"/>
            <w:bookmarkEnd w:id="0"/>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8</w:t>
            </w:r>
          </w:p>
        </w:tc>
        <w:tc>
          <w:tcPr>
            <w:tcW w:w="6424" w:type="dxa"/>
          </w:tcPr>
          <w:p w:rsidR="00E56BB7" w:rsidRPr="008145F9" w:rsidRDefault="00E56BB7" w:rsidP="00296936">
            <w:pPr>
              <w:spacing w:after="0" w:line="240" w:lineRule="auto"/>
              <w:ind w:firstLine="362"/>
              <w:jc w:val="both"/>
              <w:rPr>
                <w:rFonts w:ascii="Times New Roman" w:eastAsia="Calibri" w:hAnsi="Times New Roman" w:cs="Times New Roman"/>
                <w:sz w:val="24"/>
                <w:szCs w:val="24"/>
                <w:lang w:bidi="ru-RU"/>
              </w:rPr>
            </w:pPr>
            <w:r w:rsidRPr="008145F9">
              <w:rPr>
                <w:rFonts w:ascii="Times New Roman" w:hAnsi="Times New Roman"/>
                <w:sz w:val="24"/>
                <w:szCs w:val="24"/>
              </w:rPr>
              <w:t xml:space="preserve">Предлагается ввести временную (на период до 2023 года) приостановку применения требований по поддержанию минимального уровня надбавок к нормативам достаточности капитала (надбавка поддержания достаточности капитала, надбавка за системную значимость, </w:t>
            </w:r>
            <w:proofErr w:type="spellStart"/>
            <w:r w:rsidRPr="008145F9">
              <w:rPr>
                <w:rFonts w:ascii="Times New Roman" w:hAnsi="Times New Roman"/>
                <w:sz w:val="24"/>
                <w:szCs w:val="24"/>
              </w:rPr>
              <w:t>антициклическая</w:t>
            </w:r>
            <w:proofErr w:type="spellEnd"/>
            <w:r w:rsidRPr="008145F9">
              <w:rPr>
                <w:rFonts w:ascii="Times New Roman" w:hAnsi="Times New Roman"/>
                <w:sz w:val="24"/>
                <w:szCs w:val="24"/>
              </w:rPr>
              <w:t xml:space="preserve"> </w:t>
            </w:r>
            <w:r w:rsidRPr="008145F9">
              <w:rPr>
                <w:rFonts w:ascii="Times New Roman" w:hAnsi="Times New Roman"/>
                <w:sz w:val="24"/>
                <w:szCs w:val="24"/>
              </w:rPr>
              <w:lastRenderedPageBreak/>
              <w:t>надбавка) с постепенным возвратом указанных требований к 2025 году.</w:t>
            </w:r>
          </w:p>
        </w:tc>
        <w:tc>
          <w:tcPr>
            <w:tcW w:w="7938" w:type="dxa"/>
          </w:tcPr>
          <w:p w:rsidR="00E56BB7" w:rsidRPr="000E7256"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lastRenderedPageBreak/>
              <w:t>Предложение не поддерживается.</w:t>
            </w:r>
          </w:p>
          <w:p w:rsidR="00E56BB7"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 xml:space="preserve">Надбавки к нормативам достаточности капитала не являются обязательными нормативами, установленными Инструкцией Банка России от 29.11.2019 № 199-И </w:t>
            </w:r>
            <w:r>
              <w:rPr>
                <w:rFonts w:ascii="Times New Roman" w:hAnsi="Times New Roman" w:cs="Times New Roman"/>
                <w:sz w:val="24"/>
                <w:szCs w:val="24"/>
              </w:rPr>
              <w:t>«</w:t>
            </w:r>
            <w:r w:rsidRPr="000E7256">
              <w:rPr>
                <w:rFonts w:ascii="Times New Roman" w:hAnsi="Times New Roman" w:cs="Times New Roman"/>
                <w:sz w:val="24"/>
                <w:szCs w:val="24"/>
              </w:rPr>
              <w:t>Об обязательных нормативах и надбавках к нормативам достаточности капитала банков с универсальной лицензией</w:t>
            </w:r>
            <w:r>
              <w:rPr>
                <w:rFonts w:ascii="Times New Roman" w:hAnsi="Times New Roman" w:cs="Times New Roman"/>
                <w:sz w:val="24"/>
                <w:szCs w:val="24"/>
              </w:rPr>
              <w:t>»</w:t>
            </w:r>
            <w:r w:rsidRPr="000E7256">
              <w:rPr>
                <w:rFonts w:ascii="Times New Roman" w:hAnsi="Times New Roman" w:cs="Times New Roman"/>
                <w:sz w:val="24"/>
                <w:szCs w:val="24"/>
              </w:rPr>
              <w:t xml:space="preserve">. </w:t>
            </w:r>
            <w:r w:rsidRPr="000E7256">
              <w:rPr>
                <w:rFonts w:ascii="Times New Roman" w:hAnsi="Times New Roman" w:cs="Times New Roman"/>
                <w:sz w:val="24"/>
                <w:szCs w:val="24"/>
              </w:rPr>
              <w:lastRenderedPageBreak/>
              <w:t xml:space="preserve">При несоблюдении (частичном несоблюдении) надбавок к нормативам достаточности капитала к кредитным организациям не применяются меры, предусмотренные статьей 74 Федерального закона от 10.07.2002 № 86-ФЗ </w:t>
            </w:r>
            <w:r>
              <w:rPr>
                <w:rFonts w:ascii="Times New Roman" w:hAnsi="Times New Roman" w:cs="Times New Roman"/>
                <w:sz w:val="24"/>
                <w:szCs w:val="24"/>
              </w:rPr>
              <w:br/>
              <w:t>«</w:t>
            </w:r>
            <w:r w:rsidRPr="000E7256">
              <w:rPr>
                <w:rFonts w:ascii="Times New Roman" w:hAnsi="Times New Roman" w:cs="Times New Roman"/>
                <w:sz w:val="24"/>
                <w:szCs w:val="24"/>
              </w:rPr>
              <w:t>О Центральном банке Российской Федерации (Банке России)</w:t>
            </w:r>
            <w:r>
              <w:rPr>
                <w:rFonts w:ascii="Times New Roman" w:hAnsi="Times New Roman" w:cs="Times New Roman"/>
                <w:sz w:val="24"/>
                <w:szCs w:val="24"/>
              </w:rPr>
              <w:t>»</w:t>
            </w:r>
            <w:r w:rsidRPr="000E7256">
              <w:rPr>
                <w:rFonts w:ascii="Times New Roman" w:hAnsi="Times New Roman" w:cs="Times New Roman"/>
                <w:sz w:val="24"/>
                <w:szCs w:val="24"/>
              </w:rPr>
              <w:t>.</w:t>
            </w:r>
          </w:p>
          <w:p w:rsidR="00E56BB7" w:rsidRPr="008145F9" w:rsidRDefault="00E56BB7" w:rsidP="00296936">
            <w:pPr>
              <w:autoSpaceDE w:val="0"/>
              <w:autoSpaceDN w:val="0"/>
              <w:spacing w:after="0" w:line="240" w:lineRule="auto"/>
              <w:ind w:firstLine="330"/>
              <w:jc w:val="both"/>
              <w:rPr>
                <w:rFonts w:ascii="Times New Roman" w:hAnsi="Times New Roman" w:cs="Times New Roman"/>
                <w:sz w:val="24"/>
                <w:szCs w:val="24"/>
              </w:rPr>
            </w:pPr>
            <w:r w:rsidRPr="00944BE5">
              <w:rPr>
                <w:rFonts w:ascii="Times New Roman" w:eastAsia="Calibri" w:hAnsi="Times New Roman" w:cs="Times New Roman"/>
                <w:sz w:val="24"/>
                <w:szCs w:val="24"/>
              </w:rPr>
              <w:t>У кредитных организаций имеется право использовать надбавки к нормативам достаточности капитала (надбавку поддержания достаточности капитала и надбавку за системную значимость) при соблюдении ими ограничений на величину доли прибыли, подлежащей распределению в зависимости от величины надбавок. Банк России исходит из того, что указанные регуляторные послабления должны быть использованы финансовыми организациями не для осуществления выплаты бонусов менеджменту, а для поддержания кредитования экономики.</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9</w:t>
            </w:r>
          </w:p>
        </w:tc>
        <w:tc>
          <w:tcPr>
            <w:tcW w:w="6424" w:type="dxa"/>
          </w:tcPr>
          <w:p w:rsidR="00E56BB7" w:rsidRPr="008145F9" w:rsidRDefault="00E56BB7" w:rsidP="00296936">
            <w:pPr>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bCs/>
                <w:sz w:val="24"/>
                <w:szCs w:val="24"/>
              </w:rPr>
              <w:t>Предлагается установить мораторий на введение нового пруденциального регулирования, приводящего к негативному эффекту на нормативы в банковской системе, до 2023 года с полной имплементацией нового регулирования не ранее 2025 года. При этом сохранить возможность внедрения нового пруденциального регулирования ранее для случаев, приводящих к позитивному эффекту на нормативы банковской системы.</w:t>
            </w:r>
          </w:p>
        </w:tc>
        <w:tc>
          <w:tcPr>
            <w:tcW w:w="7938" w:type="dxa"/>
          </w:tcPr>
          <w:p w:rsidR="00E56BB7" w:rsidRPr="00727EA6" w:rsidRDefault="00E56BB7" w:rsidP="00296936">
            <w:pPr>
              <w:pStyle w:val="aa"/>
              <w:ind w:firstLine="317"/>
              <w:jc w:val="both"/>
              <w:rPr>
                <w:rFonts w:ascii="Times New Roman" w:hAnsi="Times New Roman"/>
                <w:sz w:val="24"/>
                <w:szCs w:val="24"/>
              </w:rPr>
            </w:pPr>
            <w:r w:rsidRPr="00727EA6">
              <w:rPr>
                <w:rFonts w:ascii="Times New Roman" w:hAnsi="Times New Roman"/>
                <w:sz w:val="24"/>
                <w:szCs w:val="24"/>
              </w:rPr>
              <w:t xml:space="preserve">Обязательные нормативы являются инструментом оценки и ограничения принимаемых банками рисков, что необходимо для обеспечения </w:t>
            </w:r>
            <w:r>
              <w:rPr>
                <w:rFonts w:ascii="Times New Roman" w:hAnsi="Times New Roman"/>
                <w:sz w:val="24"/>
                <w:szCs w:val="24"/>
              </w:rPr>
              <w:t xml:space="preserve">стабильности банковского сектора и </w:t>
            </w:r>
            <w:r w:rsidRPr="00727EA6">
              <w:rPr>
                <w:rFonts w:ascii="Times New Roman" w:hAnsi="Times New Roman"/>
                <w:sz w:val="24"/>
                <w:szCs w:val="24"/>
              </w:rPr>
              <w:t>защиты интересов вкладчиков (кредиторов) кредитных организаций. В этой связи появление новых финансовых инструментов и (или) рыночных практик, внесение законодательных изменений, выявление новых рисков, связанных с продуктами и услугами, предоставляемыми кредитными организациями, требует отражения в порядке расчета обязательных нормативов с целью недопущения некорректной оценки рисков, что особенно важно в условиях нестабильности на финансовых рынках.</w:t>
            </w:r>
          </w:p>
          <w:p w:rsidR="00E56BB7" w:rsidRDefault="00E56BB7" w:rsidP="00296936">
            <w:pPr>
              <w:pStyle w:val="aa"/>
              <w:ind w:firstLine="317"/>
              <w:jc w:val="both"/>
              <w:rPr>
                <w:rFonts w:ascii="Times New Roman" w:hAnsi="Times New Roman"/>
                <w:sz w:val="24"/>
                <w:szCs w:val="24"/>
              </w:rPr>
            </w:pPr>
            <w:r>
              <w:rPr>
                <w:rFonts w:ascii="Times New Roman" w:hAnsi="Times New Roman"/>
                <w:sz w:val="24"/>
                <w:szCs w:val="24"/>
              </w:rPr>
              <w:t xml:space="preserve">Установление полного моратория на введение изменений, которые повышают требования к оценке рисков, к потребности кредитных организаций в собственных средствах (капитале) на покрытие рисков и т.п., с учетом сказанного не представляется правильным. </w:t>
            </w:r>
          </w:p>
          <w:p w:rsidR="00E56BB7" w:rsidRDefault="00E56BB7" w:rsidP="00296936">
            <w:pPr>
              <w:pStyle w:val="aa"/>
              <w:ind w:firstLine="317"/>
              <w:jc w:val="both"/>
              <w:rPr>
                <w:rFonts w:ascii="Times New Roman" w:hAnsi="Times New Roman"/>
                <w:sz w:val="24"/>
                <w:szCs w:val="24"/>
              </w:rPr>
            </w:pPr>
            <w:r>
              <w:rPr>
                <w:rFonts w:ascii="Times New Roman" w:hAnsi="Times New Roman"/>
                <w:sz w:val="24"/>
                <w:szCs w:val="24"/>
              </w:rPr>
              <w:t xml:space="preserve">При этом </w:t>
            </w:r>
            <w:r w:rsidRPr="00727EA6">
              <w:rPr>
                <w:rFonts w:ascii="Times New Roman" w:hAnsi="Times New Roman"/>
                <w:sz w:val="24"/>
                <w:szCs w:val="24"/>
              </w:rPr>
              <w:t>Банк России продолжит практику консультаций и оценки влияния вносимых изменений</w:t>
            </w:r>
            <w:r>
              <w:rPr>
                <w:rFonts w:ascii="Times New Roman" w:hAnsi="Times New Roman"/>
                <w:sz w:val="24"/>
                <w:szCs w:val="24"/>
              </w:rPr>
              <w:t>, в том числе в рамках установленной процедуры оценки регулирующего воздействия проектов нормативных актов,</w:t>
            </w:r>
            <w:r w:rsidRPr="00727EA6">
              <w:rPr>
                <w:rFonts w:ascii="Times New Roman" w:hAnsi="Times New Roman"/>
                <w:sz w:val="24"/>
                <w:szCs w:val="24"/>
              </w:rPr>
              <w:t xml:space="preserve"> не только с точки зрения количественного влияния, но и времени, </w:t>
            </w:r>
            <w:r w:rsidRPr="00727EA6">
              <w:rPr>
                <w:rFonts w:ascii="Times New Roman" w:hAnsi="Times New Roman"/>
                <w:sz w:val="24"/>
                <w:szCs w:val="24"/>
              </w:rPr>
              <w:lastRenderedPageBreak/>
              <w:t xml:space="preserve">необходимого банковскому сектору на адаптацию к ним. Отмечаем также, что с учетом развития пандемии как со стороны </w:t>
            </w:r>
            <w:proofErr w:type="spellStart"/>
            <w:r w:rsidRPr="00727EA6">
              <w:rPr>
                <w:rFonts w:ascii="Times New Roman" w:hAnsi="Times New Roman"/>
                <w:sz w:val="24"/>
                <w:szCs w:val="24"/>
              </w:rPr>
              <w:t>Базельского</w:t>
            </w:r>
            <w:proofErr w:type="spellEnd"/>
            <w:r w:rsidRPr="00727EA6">
              <w:rPr>
                <w:rFonts w:ascii="Times New Roman" w:hAnsi="Times New Roman"/>
                <w:sz w:val="24"/>
                <w:szCs w:val="24"/>
              </w:rPr>
              <w:t xml:space="preserve"> комитета по банковскому надзору, так и Банка России уже были приняты решения по переносу внедрения части стандартов с 2021 года на 2023 год. Дальнейшие решения целесообразно принимать с учетом развития ситуации в российской банковской системе и в мире в целом.</w:t>
            </w:r>
          </w:p>
          <w:p w:rsidR="00E56BB7" w:rsidRPr="008145F9" w:rsidRDefault="00E56BB7" w:rsidP="00296936">
            <w:pPr>
              <w:pStyle w:val="aa"/>
              <w:ind w:firstLine="317"/>
              <w:jc w:val="both"/>
              <w:rPr>
                <w:rFonts w:ascii="Times New Roman" w:hAnsi="Times New Roman"/>
                <w:sz w:val="24"/>
                <w:szCs w:val="24"/>
              </w:rPr>
            </w:pPr>
            <w:r w:rsidRPr="00373524">
              <w:rPr>
                <w:rFonts w:ascii="Times New Roman" w:hAnsi="Times New Roman"/>
                <w:sz w:val="24"/>
                <w:szCs w:val="24"/>
              </w:rPr>
              <w:t>В части новых изменений, смягчающих требования прямо или косвенно, отмечаем, например, что с 01.01.2020 в российское ба</w:t>
            </w:r>
            <w:r>
              <w:rPr>
                <w:rFonts w:ascii="Times New Roman" w:hAnsi="Times New Roman"/>
                <w:sz w:val="24"/>
                <w:szCs w:val="24"/>
              </w:rPr>
              <w:t>нковское регулирование досрочно</w:t>
            </w:r>
            <w:r w:rsidRPr="00373524">
              <w:rPr>
                <w:rFonts w:ascii="Times New Roman" w:hAnsi="Times New Roman"/>
                <w:sz w:val="24"/>
                <w:szCs w:val="24"/>
              </w:rPr>
              <w:t xml:space="preserve"> внедрены отдельные нормы нового стандартизированного подхода, предусмотренного документом </w:t>
            </w:r>
            <w:proofErr w:type="spellStart"/>
            <w:r w:rsidRPr="00373524">
              <w:rPr>
                <w:rFonts w:ascii="Times New Roman" w:hAnsi="Times New Roman"/>
                <w:sz w:val="24"/>
                <w:szCs w:val="24"/>
              </w:rPr>
              <w:t>Базельского</w:t>
            </w:r>
            <w:proofErr w:type="spellEnd"/>
            <w:r w:rsidRPr="00373524">
              <w:rPr>
                <w:rFonts w:ascii="Times New Roman" w:hAnsi="Times New Roman"/>
                <w:sz w:val="24"/>
                <w:szCs w:val="24"/>
              </w:rPr>
              <w:t xml:space="preserve"> комитета по банковскому надзору </w:t>
            </w:r>
            <w:r>
              <w:rPr>
                <w:rFonts w:ascii="Times New Roman" w:hAnsi="Times New Roman"/>
                <w:sz w:val="24"/>
                <w:szCs w:val="24"/>
              </w:rPr>
              <w:t>«</w:t>
            </w:r>
            <w:r w:rsidRPr="00373524">
              <w:rPr>
                <w:rFonts w:ascii="Times New Roman" w:hAnsi="Times New Roman"/>
                <w:sz w:val="24"/>
                <w:szCs w:val="24"/>
              </w:rPr>
              <w:t xml:space="preserve">Basel III: Finalising </w:t>
            </w:r>
            <w:proofErr w:type="spellStart"/>
            <w:r w:rsidRPr="00373524">
              <w:rPr>
                <w:rFonts w:ascii="Times New Roman" w:hAnsi="Times New Roman"/>
                <w:sz w:val="24"/>
                <w:szCs w:val="24"/>
              </w:rPr>
              <w:t>post-crisis</w:t>
            </w:r>
            <w:proofErr w:type="spellEnd"/>
            <w:r w:rsidRPr="00373524">
              <w:rPr>
                <w:rFonts w:ascii="Times New Roman" w:hAnsi="Times New Roman"/>
                <w:sz w:val="24"/>
                <w:szCs w:val="24"/>
              </w:rPr>
              <w:t xml:space="preserve"> </w:t>
            </w:r>
            <w:proofErr w:type="spellStart"/>
            <w:r w:rsidRPr="00373524">
              <w:rPr>
                <w:rFonts w:ascii="Times New Roman" w:hAnsi="Times New Roman"/>
                <w:sz w:val="24"/>
                <w:szCs w:val="24"/>
              </w:rPr>
              <w:t>reforms</w:t>
            </w:r>
            <w:proofErr w:type="spellEnd"/>
            <w:r>
              <w:rPr>
                <w:rFonts w:ascii="Times New Roman" w:hAnsi="Times New Roman"/>
                <w:sz w:val="24"/>
                <w:szCs w:val="24"/>
              </w:rPr>
              <w:t>»</w:t>
            </w:r>
            <w:r w:rsidRPr="00373524">
              <w:rPr>
                <w:rFonts w:ascii="Times New Roman" w:hAnsi="Times New Roman"/>
                <w:sz w:val="24"/>
                <w:szCs w:val="24"/>
              </w:rPr>
              <w:t xml:space="preserve"> (</w:t>
            </w:r>
            <w:proofErr w:type="spellStart"/>
            <w:r w:rsidRPr="00373524">
              <w:rPr>
                <w:rFonts w:ascii="Times New Roman" w:hAnsi="Times New Roman"/>
                <w:sz w:val="24"/>
                <w:szCs w:val="24"/>
              </w:rPr>
              <w:t>December</w:t>
            </w:r>
            <w:proofErr w:type="spellEnd"/>
            <w:r w:rsidRPr="00373524">
              <w:rPr>
                <w:rFonts w:ascii="Times New Roman" w:hAnsi="Times New Roman"/>
                <w:sz w:val="24"/>
                <w:szCs w:val="24"/>
              </w:rPr>
              <w:t> 2017)</w:t>
            </w:r>
            <w:r>
              <w:rPr>
                <w:rFonts w:ascii="Times New Roman" w:hAnsi="Times New Roman"/>
                <w:sz w:val="24"/>
                <w:szCs w:val="24"/>
              </w:rPr>
              <w:t>»</w:t>
            </w:r>
            <w:r w:rsidRPr="00373524">
              <w:rPr>
                <w:rFonts w:ascii="Times New Roman" w:hAnsi="Times New Roman"/>
                <w:sz w:val="24"/>
                <w:szCs w:val="24"/>
              </w:rPr>
              <w:t xml:space="preserve"> по расчету обязательных нормативов в части требований к банкам</w:t>
            </w:r>
            <w:r>
              <w:rPr>
                <w:rFonts w:ascii="Times New Roman" w:hAnsi="Times New Roman"/>
                <w:sz w:val="24"/>
                <w:szCs w:val="24"/>
              </w:rPr>
              <w:t xml:space="preserve"> и корпоративным заемщикам, что</w:t>
            </w:r>
            <w:r w:rsidRPr="00373524">
              <w:rPr>
                <w:rFonts w:ascii="Times New Roman" w:hAnsi="Times New Roman"/>
                <w:sz w:val="24"/>
                <w:szCs w:val="24"/>
              </w:rPr>
              <w:t xml:space="preserve"> дало возможность применения пониженных коэффициентов риска по требованиям к корпоративным заемщикам, а именно 65% (по заемщикам, соответствующим инвестиционному классу) и </w:t>
            </w:r>
            <w:r w:rsidRPr="00373524">
              <w:rPr>
                <w:rFonts w:ascii="Times New Roman" w:hAnsi="Times New Roman"/>
                <w:sz w:val="24"/>
                <w:szCs w:val="24"/>
                <w:lang w:val="x-none"/>
              </w:rPr>
              <w:t>коэффициент</w:t>
            </w:r>
            <w:r w:rsidRPr="00373524">
              <w:rPr>
                <w:rFonts w:ascii="Times New Roman" w:hAnsi="Times New Roman"/>
                <w:sz w:val="24"/>
                <w:szCs w:val="24"/>
              </w:rPr>
              <w:t>а</w:t>
            </w:r>
            <w:r w:rsidRPr="00373524">
              <w:rPr>
                <w:rFonts w:ascii="Times New Roman" w:hAnsi="Times New Roman"/>
                <w:sz w:val="24"/>
                <w:szCs w:val="24"/>
                <w:lang w:val="x-none"/>
              </w:rPr>
              <w:t xml:space="preserve"> риска </w:t>
            </w:r>
            <w:r w:rsidRPr="00373524">
              <w:rPr>
                <w:rFonts w:ascii="Times New Roman" w:hAnsi="Times New Roman"/>
                <w:sz w:val="24"/>
                <w:szCs w:val="24"/>
              </w:rPr>
              <w:t>8</w:t>
            </w:r>
            <w:r w:rsidRPr="00373524">
              <w:rPr>
                <w:rFonts w:ascii="Times New Roman" w:hAnsi="Times New Roman"/>
                <w:sz w:val="24"/>
                <w:szCs w:val="24"/>
                <w:lang w:val="x-none"/>
              </w:rPr>
              <w:t xml:space="preserve">5% </w:t>
            </w:r>
            <w:r w:rsidRPr="00373524">
              <w:rPr>
                <w:rFonts w:ascii="Times New Roman" w:hAnsi="Times New Roman"/>
                <w:sz w:val="24"/>
                <w:szCs w:val="24"/>
              </w:rPr>
              <w:t xml:space="preserve">по </w:t>
            </w:r>
            <w:r w:rsidRPr="00373524">
              <w:rPr>
                <w:rFonts w:ascii="Times New Roman" w:hAnsi="Times New Roman"/>
                <w:sz w:val="24"/>
                <w:szCs w:val="24"/>
                <w:lang w:val="x-none"/>
              </w:rPr>
              <w:t>ссуд</w:t>
            </w:r>
            <w:r w:rsidRPr="00373524">
              <w:rPr>
                <w:rFonts w:ascii="Times New Roman" w:hAnsi="Times New Roman"/>
                <w:sz w:val="24"/>
                <w:szCs w:val="24"/>
              </w:rPr>
              <w:t>ам</w:t>
            </w:r>
            <w:r w:rsidRPr="00373524">
              <w:rPr>
                <w:rFonts w:ascii="Times New Roman" w:hAnsi="Times New Roman"/>
                <w:sz w:val="24"/>
                <w:szCs w:val="24"/>
                <w:lang w:val="x-none"/>
              </w:rPr>
              <w:t xml:space="preserve"> МСП, оцениваемы</w:t>
            </w:r>
            <w:r w:rsidRPr="00373524">
              <w:rPr>
                <w:rFonts w:ascii="Times New Roman" w:hAnsi="Times New Roman"/>
                <w:sz w:val="24"/>
                <w:szCs w:val="24"/>
              </w:rPr>
              <w:t>м</w:t>
            </w:r>
            <w:r w:rsidRPr="00373524">
              <w:rPr>
                <w:rFonts w:ascii="Times New Roman" w:hAnsi="Times New Roman"/>
                <w:sz w:val="24"/>
                <w:szCs w:val="24"/>
                <w:lang w:val="x-none"/>
              </w:rPr>
              <w:t xml:space="preserve"> на индивидуальной основе</w:t>
            </w:r>
            <w:r w:rsidRPr="00373524">
              <w:rPr>
                <w:rFonts w:ascii="Times New Roman" w:hAnsi="Times New Roman"/>
                <w:sz w:val="24"/>
                <w:szCs w:val="24"/>
              </w:rPr>
              <w:t>.</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10</w:t>
            </w:r>
          </w:p>
        </w:tc>
        <w:tc>
          <w:tcPr>
            <w:tcW w:w="6424" w:type="dxa"/>
          </w:tcPr>
          <w:p w:rsidR="00E56BB7" w:rsidRPr="008145F9" w:rsidRDefault="00E56BB7" w:rsidP="00296936">
            <w:pPr>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Предлагается отложить введение нового жесткого для банков норматива концентрации Н30 вместо Н21 (соотношение требований на заемщика без учета льготных коэффициентов к основному капиталу банка), срок введения которого было анонсирован с 01 января 2022 года, с обсуждением его введения в 2025 году.</w:t>
            </w:r>
          </w:p>
        </w:tc>
        <w:tc>
          <w:tcPr>
            <w:tcW w:w="7938" w:type="dxa"/>
          </w:tcPr>
          <w:p w:rsidR="00E56BB7" w:rsidRPr="008145F9"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 xml:space="preserve">Введение норматива концентрации кредитного риска на одного контрагента (группу связанных контрагентов) банковской группы, головной кредитной организацией которой является системно значимая кредитная организация (Н30) осуществляется Банком России в рамках приведения российского банковского регулирования в соответствие с </w:t>
            </w:r>
            <w:proofErr w:type="spellStart"/>
            <w:r w:rsidRPr="000E7256">
              <w:rPr>
                <w:rFonts w:ascii="Times New Roman" w:hAnsi="Times New Roman" w:cs="Times New Roman"/>
                <w:sz w:val="24"/>
                <w:szCs w:val="24"/>
              </w:rPr>
              <w:t>международно</w:t>
            </w:r>
            <w:proofErr w:type="spellEnd"/>
            <w:r w:rsidRPr="000E7256">
              <w:rPr>
                <w:rFonts w:ascii="Times New Roman" w:hAnsi="Times New Roman" w:cs="Times New Roman"/>
                <w:sz w:val="24"/>
                <w:szCs w:val="24"/>
              </w:rPr>
              <w:t xml:space="preserve"> признанными подходами, в частности, с требованиями стандарта </w:t>
            </w:r>
            <w:proofErr w:type="spellStart"/>
            <w:r w:rsidRPr="000E7256">
              <w:rPr>
                <w:rFonts w:ascii="Times New Roman" w:hAnsi="Times New Roman" w:cs="Times New Roman"/>
                <w:sz w:val="24"/>
                <w:szCs w:val="24"/>
              </w:rPr>
              <w:t>Базельского</w:t>
            </w:r>
            <w:proofErr w:type="spellEnd"/>
            <w:r w:rsidRPr="000E7256">
              <w:rPr>
                <w:rFonts w:ascii="Times New Roman" w:hAnsi="Times New Roman" w:cs="Times New Roman"/>
                <w:sz w:val="24"/>
                <w:szCs w:val="24"/>
              </w:rPr>
              <w:t xml:space="preserve"> комитета по банковскому надзору </w:t>
            </w:r>
            <w:r>
              <w:rPr>
                <w:rFonts w:ascii="Times New Roman" w:hAnsi="Times New Roman" w:cs="Times New Roman"/>
                <w:sz w:val="24"/>
                <w:szCs w:val="24"/>
              </w:rPr>
              <w:t>«</w:t>
            </w:r>
            <w:proofErr w:type="spellStart"/>
            <w:r w:rsidRPr="000E7256">
              <w:rPr>
                <w:rFonts w:ascii="Times New Roman" w:hAnsi="Times New Roman" w:cs="Times New Roman"/>
                <w:sz w:val="24"/>
                <w:szCs w:val="24"/>
              </w:rPr>
              <w:t>Supervisory</w:t>
            </w:r>
            <w:proofErr w:type="spellEnd"/>
            <w:r w:rsidRPr="000E7256">
              <w:rPr>
                <w:rFonts w:ascii="Times New Roman" w:hAnsi="Times New Roman" w:cs="Times New Roman"/>
                <w:sz w:val="24"/>
                <w:szCs w:val="24"/>
              </w:rPr>
              <w:t xml:space="preserve"> framework </w:t>
            </w:r>
            <w:proofErr w:type="spellStart"/>
            <w:r w:rsidRPr="000E7256">
              <w:rPr>
                <w:rFonts w:ascii="Times New Roman" w:hAnsi="Times New Roman" w:cs="Times New Roman"/>
                <w:sz w:val="24"/>
                <w:szCs w:val="24"/>
              </w:rPr>
              <w:t>for</w:t>
            </w:r>
            <w:proofErr w:type="spellEnd"/>
            <w:r w:rsidRPr="000E7256">
              <w:rPr>
                <w:rFonts w:ascii="Times New Roman" w:hAnsi="Times New Roman" w:cs="Times New Roman"/>
                <w:sz w:val="24"/>
                <w:szCs w:val="24"/>
              </w:rPr>
              <w:t xml:space="preserve"> </w:t>
            </w:r>
            <w:proofErr w:type="spellStart"/>
            <w:r w:rsidRPr="000E7256">
              <w:rPr>
                <w:rFonts w:ascii="Times New Roman" w:hAnsi="Times New Roman" w:cs="Times New Roman"/>
                <w:sz w:val="24"/>
                <w:szCs w:val="24"/>
              </w:rPr>
              <w:t>measuring</w:t>
            </w:r>
            <w:proofErr w:type="spellEnd"/>
            <w:r w:rsidRPr="000E7256">
              <w:rPr>
                <w:rFonts w:ascii="Times New Roman" w:hAnsi="Times New Roman" w:cs="Times New Roman"/>
                <w:sz w:val="24"/>
                <w:szCs w:val="24"/>
              </w:rPr>
              <w:t xml:space="preserve"> </w:t>
            </w:r>
            <w:proofErr w:type="spellStart"/>
            <w:r w:rsidRPr="000E7256">
              <w:rPr>
                <w:rFonts w:ascii="Times New Roman" w:hAnsi="Times New Roman" w:cs="Times New Roman"/>
                <w:sz w:val="24"/>
                <w:szCs w:val="24"/>
              </w:rPr>
              <w:t>and</w:t>
            </w:r>
            <w:proofErr w:type="spellEnd"/>
            <w:r w:rsidRPr="000E7256">
              <w:rPr>
                <w:rFonts w:ascii="Times New Roman" w:hAnsi="Times New Roman" w:cs="Times New Roman"/>
                <w:sz w:val="24"/>
                <w:szCs w:val="24"/>
              </w:rPr>
              <w:t xml:space="preserve"> </w:t>
            </w:r>
            <w:proofErr w:type="spellStart"/>
            <w:r w:rsidRPr="000E7256">
              <w:rPr>
                <w:rFonts w:ascii="Times New Roman" w:hAnsi="Times New Roman" w:cs="Times New Roman"/>
                <w:sz w:val="24"/>
                <w:szCs w:val="24"/>
              </w:rPr>
              <w:t>controlling</w:t>
            </w:r>
            <w:proofErr w:type="spellEnd"/>
            <w:r w:rsidRPr="000E7256">
              <w:rPr>
                <w:rFonts w:ascii="Times New Roman" w:hAnsi="Times New Roman" w:cs="Times New Roman"/>
                <w:sz w:val="24"/>
                <w:szCs w:val="24"/>
              </w:rPr>
              <w:t xml:space="preserve"> </w:t>
            </w:r>
            <w:proofErr w:type="spellStart"/>
            <w:r w:rsidRPr="000E7256">
              <w:rPr>
                <w:rFonts w:ascii="Times New Roman" w:hAnsi="Times New Roman" w:cs="Times New Roman"/>
                <w:sz w:val="24"/>
                <w:szCs w:val="24"/>
              </w:rPr>
              <w:t>large</w:t>
            </w:r>
            <w:proofErr w:type="spellEnd"/>
            <w:r w:rsidRPr="000E7256">
              <w:rPr>
                <w:rFonts w:ascii="Times New Roman" w:hAnsi="Times New Roman" w:cs="Times New Roman"/>
                <w:sz w:val="24"/>
                <w:szCs w:val="24"/>
              </w:rPr>
              <w:t xml:space="preserve"> </w:t>
            </w:r>
            <w:proofErr w:type="spellStart"/>
            <w:r w:rsidRPr="000E7256">
              <w:rPr>
                <w:rFonts w:ascii="Times New Roman" w:hAnsi="Times New Roman" w:cs="Times New Roman"/>
                <w:sz w:val="24"/>
                <w:szCs w:val="24"/>
              </w:rPr>
              <w:t>exposures</w:t>
            </w:r>
            <w:proofErr w:type="spellEnd"/>
            <w:r>
              <w:rPr>
                <w:rFonts w:ascii="Times New Roman" w:hAnsi="Times New Roman" w:cs="Times New Roman"/>
                <w:sz w:val="24"/>
                <w:szCs w:val="24"/>
              </w:rPr>
              <w:t>»</w:t>
            </w:r>
            <w:r w:rsidRPr="000E7256">
              <w:rPr>
                <w:rFonts w:ascii="Times New Roman" w:hAnsi="Times New Roman" w:cs="Times New Roman"/>
                <w:sz w:val="24"/>
                <w:szCs w:val="24"/>
              </w:rPr>
              <w:t xml:space="preserve"> (далее – Стандарт), вступившего в силу с 1 января 2019 года. В Российской Федерации срок введения нового норматива был зн</w:t>
            </w:r>
            <w:r>
              <w:rPr>
                <w:rFonts w:ascii="Times New Roman" w:hAnsi="Times New Roman" w:cs="Times New Roman"/>
                <w:sz w:val="24"/>
                <w:szCs w:val="24"/>
              </w:rPr>
              <w:t>ачительно сдвинут - на 2022 год</w:t>
            </w:r>
            <w:r w:rsidRPr="000E7256">
              <w:rPr>
                <w:rFonts w:ascii="Times New Roman" w:hAnsi="Times New Roman" w:cs="Times New Roman"/>
                <w:sz w:val="24"/>
                <w:szCs w:val="24"/>
              </w:rPr>
              <w:t xml:space="preserve">. </w:t>
            </w:r>
            <w:r>
              <w:rPr>
                <w:rFonts w:ascii="Times New Roman" w:hAnsi="Times New Roman" w:cs="Times New Roman"/>
                <w:sz w:val="24"/>
                <w:szCs w:val="24"/>
              </w:rPr>
              <w:t>Ц</w:t>
            </w:r>
            <w:r w:rsidRPr="000E7256">
              <w:rPr>
                <w:rFonts w:ascii="Times New Roman" w:hAnsi="Times New Roman" w:cs="Times New Roman"/>
                <w:sz w:val="24"/>
                <w:szCs w:val="24"/>
              </w:rPr>
              <w:t xml:space="preserve">елью введения норматива Н30 является ограничение максимально возможных потерь системно значимых кредитных организаций в случае внезапной неплатежеспособности одного заемщика или группы связанных заемщиков до уровня, не ставящего под угрозу платежеспособность банковской </w:t>
            </w:r>
            <w:r w:rsidRPr="000E7256">
              <w:rPr>
                <w:rFonts w:ascii="Times New Roman" w:hAnsi="Times New Roman" w:cs="Times New Roman"/>
                <w:sz w:val="24"/>
                <w:szCs w:val="24"/>
              </w:rPr>
              <w:lastRenderedPageBreak/>
              <w:t xml:space="preserve">группы или ее отдельных участников - кредитных организаций. Выявление крупных рисков на контрагента на уровне банковской группы позволяет учитывать каналы передачи и распространения риска по финансовой системе, в том числе от </w:t>
            </w:r>
            <w:proofErr w:type="spellStart"/>
            <w:r w:rsidRPr="000E7256">
              <w:rPr>
                <w:rFonts w:ascii="Times New Roman" w:hAnsi="Times New Roman" w:cs="Times New Roman"/>
                <w:sz w:val="24"/>
                <w:szCs w:val="24"/>
              </w:rPr>
              <w:t>некредитных</w:t>
            </w:r>
            <w:proofErr w:type="spellEnd"/>
            <w:r w:rsidRPr="000E7256">
              <w:rPr>
                <w:rFonts w:ascii="Times New Roman" w:hAnsi="Times New Roman" w:cs="Times New Roman"/>
                <w:sz w:val="24"/>
                <w:szCs w:val="24"/>
              </w:rPr>
              <w:t xml:space="preserve"> финансовых институтов, входящих в состав банковских групп.</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11</w:t>
            </w:r>
          </w:p>
        </w:tc>
        <w:tc>
          <w:tcPr>
            <w:tcW w:w="6424" w:type="dxa"/>
          </w:tcPr>
          <w:p w:rsidR="00E56BB7" w:rsidRPr="008145F9" w:rsidRDefault="00E56BB7" w:rsidP="00296936">
            <w:pPr>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Предлагается отложить до 2025 года введение нового расчета Операционного риска (планируется с 01 января 2023 года), оставив за банками право выбора нового подхода.</w:t>
            </w:r>
          </w:p>
        </w:tc>
        <w:tc>
          <w:tcPr>
            <w:tcW w:w="7938" w:type="dxa"/>
          </w:tcPr>
          <w:p w:rsidR="00E56BB7" w:rsidRPr="000E7256"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 xml:space="preserve">С целью установления требований к расчету размера операционного риска в целях расчета нормативов достаточности капитала в соответствии со стандартом </w:t>
            </w:r>
            <w:proofErr w:type="spellStart"/>
            <w:r w:rsidRPr="000E7256">
              <w:rPr>
                <w:rFonts w:ascii="Times New Roman" w:hAnsi="Times New Roman" w:cs="Times New Roman"/>
                <w:sz w:val="24"/>
                <w:szCs w:val="24"/>
              </w:rPr>
              <w:t>Базельского</w:t>
            </w:r>
            <w:proofErr w:type="spellEnd"/>
            <w:r w:rsidRPr="000E7256">
              <w:rPr>
                <w:rFonts w:ascii="Times New Roman" w:hAnsi="Times New Roman" w:cs="Times New Roman"/>
                <w:sz w:val="24"/>
                <w:szCs w:val="24"/>
              </w:rPr>
              <w:t xml:space="preserve"> комитета по банковскому надзору </w:t>
            </w:r>
            <w:r>
              <w:rPr>
                <w:rFonts w:ascii="Times New Roman" w:hAnsi="Times New Roman" w:cs="Times New Roman"/>
                <w:sz w:val="24"/>
                <w:szCs w:val="24"/>
              </w:rPr>
              <w:t>«</w:t>
            </w:r>
            <w:r w:rsidRPr="000E7256">
              <w:rPr>
                <w:rFonts w:ascii="Times New Roman" w:hAnsi="Times New Roman" w:cs="Times New Roman"/>
                <w:sz w:val="24"/>
                <w:szCs w:val="24"/>
              </w:rPr>
              <w:t xml:space="preserve">Basel III: Finalising </w:t>
            </w:r>
            <w:proofErr w:type="spellStart"/>
            <w:r w:rsidRPr="000E7256">
              <w:rPr>
                <w:rFonts w:ascii="Times New Roman" w:hAnsi="Times New Roman" w:cs="Times New Roman"/>
                <w:sz w:val="24"/>
                <w:szCs w:val="24"/>
              </w:rPr>
              <w:t>post-crisis</w:t>
            </w:r>
            <w:proofErr w:type="spellEnd"/>
            <w:r w:rsidRPr="000E7256">
              <w:rPr>
                <w:rFonts w:ascii="Times New Roman" w:hAnsi="Times New Roman" w:cs="Times New Roman"/>
                <w:sz w:val="24"/>
                <w:szCs w:val="24"/>
              </w:rPr>
              <w:t xml:space="preserve"> </w:t>
            </w:r>
            <w:proofErr w:type="spellStart"/>
            <w:r w:rsidRPr="000E7256">
              <w:rPr>
                <w:rFonts w:ascii="Times New Roman" w:hAnsi="Times New Roman" w:cs="Times New Roman"/>
                <w:sz w:val="24"/>
                <w:szCs w:val="24"/>
              </w:rPr>
              <w:t>reforms</w:t>
            </w:r>
            <w:proofErr w:type="spellEnd"/>
            <w:r w:rsidRPr="000E7256">
              <w:rPr>
                <w:rFonts w:ascii="Times New Roman" w:hAnsi="Times New Roman" w:cs="Times New Roman"/>
                <w:sz w:val="24"/>
                <w:szCs w:val="24"/>
              </w:rPr>
              <w:t xml:space="preserve"> (</w:t>
            </w:r>
            <w:proofErr w:type="spellStart"/>
            <w:r w:rsidRPr="000E7256">
              <w:rPr>
                <w:rFonts w:ascii="Times New Roman" w:hAnsi="Times New Roman" w:cs="Times New Roman"/>
                <w:sz w:val="24"/>
                <w:szCs w:val="24"/>
              </w:rPr>
              <w:t>December</w:t>
            </w:r>
            <w:proofErr w:type="spellEnd"/>
            <w:r w:rsidRPr="000E7256">
              <w:rPr>
                <w:rFonts w:ascii="Times New Roman" w:hAnsi="Times New Roman" w:cs="Times New Roman"/>
                <w:sz w:val="24"/>
                <w:szCs w:val="24"/>
              </w:rPr>
              <w:t xml:space="preserve"> 2017)</w:t>
            </w:r>
            <w:r>
              <w:rPr>
                <w:rFonts w:ascii="Times New Roman" w:hAnsi="Times New Roman" w:cs="Times New Roman"/>
                <w:sz w:val="24"/>
                <w:szCs w:val="24"/>
              </w:rPr>
              <w:t>»</w:t>
            </w:r>
            <w:r w:rsidRPr="000E7256">
              <w:rPr>
                <w:rFonts w:ascii="Times New Roman" w:hAnsi="Times New Roman" w:cs="Times New Roman"/>
                <w:sz w:val="24"/>
                <w:szCs w:val="24"/>
              </w:rPr>
              <w:t xml:space="preserve"> (далее – стандарт </w:t>
            </w:r>
            <w:r>
              <w:rPr>
                <w:rFonts w:ascii="Times New Roman" w:hAnsi="Times New Roman" w:cs="Times New Roman"/>
                <w:sz w:val="24"/>
                <w:szCs w:val="24"/>
              </w:rPr>
              <w:t>«</w:t>
            </w:r>
            <w:r w:rsidRPr="000E7256">
              <w:rPr>
                <w:rFonts w:ascii="Times New Roman" w:hAnsi="Times New Roman" w:cs="Times New Roman"/>
                <w:sz w:val="24"/>
                <w:szCs w:val="24"/>
              </w:rPr>
              <w:t>Базель III</w:t>
            </w:r>
            <w:r>
              <w:rPr>
                <w:rFonts w:ascii="Times New Roman" w:hAnsi="Times New Roman" w:cs="Times New Roman"/>
                <w:sz w:val="24"/>
                <w:szCs w:val="24"/>
              </w:rPr>
              <w:t>»</w:t>
            </w:r>
            <w:r w:rsidRPr="000E7256">
              <w:rPr>
                <w:rFonts w:ascii="Times New Roman" w:hAnsi="Times New Roman" w:cs="Times New Roman"/>
                <w:sz w:val="24"/>
                <w:szCs w:val="24"/>
              </w:rPr>
              <w:t xml:space="preserve">) Банком России утверждено Положение Банка России от 07.12.2020 № 744-П </w:t>
            </w:r>
            <w:r>
              <w:rPr>
                <w:rFonts w:ascii="Times New Roman" w:hAnsi="Times New Roman" w:cs="Times New Roman"/>
                <w:sz w:val="24"/>
                <w:szCs w:val="24"/>
              </w:rPr>
              <w:t>«</w:t>
            </w:r>
            <w:r w:rsidRPr="000E7256">
              <w:rPr>
                <w:rFonts w:ascii="Times New Roman" w:hAnsi="Times New Roman" w:cs="Times New Roman"/>
                <w:sz w:val="24"/>
                <w:szCs w:val="24"/>
              </w:rPr>
              <w:t>О порядке расчета размера операционного риска (</w:t>
            </w:r>
            <w:r>
              <w:rPr>
                <w:rFonts w:ascii="Times New Roman" w:hAnsi="Times New Roman" w:cs="Times New Roman"/>
                <w:sz w:val="24"/>
                <w:szCs w:val="24"/>
              </w:rPr>
              <w:t>«</w:t>
            </w:r>
            <w:r w:rsidRPr="000E7256">
              <w:rPr>
                <w:rFonts w:ascii="Times New Roman" w:hAnsi="Times New Roman" w:cs="Times New Roman"/>
                <w:sz w:val="24"/>
                <w:szCs w:val="24"/>
              </w:rPr>
              <w:t>Базель III</w:t>
            </w:r>
            <w:r>
              <w:rPr>
                <w:rFonts w:ascii="Times New Roman" w:hAnsi="Times New Roman" w:cs="Times New Roman"/>
                <w:sz w:val="24"/>
                <w:szCs w:val="24"/>
              </w:rPr>
              <w:t>»</w:t>
            </w:r>
            <w:r w:rsidRPr="000E7256">
              <w:rPr>
                <w:rFonts w:ascii="Times New Roman" w:hAnsi="Times New Roman" w:cs="Times New Roman"/>
                <w:sz w:val="24"/>
                <w:szCs w:val="24"/>
              </w:rPr>
              <w:t>) и осуществления Банком России надзора за его соблюдением</w:t>
            </w:r>
            <w:r>
              <w:rPr>
                <w:rFonts w:ascii="Times New Roman" w:hAnsi="Times New Roman" w:cs="Times New Roman"/>
                <w:sz w:val="24"/>
                <w:szCs w:val="24"/>
              </w:rPr>
              <w:t>»</w:t>
            </w:r>
            <w:r w:rsidRPr="000E7256">
              <w:rPr>
                <w:rFonts w:ascii="Times New Roman" w:hAnsi="Times New Roman" w:cs="Times New Roman"/>
                <w:sz w:val="24"/>
                <w:szCs w:val="24"/>
              </w:rPr>
              <w:t xml:space="preserve"> (далее – Положение № 744-П). </w:t>
            </w:r>
          </w:p>
          <w:p w:rsidR="00E56BB7" w:rsidRPr="000E7256"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Положением № 744-П предусматривается, что банки с универсальной лицензией обязаны применять его начиная с 1 января 2023 года. При этом со дня вступления в силу Положения № 744-П банки с универсальной лицензией вправе самостоятельно принять решение о применении указанного Положения ранее 1 января 2023 года, о чем должны проинформировать Банк России.</w:t>
            </w:r>
          </w:p>
          <w:p w:rsidR="00E56BB7" w:rsidRPr="000E7256"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В целях реализации принципа пропорционального регулирования, для иных кредитных организаций со дня вс</w:t>
            </w:r>
            <w:r>
              <w:rPr>
                <w:rFonts w:ascii="Times New Roman" w:hAnsi="Times New Roman" w:cs="Times New Roman"/>
                <w:sz w:val="24"/>
                <w:szCs w:val="24"/>
              </w:rPr>
              <w:t>тупления в силу Положения № 744-</w:t>
            </w:r>
            <w:r w:rsidRPr="000E7256">
              <w:rPr>
                <w:rFonts w:ascii="Times New Roman" w:hAnsi="Times New Roman" w:cs="Times New Roman"/>
                <w:sz w:val="24"/>
                <w:szCs w:val="24"/>
              </w:rPr>
              <w:t xml:space="preserve">П предусмотрено право по своему усмотрению либо продолжить применять для расчета размера операционного риска Положение Банка России от 3 сентября 2018 года № 652-П </w:t>
            </w:r>
            <w:r>
              <w:rPr>
                <w:rFonts w:ascii="Times New Roman" w:hAnsi="Times New Roman" w:cs="Times New Roman"/>
                <w:sz w:val="24"/>
                <w:szCs w:val="24"/>
              </w:rPr>
              <w:t>«</w:t>
            </w:r>
            <w:r w:rsidRPr="000E7256">
              <w:rPr>
                <w:rFonts w:ascii="Times New Roman" w:hAnsi="Times New Roman" w:cs="Times New Roman"/>
                <w:sz w:val="24"/>
                <w:szCs w:val="24"/>
              </w:rPr>
              <w:t>О порядке расчета размера операционного риска</w:t>
            </w:r>
            <w:r>
              <w:rPr>
                <w:rFonts w:ascii="Times New Roman" w:hAnsi="Times New Roman" w:cs="Times New Roman"/>
                <w:sz w:val="24"/>
                <w:szCs w:val="24"/>
              </w:rPr>
              <w:t>»</w:t>
            </w:r>
            <w:r w:rsidRPr="000E7256">
              <w:rPr>
                <w:rFonts w:ascii="Times New Roman" w:hAnsi="Times New Roman" w:cs="Times New Roman"/>
                <w:sz w:val="24"/>
                <w:szCs w:val="24"/>
              </w:rPr>
              <w:t xml:space="preserve"> (далее – Положение № 652-П), либо принять решение о применении Положения № 744-П, проинформировав об этом Банк России. </w:t>
            </w:r>
          </w:p>
          <w:p w:rsidR="00E56BB7" w:rsidRPr="000E7256"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 xml:space="preserve">Относительно трудозатрат на применение Положения № 744-П отмечаем, что банки с универсальной лицензией и размером активов до 500 млрд. руб. будут использовать упрощенный расчет размера операционного риска (с фиксированным коэффициентом внутренних потерь равным </w:t>
            </w:r>
            <w:r w:rsidRPr="000E7256">
              <w:rPr>
                <w:rFonts w:ascii="Times New Roman" w:hAnsi="Times New Roman" w:cs="Times New Roman"/>
                <w:sz w:val="24"/>
                <w:szCs w:val="24"/>
              </w:rPr>
              <w:lastRenderedPageBreak/>
              <w:t>единице) и рассчитывать размер операционного риска на основе данных отчетности по форме 0409102 и 0409110. Расходы (трудозатраты) банков на реализацию такого расчета будут аналогичны расходам по действующему расчету, предусмотренному Положением № 652-П.</w:t>
            </w:r>
          </w:p>
          <w:p w:rsidR="00E56BB7" w:rsidRPr="000E7256"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 xml:space="preserve">Банки с универсальной лицензией и размером активов более 500 млрд. руб. в соответствии с Положением № 744-П с 1 января 2023 года до 1 января 2027 года будут также применять упрощенный расчет размера операционного риска с применением фиксированного коэффициента внутренних потерь. </w:t>
            </w:r>
          </w:p>
          <w:p w:rsidR="00E56BB7" w:rsidRPr="008145F9" w:rsidRDefault="00E56BB7" w:rsidP="00296936">
            <w:pPr>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Учитывая, что Положение № 744-П предусматривает поэтапный и постепенный переход на новый расчет размера операционного риска, считаем нецелесообразным перенос на 2025 год срока начала обязательного применения Положения № 744-П для банков с универсальной лицензией.</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12</w:t>
            </w:r>
          </w:p>
        </w:tc>
        <w:tc>
          <w:tcPr>
            <w:tcW w:w="6424" w:type="dxa"/>
          </w:tcPr>
          <w:p w:rsidR="00E56BB7" w:rsidRPr="008145F9" w:rsidRDefault="00E56BB7" w:rsidP="00296936">
            <w:pPr>
              <w:tabs>
                <w:tab w:val="left" w:pos="567"/>
              </w:tabs>
              <w:spacing w:after="0" w:line="240" w:lineRule="auto"/>
              <w:ind w:firstLine="362"/>
              <w:jc w:val="both"/>
              <w:rPr>
                <w:rFonts w:ascii="Times New Roman" w:hAnsi="Times New Roman"/>
                <w:bCs/>
                <w:sz w:val="24"/>
                <w:szCs w:val="24"/>
              </w:rPr>
            </w:pPr>
            <w:r w:rsidRPr="008145F9">
              <w:rPr>
                <w:rFonts w:ascii="Times New Roman" w:hAnsi="Times New Roman"/>
                <w:bCs/>
                <w:sz w:val="24"/>
                <w:szCs w:val="24"/>
              </w:rPr>
              <w:t xml:space="preserve">Каковы планы Банка России по расширению списка принимаемого обеспечения в целях расчета резервов РСБУ и нормативов достаточности капитала? </w:t>
            </w:r>
          </w:p>
          <w:p w:rsidR="00E56BB7" w:rsidRPr="008145F9" w:rsidRDefault="00E56BB7" w:rsidP="00296936">
            <w:pPr>
              <w:tabs>
                <w:tab w:val="left" w:pos="567"/>
              </w:tabs>
              <w:spacing w:after="0" w:line="240" w:lineRule="auto"/>
              <w:ind w:firstLine="362"/>
              <w:jc w:val="both"/>
              <w:rPr>
                <w:rFonts w:ascii="Times New Roman" w:hAnsi="Times New Roman"/>
                <w:bCs/>
                <w:sz w:val="24"/>
                <w:szCs w:val="24"/>
              </w:rPr>
            </w:pPr>
            <w:r w:rsidRPr="008145F9">
              <w:rPr>
                <w:rFonts w:ascii="Times New Roman" w:hAnsi="Times New Roman"/>
                <w:bCs/>
                <w:sz w:val="24"/>
                <w:szCs w:val="24"/>
              </w:rPr>
              <w:t>Планируется ли вернуться к появлению 3-ей категории качества в обеспечении и каково отношение Банка России к таким формам снижения рисков как наличие спонсорских соглашений, прямых соглашений с публично-правовыми образованиями (в рамках с Федерального закона 115-ФЗ</w:t>
            </w:r>
            <w:r w:rsidR="0045286A">
              <w:rPr>
                <w:rStyle w:val="a6"/>
                <w:rFonts w:ascii="Times New Roman" w:hAnsi="Times New Roman"/>
                <w:bCs/>
                <w:sz w:val="24"/>
                <w:szCs w:val="24"/>
              </w:rPr>
              <w:footnoteReference w:id="6"/>
            </w:r>
            <w:r w:rsidRPr="008145F9">
              <w:rPr>
                <w:rFonts w:ascii="Times New Roman" w:hAnsi="Times New Roman"/>
                <w:bCs/>
                <w:sz w:val="24"/>
                <w:szCs w:val="24"/>
              </w:rPr>
              <w:t xml:space="preserve"> и Федерального закона 224-ФЗ</w:t>
            </w:r>
            <w:r w:rsidR="0045286A">
              <w:rPr>
                <w:rStyle w:val="a6"/>
                <w:rFonts w:ascii="Times New Roman" w:hAnsi="Times New Roman"/>
                <w:bCs/>
                <w:sz w:val="24"/>
                <w:szCs w:val="24"/>
              </w:rPr>
              <w:footnoteReference w:id="7"/>
            </w:r>
            <w:r w:rsidRPr="008145F9">
              <w:rPr>
                <w:rFonts w:ascii="Times New Roman" w:hAnsi="Times New Roman"/>
                <w:bCs/>
                <w:sz w:val="24"/>
                <w:szCs w:val="24"/>
              </w:rPr>
              <w:t xml:space="preserve">), наличие </w:t>
            </w:r>
            <w:proofErr w:type="spellStart"/>
            <w:r w:rsidRPr="008145F9">
              <w:rPr>
                <w:rFonts w:ascii="Times New Roman" w:hAnsi="Times New Roman"/>
                <w:bCs/>
                <w:sz w:val="24"/>
                <w:szCs w:val="24"/>
              </w:rPr>
              <w:t>off-take</w:t>
            </w:r>
            <w:proofErr w:type="spellEnd"/>
            <w:r w:rsidRPr="008145F9">
              <w:rPr>
                <w:rFonts w:ascii="Times New Roman" w:hAnsi="Times New Roman"/>
                <w:bCs/>
                <w:sz w:val="24"/>
                <w:szCs w:val="24"/>
              </w:rPr>
              <w:t xml:space="preserve"> или </w:t>
            </w:r>
            <w:proofErr w:type="spellStart"/>
            <w:r w:rsidRPr="008145F9">
              <w:rPr>
                <w:rFonts w:ascii="Times New Roman" w:hAnsi="Times New Roman"/>
                <w:bCs/>
                <w:sz w:val="24"/>
                <w:szCs w:val="24"/>
              </w:rPr>
              <w:t>take</w:t>
            </w:r>
            <w:proofErr w:type="spellEnd"/>
            <w:r w:rsidRPr="008145F9">
              <w:rPr>
                <w:rFonts w:ascii="Times New Roman" w:hAnsi="Times New Roman"/>
                <w:bCs/>
                <w:sz w:val="24"/>
                <w:szCs w:val="24"/>
              </w:rPr>
              <w:t xml:space="preserve"> </w:t>
            </w:r>
            <w:proofErr w:type="spellStart"/>
            <w:r w:rsidRPr="008145F9">
              <w:rPr>
                <w:rFonts w:ascii="Times New Roman" w:hAnsi="Times New Roman"/>
                <w:bCs/>
                <w:sz w:val="24"/>
                <w:szCs w:val="24"/>
              </w:rPr>
              <w:t>or</w:t>
            </w:r>
            <w:proofErr w:type="spellEnd"/>
            <w:r w:rsidRPr="008145F9">
              <w:rPr>
                <w:rFonts w:ascii="Times New Roman" w:hAnsi="Times New Roman"/>
                <w:bCs/>
                <w:sz w:val="24"/>
                <w:szCs w:val="24"/>
              </w:rPr>
              <w:t xml:space="preserve"> </w:t>
            </w:r>
            <w:proofErr w:type="spellStart"/>
            <w:r w:rsidRPr="008145F9">
              <w:rPr>
                <w:rFonts w:ascii="Times New Roman" w:hAnsi="Times New Roman"/>
                <w:bCs/>
                <w:sz w:val="24"/>
                <w:szCs w:val="24"/>
              </w:rPr>
              <w:t>pay</w:t>
            </w:r>
            <w:proofErr w:type="spellEnd"/>
            <w:r w:rsidRPr="008145F9">
              <w:rPr>
                <w:rFonts w:ascii="Times New Roman" w:hAnsi="Times New Roman"/>
                <w:bCs/>
                <w:sz w:val="24"/>
                <w:szCs w:val="24"/>
              </w:rPr>
              <w:t xml:space="preserve"> контрактов, а также договоров поставки мощности в рамках специализированного кредитования?</w:t>
            </w:r>
          </w:p>
          <w:p w:rsidR="00E56BB7" w:rsidRPr="008145F9" w:rsidRDefault="00E56BB7" w:rsidP="00296936">
            <w:pPr>
              <w:tabs>
                <w:tab w:val="left" w:pos="567"/>
              </w:tabs>
              <w:spacing w:after="0" w:line="240" w:lineRule="auto"/>
              <w:ind w:firstLine="362"/>
              <w:jc w:val="both"/>
              <w:rPr>
                <w:rFonts w:ascii="Times New Roman" w:eastAsia="Calibri" w:hAnsi="Times New Roman" w:cs="Times New Roman"/>
                <w:sz w:val="24"/>
                <w:szCs w:val="24"/>
                <w:lang w:bidi="ru-RU"/>
              </w:rPr>
            </w:pPr>
            <w:r w:rsidRPr="008145F9">
              <w:rPr>
                <w:rFonts w:ascii="Times New Roman" w:hAnsi="Times New Roman"/>
                <w:bCs/>
                <w:sz w:val="24"/>
                <w:szCs w:val="24"/>
              </w:rPr>
              <w:t xml:space="preserve">Предлагается для целей корректировки резервов и расчета нормативов учитывать обеспечительный платеж. Данный инструмент является юридически более надежным, чем уже используемые гарантийный депозит и залог </w:t>
            </w:r>
            <w:r w:rsidRPr="008145F9">
              <w:rPr>
                <w:rFonts w:ascii="Times New Roman" w:hAnsi="Times New Roman"/>
                <w:bCs/>
                <w:sz w:val="24"/>
                <w:szCs w:val="24"/>
              </w:rPr>
              <w:lastRenderedPageBreak/>
              <w:t>векселей, однако до сих пор не учитывается при определении резервов/ расчете нормативов.</w:t>
            </w:r>
          </w:p>
        </w:tc>
        <w:tc>
          <w:tcPr>
            <w:tcW w:w="7938" w:type="dxa"/>
          </w:tcPr>
          <w:p w:rsidR="00E56BB7" w:rsidRPr="00A119A1" w:rsidRDefault="00E56BB7" w:rsidP="00296936">
            <w:pPr>
              <w:tabs>
                <w:tab w:val="left" w:pos="567"/>
              </w:tabs>
              <w:spacing w:after="0" w:line="240" w:lineRule="auto"/>
              <w:ind w:firstLine="317"/>
              <w:jc w:val="both"/>
              <w:rPr>
                <w:rFonts w:ascii="Times New Roman" w:hAnsi="Times New Roman"/>
                <w:bCs/>
                <w:sz w:val="24"/>
                <w:szCs w:val="24"/>
              </w:rPr>
            </w:pPr>
            <w:r w:rsidRPr="00A119A1">
              <w:rPr>
                <w:rFonts w:ascii="Times New Roman" w:hAnsi="Times New Roman"/>
                <w:bCs/>
                <w:sz w:val="24"/>
                <w:szCs w:val="24"/>
              </w:rPr>
              <w:lastRenderedPageBreak/>
              <w:t xml:space="preserve">Банк России планирует проводить работу по совершенствованию подходов к признанию обеспечения в целях главы 6 Положения № 590-П. </w:t>
            </w:r>
          </w:p>
          <w:p w:rsidR="00253A16" w:rsidRPr="00A119A1" w:rsidRDefault="00E56BB7" w:rsidP="00253A16">
            <w:pPr>
              <w:tabs>
                <w:tab w:val="left" w:pos="567"/>
              </w:tabs>
              <w:spacing w:after="0" w:line="240" w:lineRule="auto"/>
              <w:ind w:firstLine="317"/>
              <w:jc w:val="both"/>
              <w:rPr>
                <w:rFonts w:ascii="Times New Roman" w:hAnsi="Times New Roman"/>
                <w:bCs/>
                <w:sz w:val="24"/>
                <w:szCs w:val="24"/>
              </w:rPr>
            </w:pPr>
            <w:r w:rsidRPr="00A119A1">
              <w:rPr>
                <w:rFonts w:ascii="Times New Roman" w:hAnsi="Times New Roman"/>
                <w:bCs/>
                <w:sz w:val="24"/>
                <w:szCs w:val="24"/>
              </w:rPr>
              <w:t xml:space="preserve">При этом работа по расширению перечня обеспечения для целей формирования резервов на возможные потери проводится постоянно. Подготовлено Указание Банка России от 11.01.2021 № 5690-У </w:t>
            </w:r>
            <w:r>
              <w:rPr>
                <w:rFonts w:ascii="Times New Roman" w:hAnsi="Times New Roman"/>
                <w:bCs/>
                <w:sz w:val="24"/>
                <w:szCs w:val="24"/>
              </w:rPr>
              <w:t>«</w:t>
            </w:r>
            <w:r w:rsidRPr="00A119A1">
              <w:rPr>
                <w:rFonts w:ascii="Times New Roman" w:hAnsi="Times New Roman"/>
                <w:bCs/>
                <w:sz w:val="24"/>
                <w:szCs w:val="24"/>
              </w:rPr>
              <w:t xml:space="preserve">О внесении изменений в Положение Банка России от 28 июня 2017 года № 590-П </w:t>
            </w:r>
            <w:r w:rsidR="00253A16">
              <w:rPr>
                <w:rFonts w:ascii="Times New Roman" w:hAnsi="Times New Roman"/>
                <w:bCs/>
                <w:sz w:val="24"/>
                <w:szCs w:val="24"/>
              </w:rPr>
              <w:br/>
            </w:r>
            <w:r>
              <w:rPr>
                <w:rFonts w:ascii="Times New Roman" w:hAnsi="Times New Roman"/>
                <w:bCs/>
                <w:sz w:val="24"/>
                <w:szCs w:val="24"/>
              </w:rPr>
              <w:t>«</w:t>
            </w:r>
            <w:r w:rsidRPr="00A119A1">
              <w:rPr>
                <w:rFonts w:ascii="Times New Roman" w:hAnsi="Times New Roman"/>
                <w:bCs/>
                <w:sz w:val="24"/>
                <w:szCs w:val="24"/>
              </w:rPr>
              <w:t>О порядке формирования кредитными организациями резервов на возможные потери по ссудам, ссудной и приравненной к ней задолженности</w:t>
            </w:r>
            <w:r>
              <w:rPr>
                <w:rFonts w:ascii="Times New Roman" w:hAnsi="Times New Roman"/>
                <w:bCs/>
                <w:sz w:val="24"/>
                <w:szCs w:val="24"/>
              </w:rPr>
              <w:t>»</w:t>
            </w:r>
            <w:r w:rsidRPr="00A119A1">
              <w:rPr>
                <w:rFonts w:ascii="Times New Roman" w:hAnsi="Times New Roman"/>
                <w:bCs/>
                <w:sz w:val="24"/>
                <w:szCs w:val="24"/>
              </w:rPr>
              <w:t xml:space="preserve"> </w:t>
            </w:r>
            <w:r w:rsidR="00253A16">
              <w:rPr>
                <w:rFonts w:ascii="Times New Roman" w:hAnsi="Times New Roman"/>
                <w:bCs/>
                <w:sz w:val="24"/>
                <w:szCs w:val="24"/>
              </w:rPr>
              <w:t xml:space="preserve">(проходит процедуру </w:t>
            </w:r>
            <w:r w:rsidR="00253A16" w:rsidRPr="00A119A1">
              <w:rPr>
                <w:rFonts w:ascii="Times New Roman" w:hAnsi="Times New Roman"/>
                <w:bCs/>
                <w:sz w:val="24"/>
                <w:szCs w:val="24"/>
              </w:rPr>
              <w:t>государственн</w:t>
            </w:r>
            <w:r w:rsidR="00253A16">
              <w:rPr>
                <w:rFonts w:ascii="Times New Roman" w:hAnsi="Times New Roman"/>
                <w:bCs/>
                <w:sz w:val="24"/>
                <w:szCs w:val="24"/>
              </w:rPr>
              <w:t>ой</w:t>
            </w:r>
            <w:r w:rsidR="00253A16" w:rsidRPr="00A119A1">
              <w:rPr>
                <w:rFonts w:ascii="Times New Roman" w:hAnsi="Times New Roman"/>
                <w:bCs/>
                <w:sz w:val="24"/>
                <w:szCs w:val="24"/>
              </w:rPr>
              <w:t xml:space="preserve"> регистраци</w:t>
            </w:r>
            <w:r w:rsidR="00253A16">
              <w:rPr>
                <w:rFonts w:ascii="Times New Roman" w:hAnsi="Times New Roman"/>
                <w:bCs/>
                <w:sz w:val="24"/>
                <w:szCs w:val="24"/>
              </w:rPr>
              <w:t>и</w:t>
            </w:r>
            <w:r w:rsidR="00253A16" w:rsidRPr="00A119A1">
              <w:rPr>
                <w:rFonts w:ascii="Times New Roman" w:hAnsi="Times New Roman"/>
                <w:bCs/>
                <w:sz w:val="24"/>
                <w:szCs w:val="24"/>
              </w:rPr>
              <w:t xml:space="preserve"> Минюст</w:t>
            </w:r>
            <w:r w:rsidR="00253A16">
              <w:rPr>
                <w:rFonts w:ascii="Times New Roman" w:hAnsi="Times New Roman"/>
                <w:bCs/>
                <w:sz w:val="24"/>
                <w:szCs w:val="24"/>
              </w:rPr>
              <w:t>ом</w:t>
            </w:r>
            <w:r w:rsidR="00253A16" w:rsidRPr="00A119A1">
              <w:rPr>
                <w:rFonts w:ascii="Times New Roman" w:hAnsi="Times New Roman"/>
                <w:bCs/>
                <w:sz w:val="24"/>
                <w:szCs w:val="24"/>
              </w:rPr>
              <w:t xml:space="preserve"> России), в котором:</w:t>
            </w:r>
          </w:p>
          <w:p w:rsidR="00E56BB7" w:rsidRDefault="00E56BB7" w:rsidP="00296936">
            <w:pPr>
              <w:tabs>
                <w:tab w:val="left" w:pos="567"/>
              </w:tabs>
              <w:spacing w:after="0" w:line="240" w:lineRule="auto"/>
              <w:ind w:firstLine="317"/>
              <w:jc w:val="both"/>
              <w:rPr>
                <w:rFonts w:ascii="Times New Roman" w:hAnsi="Times New Roman"/>
                <w:bCs/>
                <w:sz w:val="24"/>
                <w:szCs w:val="24"/>
              </w:rPr>
            </w:pPr>
            <w:r>
              <w:rPr>
                <w:rFonts w:ascii="Times New Roman" w:hAnsi="Times New Roman"/>
                <w:bCs/>
                <w:sz w:val="24"/>
                <w:szCs w:val="24"/>
              </w:rPr>
              <w:t xml:space="preserve">- </w:t>
            </w:r>
            <w:r w:rsidRPr="006B0B43">
              <w:rPr>
                <w:rFonts w:ascii="Times New Roman" w:hAnsi="Times New Roman"/>
                <w:bCs/>
                <w:sz w:val="24"/>
                <w:szCs w:val="24"/>
              </w:rPr>
              <w:t>в перечень обеспечения I категории качества</w:t>
            </w:r>
            <w:r>
              <w:rPr>
                <w:rFonts w:ascii="Times New Roman" w:hAnsi="Times New Roman"/>
                <w:bCs/>
                <w:sz w:val="24"/>
                <w:szCs w:val="24"/>
              </w:rPr>
              <w:t xml:space="preserve"> включен обеспечительный</w:t>
            </w:r>
            <w:r w:rsidRPr="006B0B43">
              <w:rPr>
                <w:rFonts w:ascii="Times New Roman" w:hAnsi="Times New Roman"/>
                <w:bCs/>
                <w:sz w:val="24"/>
                <w:szCs w:val="24"/>
              </w:rPr>
              <w:t xml:space="preserve"> платеж, внесенн</w:t>
            </w:r>
            <w:r>
              <w:rPr>
                <w:rFonts w:ascii="Times New Roman" w:hAnsi="Times New Roman"/>
                <w:bCs/>
                <w:sz w:val="24"/>
                <w:szCs w:val="24"/>
              </w:rPr>
              <w:t>ый</w:t>
            </w:r>
            <w:r w:rsidRPr="006B0B43">
              <w:rPr>
                <w:rFonts w:ascii="Times New Roman" w:hAnsi="Times New Roman"/>
                <w:bCs/>
                <w:sz w:val="24"/>
                <w:szCs w:val="24"/>
              </w:rPr>
              <w:t xml:space="preserve"> </w:t>
            </w:r>
            <w:r>
              <w:rPr>
                <w:rFonts w:ascii="Times New Roman" w:hAnsi="Times New Roman"/>
                <w:bCs/>
                <w:sz w:val="24"/>
                <w:szCs w:val="24"/>
              </w:rPr>
              <w:t xml:space="preserve">на счет кредитной организации - </w:t>
            </w:r>
            <w:r w:rsidRPr="006B0B43">
              <w:rPr>
                <w:rFonts w:ascii="Times New Roman" w:hAnsi="Times New Roman"/>
                <w:bCs/>
                <w:sz w:val="24"/>
                <w:szCs w:val="24"/>
              </w:rPr>
              <w:t>кредитора, если отсутствуют препятствия к реализации кредитной</w:t>
            </w:r>
            <w:r>
              <w:rPr>
                <w:rFonts w:ascii="Times New Roman" w:hAnsi="Times New Roman"/>
                <w:bCs/>
                <w:sz w:val="24"/>
                <w:szCs w:val="24"/>
              </w:rPr>
              <w:t xml:space="preserve"> </w:t>
            </w:r>
            <w:r w:rsidRPr="006B0B43">
              <w:rPr>
                <w:rFonts w:ascii="Times New Roman" w:hAnsi="Times New Roman"/>
                <w:bCs/>
                <w:sz w:val="24"/>
                <w:szCs w:val="24"/>
              </w:rPr>
              <w:t>организацией права по договору об обеспечительном платеже и срок возврата</w:t>
            </w:r>
            <w:r>
              <w:rPr>
                <w:rFonts w:ascii="Times New Roman" w:hAnsi="Times New Roman"/>
                <w:bCs/>
                <w:sz w:val="24"/>
                <w:szCs w:val="24"/>
              </w:rPr>
              <w:t xml:space="preserve"> </w:t>
            </w:r>
            <w:r w:rsidRPr="006B0B43">
              <w:rPr>
                <w:rFonts w:ascii="Times New Roman" w:hAnsi="Times New Roman"/>
                <w:bCs/>
                <w:sz w:val="24"/>
                <w:szCs w:val="24"/>
              </w:rPr>
              <w:t xml:space="preserve">обеспечительного платежа соотнесен со сроком обеспечиваемого </w:t>
            </w:r>
            <w:r w:rsidRPr="006B0B43">
              <w:rPr>
                <w:rFonts w:ascii="Times New Roman" w:hAnsi="Times New Roman"/>
                <w:bCs/>
                <w:sz w:val="24"/>
                <w:szCs w:val="24"/>
              </w:rPr>
              <w:lastRenderedPageBreak/>
              <w:t>им</w:t>
            </w:r>
            <w:r>
              <w:rPr>
                <w:rFonts w:ascii="Times New Roman" w:hAnsi="Times New Roman"/>
                <w:bCs/>
                <w:sz w:val="24"/>
                <w:szCs w:val="24"/>
              </w:rPr>
              <w:t xml:space="preserve"> </w:t>
            </w:r>
            <w:r w:rsidRPr="006B0B43">
              <w:rPr>
                <w:rFonts w:ascii="Times New Roman" w:hAnsi="Times New Roman"/>
                <w:bCs/>
                <w:sz w:val="24"/>
                <w:szCs w:val="24"/>
              </w:rPr>
              <w:t>обязательства</w:t>
            </w:r>
            <w:r>
              <w:rPr>
                <w:rFonts w:ascii="Times New Roman" w:hAnsi="Times New Roman"/>
                <w:bCs/>
                <w:sz w:val="24"/>
                <w:szCs w:val="24"/>
              </w:rPr>
              <w:t>.</w:t>
            </w:r>
            <w:r w:rsidRPr="00164794">
              <w:rPr>
                <w:rFonts w:ascii="Times New Roman" w:hAnsi="Times New Roman"/>
                <w:bCs/>
                <w:sz w:val="24"/>
                <w:szCs w:val="24"/>
              </w:rPr>
              <w:t xml:space="preserve"> </w:t>
            </w:r>
            <w:r w:rsidRPr="00164794">
              <w:rPr>
                <w:rFonts w:ascii="Times New Roman" w:hAnsi="Times New Roman"/>
                <w:bCs/>
                <w:i/>
                <w:sz w:val="24"/>
                <w:szCs w:val="24"/>
              </w:rPr>
              <w:t xml:space="preserve">Таким образом, предложение в части обеспечительного платежа </w:t>
            </w:r>
            <w:r>
              <w:rPr>
                <w:rFonts w:ascii="Times New Roman" w:hAnsi="Times New Roman"/>
                <w:bCs/>
                <w:i/>
                <w:sz w:val="24"/>
                <w:szCs w:val="24"/>
              </w:rPr>
              <w:t>уже</w:t>
            </w:r>
            <w:r w:rsidRPr="00164794">
              <w:rPr>
                <w:rFonts w:ascii="Times New Roman" w:hAnsi="Times New Roman"/>
                <w:bCs/>
                <w:i/>
                <w:sz w:val="24"/>
                <w:szCs w:val="24"/>
              </w:rPr>
              <w:t xml:space="preserve"> реализ</w:t>
            </w:r>
            <w:r>
              <w:rPr>
                <w:rFonts w:ascii="Times New Roman" w:hAnsi="Times New Roman"/>
                <w:bCs/>
                <w:i/>
                <w:sz w:val="24"/>
                <w:szCs w:val="24"/>
              </w:rPr>
              <w:t>уется</w:t>
            </w:r>
            <w:r>
              <w:rPr>
                <w:rFonts w:ascii="Times New Roman" w:hAnsi="Times New Roman"/>
                <w:bCs/>
                <w:sz w:val="24"/>
                <w:szCs w:val="24"/>
              </w:rPr>
              <w:t>;</w:t>
            </w:r>
          </w:p>
          <w:p w:rsidR="00E56BB7" w:rsidRDefault="00E56BB7" w:rsidP="00296936">
            <w:pPr>
              <w:tabs>
                <w:tab w:val="left" w:pos="567"/>
              </w:tabs>
              <w:spacing w:after="0" w:line="240" w:lineRule="auto"/>
              <w:ind w:firstLine="317"/>
              <w:jc w:val="both"/>
              <w:rPr>
                <w:rFonts w:ascii="Times New Roman" w:hAnsi="Times New Roman"/>
                <w:bCs/>
                <w:sz w:val="24"/>
                <w:szCs w:val="24"/>
              </w:rPr>
            </w:pPr>
            <w:r>
              <w:rPr>
                <w:rFonts w:ascii="Times New Roman" w:hAnsi="Times New Roman"/>
                <w:bCs/>
                <w:sz w:val="24"/>
                <w:szCs w:val="24"/>
              </w:rPr>
              <w:t>-</w:t>
            </w:r>
            <w:r w:rsidRPr="006B0B43">
              <w:rPr>
                <w:rFonts w:ascii="Times New Roman" w:hAnsi="Times New Roman"/>
                <w:bCs/>
                <w:sz w:val="24"/>
                <w:szCs w:val="24"/>
              </w:rPr>
              <w:t xml:space="preserve"> в перечень обеспечения II категории качества включен залог прав</w:t>
            </w:r>
            <w:r>
              <w:rPr>
                <w:rFonts w:ascii="Times New Roman" w:hAnsi="Times New Roman"/>
                <w:bCs/>
                <w:sz w:val="24"/>
                <w:szCs w:val="24"/>
              </w:rPr>
              <w:t xml:space="preserve"> </w:t>
            </w:r>
            <w:r w:rsidRPr="006B0B43">
              <w:rPr>
                <w:rFonts w:ascii="Times New Roman" w:hAnsi="Times New Roman"/>
                <w:bCs/>
                <w:sz w:val="24"/>
                <w:szCs w:val="24"/>
              </w:rPr>
              <w:t>требования участников долевого строительства при условии размещения</w:t>
            </w:r>
            <w:r>
              <w:rPr>
                <w:rFonts w:ascii="Times New Roman" w:hAnsi="Times New Roman"/>
                <w:bCs/>
                <w:sz w:val="24"/>
                <w:szCs w:val="24"/>
              </w:rPr>
              <w:t xml:space="preserve"> </w:t>
            </w:r>
            <w:r w:rsidRPr="006B0B43">
              <w:rPr>
                <w:rFonts w:ascii="Times New Roman" w:hAnsi="Times New Roman"/>
                <w:bCs/>
                <w:sz w:val="24"/>
                <w:szCs w:val="24"/>
              </w:rPr>
              <w:t>денежных средств участников долевого строительства на счетах эскроу</w:t>
            </w:r>
            <w:r>
              <w:rPr>
                <w:rFonts w:ascii="Times New Roman" w:hAnsi="Times New Roman"/>
                <w:bCs/>
                <w:sz w:val="24"/>
                <w:szCs w:val="24"/>
              </w:rPr>
              <w:t>.</w:t>
            </w:r>
          </w:p>
          <w:p w:rsidR="00E56BB7" w:rsidRPr="006B0B43" w:rsidRDefault="00E56BB7" w:rsidP="00296936">
            <w:pPr>
              <w:tabs>
                <w:tab w:val="left" w:pos="567"/>
              </w:tabs>
              <w:spacing w:after="0" w:line="240" w:lineRule="auto"/>
              <w:ind w:firstLine="317"/>
              <w:jc w:val="both"/>
              <w:rPr>
                <w:rFonts w:ascii="Times New Roman" w:hAnsi="Times New Roman"/>
                <w:bCs/>
                <w:sz w:val="24"/>
                <w:szCs w:val="24"/>
              </w:rPr>
            </w:pPr>
            <w:r>
              <w:rPr>
                <w:rFonts w:ascii="Times New Roman" w:hAnsi="Times New Roman"/>
                <w:bCs/>
                <w:sz w:val="24"/>
                <w:szCs w:val="24"/>
              </w:rPr>
              <w:t xml:space="preserve">Кроме того, </w:t>
            </w:r>
            <w:r w:rsidRPr="006B0B43">
              <w:rPr>
                <w:rFonts w:ascii="Times New Roman" w:hAnsi="Times New Roman"/>
                <w:bCs/>
                <w:sz w:val="24"/>
                <w:szCs w:val="24"/>
              </w:rPr>
              <w:t>увеличен с 270 до 365 дней срок реализации залога вещей со дня</w:t>
            </w:r>
            <w:r>
              <w:rPr>
                <w:rFonts w:ascii="Times New Roman" w:hAnsi="Times New Roman"/>
                <w:bCs/>
                <w:sz w:val="24"/>
                <w:szCs w:val="24"/>
              </w:rPr>
              <w:t xml:space="preserve"> </w:t>
            </w:r>
            <w:r w:rsidRPr="006B0B43">
              <w:rPr>
                <w:rFonts w:ascii="Times New Roman" w:hAnsi="Times New Roman"/>
                <w:bCs/>
                <w:sz w:val="24"/>
                <w:szCs w:val="24"/>
              </w:rPr>
              <w:t>возникновения основания для обращения взыскания на соответствующий вид</w:t>
            </w:r>
            <w:r>
              <w:rPr>
                <w:rFonts w:ascii="Times New Roman" w:hAnsi="Times New Roman"/>
                <w:bCs/>
                <w:sz w:val="24"/>
                <w:szCs w:val="24"/>
              </w:rPr>
              <w:t xml:space="preserve"> </w:t>
            </w:r>
            <w:r w:rsidRPr="006B0B43">
              <w:rPr>
                <w:rFonts w:ascii="Times New Roman" w:hAnsi="Times New Roman"/>
                <w:bCs/>
                <w:sz w:val="24"/>
                <w:szCs w:val="24"/>
              </w:rPr>
              <w:t>залога, учитываемого в целях минимизации размера резерва на возможные</w:t>
            </w:r>
            <w:r>
              <w:rPr>
                <w:rFonts w:ascii="Times New Roman" w:hAnsi="Times New Roman"/>
                <w:bCs/>
                <w:sz w:val="24"/>
                <w:szCs w:val="24"/>
              </w:rPr>
              <w:t xml:space="preserve"> потери.</w:t>
            </w:r>
          </w:p>
          <w:p w:rsidR="00E56BB7" w:rsidRPr="00957605" w:rsidRDefault="00E56BB7" w:rsidP="0029693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 части обязательных нормативов банков вопрос может быть принят к рассмотрению в рамках планируемой реформы обеспечения не ранее 2022 года.</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13</w:t>
            </w:r>
          </w:p>
        </w:tc>
        <w:tc>
          <w:tcPr>
            <w:tcW w:w="6424" w:type="dxa"/>
          </w:tcPr>
          <w:p w:rsidR="00E56BB7" w:rsidRPr="008145F9" w:rsidRDefault="00E56BB7" w:rsidP="0045286A">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Предлагаем предусмотреть возможность учитывать (вычитать из основного долга) сумму страхования финансового риска при переходе на оценку величины кредитного риска по ипотечным ссудам на основе новых требований Базель 3.5 с учетом положений последнего абзаца параграфа 62 Базель 3.5, а также детализировать порядок использования данного вида страхования для банков.</w:t>
            </w:r>
          </w:p>
        </w:tc>
        <w:tc>
          <w:tcPr>
            <w:tcW w:w="7938" w:type="dxa"/>
          </w:tcPr>
          <w:p w:rsidR="00E56BB7" w:rsidRDefault="00E56BB7" w:rsidP="00296936">
            <w:pPr>
              <w:spacing w:after="0" w:line="240" w:lineRule="auto"/>
              <w:ind w:firstLine="317"/>
              <w:jc w:val="both"/>
              <w:rPr>
                <w:rFonts w:ascii="Times New Roman" w:hAnsi="Times New Roman" w:cs="Times New Roman"/>
                <w:sz w:val="24"/>
                <w:szCs w:val="24"/>
              </w:rPr>
            </w:pPr>
            <w:r w:rsidRPr="00925189">
              <w:rPr>
                <w:rFonts w:ascii="Times New Roman" w:hAnsi="Times New Roman" w:cs="Times New Roman"/>
                <w:sz w:val="24"/>
                <w:szCs w:val="24"/>
              </w:rPr>
              <w:t>Данный вопрос рассматривался в ходе подготовки Указания Банка России от</w:t>
            </w:r>
            <w:r>
              <w:rPr>
                <w:rFonts w:ascii="Times New Roman" w:hAnsi="Times New Roman" w:cs="Times New Roman"/>
                <w:sz w:val="24"/>
                <w:szCs w:val="24"/>
              </w:rPr>
              <w:t> </w:t>
            </w:r>
            <w:r w:rsidRPr="00925189">
              <w:rPr>
                <w:rFonts w:ascii="Times New Roman" w:hAnsi="Times New Roman" w:cs="Times New Roman"/>
                <w:sz w:val="24"/>
                <w:szCs w:val="24"/>
              </w:rPr>
              <w:t xml:space="preserve">03.08.2020 № 5521-У </w:t>
            </w:r>
            <w:r>
              <w:rPr>
                <w:rFonts w:ascii="Times New Roman" w:hAnsi="Times New Roman" w:cs="Times New Roman"/>
                <w:sz w:val="24"/>
                <w:szCs w:val="24"/>
              </w:rPr>
              <w:t>«</w:t>
            </w:r>
            <w:r w:rsidRPr="00925189">
              <w:rPr>
                <w:rFonts w:ascii="Times New Roman" w:hAnsi="Times New Roman" w:cs="Times New Roman"/>
                <w:sz w:val="24"/>
                <w:szCs w:val="24"/>
              </w:rPr>
              <w:t>О внесении изменений в Инструкцию Банка России от 29 ноября 2019</w:t>
            </w:r>
            <w:r>
              <w:rPr>
                <w:rFonts w:ascii="Times New Roman" w:hAnsi="Times New Roman" w:cs="Times New Roman"/>
                <w:sz w:val="24"/>
                <w:szCs w:val="24"/>
              </w:rPr>
              <w:t> </w:t>
            </w:r>
            <w:r w:rsidRPr="00925189">
              <w:rPr>
                <w:rFonts w:ascii="Times New Roman" w:hAnsi="Times New Roman" w:cs="Times New Roman"/>
                <w:sz w:val="24"/>
                <w:szCs w:val="24"/>
              </w:rPr>
              <w:t xml:space="preserve">года № 199-И </w:t>
            </w:r>
            <w:r>
              <w:rPr>
                <w:rFonts w:ascii="Times New Roman" w:hAnsi="Times New Roman" w:cs="Times New Roman"/>
                <w:sz w:val="24"/>
                <w:szCs w:val="24"/>
              </w:rPr>
              <w:t>«</w:t>
            </w:r>
            <w:r w:rsidRPr="00925189">
              <w:rPr>
                <w:rFonts w:ascii="Times New Roman" w:hAnsi="Times New Roman" w:cs="Times New Roman"/>
                <w:sz w:val="24"/>
                <w:szCs w:val="24"/>
              </w:rPr>
              <w:t>Об обязательных нормативах и надбавках к нормативам достаточности капитала банков с универсальной лицензией</w:t>
            </w:r>
            <w:r>
              <w:rPr>
                <w:rFonts w:ascii="Times New Roman" w:hAnsi="Times New Roman" w:cs="Times New Roman"/>
                <w:sz w:val="24"/>
                <w:szCs w:val="24"/>
              </w:rPr>
              <w:t>»</w:t>
            </w:r>
            <w:r w:rsidRPr="00925189">
              <w:rPr>
                <w:rFonts w:ascii="Times New Roman" w:hAnsi="Times New Roman" w:cs="Times New Roman"/>
                <w:sz w:val="24"/>
                <w:szCs w:val="24"/>
              </w:rPr>
              <w:t>, и по согласованию с руководством Банка России было принято отрицательное решение.</w:t>
            </w:r>
          </w:p>
          <w:p w:rsidR="00E56BB7" w:rsidRPr="00957605" w:rsidRDefault="00E56BB7" w:rsidP="00296936">
            <w:pPr>
              <w:spacing w:after="0" w:line="240" w:lineRule="auto"/>
              <w:ind w:firstLine="317"/>
              <w:rPr>
                <w:rFonts w:ascii="Times New Roman" w:hAnsi="Times New Roman" w:cs="Times New Roman"/>
                <w:sz w:val="24"/>
                <w:szCs w:val="24"/>
              </w:rPr>
            </w:pP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14</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Как Банк России видит перспективы применения технических решений (</w:t>
            </w:r>
            <w:proofErr w:type="spellStart"/>
            <w:r w:rsidRPr="008145F9">
              <w:rPr>
                <w:rFonts w:ascii="Times New Roman" w:hAnsi="Times New Roman"/>
                <w:sz w:val="24"/>
                <w:szCs w:val="24"/>
              </w:rPr>
              <w:t>big</w:t>
            </w:r>
            <w:proofErr w:type="spellEnd"/>
            <w:r w:rsidRPr="008145F9">
              <w:rPr>
                <w:rFonts w:ascii="Times New Roman" w:hAnsi="Times New Roman"/>
                <w:sz w:val="24"/>
                <w:szCs w:val="24"/>
              </w:rPr>
              <w:t xml:space="preserve"> </w:t>
            </w:r>
            <w:proofErr w:type="spellStart"/>
            <w:r w:rsidRPr="008145F9">
              <w:rPr>
                <w:rFonts w:ascii="Times New Roman" w:hAnsi="Times New Roman"/>
                <w:sz w:val="24"/>
                <w:szCs w:val="24"/>
              </w:rPr>
              <w:t>data</w:t>
            </w:r>
            <w:proofErr w:type="spellEnd"/>
            <w:r w:rsidRPr="008145F9">
              <w:rPr>
                <w:rFonts w:ascii="Times New Roman" w:hAnsi="Times New Roman"/>
                <w:sz w:val="24"/>
                <w:szCs w:val="24"/>
              </w:rPr>
              <w:t>, модели вероятности дефолта и др.) для оценки заемщиков с целью определения их финансового положения?</w:t>
            </w:r>
          </w:p>
        </w:tc>
        <w:tc>
          <w:tcPr>
            <w:tcW w:w="7938" w:type="dxa"/>
          </w:tcPr>
          <w:p w:rsidR="00E56BB7" w:rsidRPr="00957605" w:rsidRDefault="00E56BB7" w:rsidP="00296936">
            <w:pPr>
              <w:tabs>
                <w:tab w:val="left" w:pos="567"/>
              </w:tabs>
              <w:spacing w:after="0" w:line="240" w:lineRule="auto"/>
              <w:ind w:firstLine="317"/>
              <w:jc w:val="both"/>
              <w:rPr>
                <w:rFonts w:ascii="Times New Roman" w:hAnsi="Times New Roman" w:cs="Times New Roman"/>
                <w:sz w:val="24"/>
                <w:szCs w:val="24"/>
              </w:rPr>
            </w:pPr>
            <w:r w:rsidRPr="00DF56A4">
              <w:rPr>
                <w:rFonts w:ascii="Times New Roman" w:eastAsia="MS Mincho" w:hAnsi="Times New Roman" w:cs="Times New Roman"/>
                <w:sz w:val="24"/>
                <w:szCs w:val="24"/>
              </w:rPr>
              <w:t>Банк России видит большие возможности для применения указанных технических решений при оценке банками кредитоспособности заемщиков. При этом, например, при разработке моделей оценки вероятности дефолта (кредитоспособности) заемщиков считаем возможным использование в качестве базовых тех принципов и подходов, которые указ</w:t>
            </w:r>
            <w:r w:rsidR="0045286A">
              <w:rPr>
                <w:rFonts w:ascii="Times New Roman" w:eastAsia="MS Mincho" w:hAnsi="Times New Roman" w:cs="Times New Roman"/>
                <w:sz w:val="24"/>
                <w:szCs w:val="24"/>
              </w:rPr>
              <w:t xml:space="preserve">аны в Положении Банка России от </w:t>
            </w:r>
            <w:r w:rsidRPr="00DF56A4">
              <w:rPr>
                <w:rFonts w:ascii="Times New Roman" w:eastAsia="MS Mincho" w:hAnsi="Times New Roman" w:cs="Times New Roman"/>
                <w:sz w:val="24"/>
                <w:szCs w:val="24"/>
              </w:rPr>
              <w:t>06.08.2015 №</w:t>
            </w:r>
            <w:r w:rsidRPr="00DF56A4">
              <w:rPr>
                <w:rFonts w:ascii="Times New Roman" w:eastAsia="MS Mincho" w:hAnsi="Times New Roman" w:cs="Times New Roman"/>
                <w:sz w:val="24"/>
                <w:szCs w:val="24"/>
                <w:lang w:val="en-US"/>
              </w:rPr>
              <w:t> </w:t>
            </w:r>
            <w:r w:rsidRPr="00DF56A4">
              <w:rPr>
                <w:rFonts w:ascii="Times New Roman" w:eastAsia="MS Mincho" w:hAnsi="Times New Roman" w:cs="Times New Roman"/>
                <w:sz w:val="24"/>
                <w:szCs w:val="24"/>
              </w:rPr>
              <w:t xml:space="preserve">483-П </w:t>
            </w:r>
            <w:r>
              <w:rPr>
                <w:rFonts w:ascii="Times New Roman" w:eastAsia="MS Mincho" w:hAnsi="Times New Roman" w:cs="Times New Roman"/>
                <w:sz w:val="24"/>
                <w:szCs w:val="24"/>
              </w:rPr>
              <w:t>«</w:t>
            </w:r>
            <w:r w:rsidRPr="00DF56A4">
              <w:rPr>
                <w:rFonts w:ascii="Times New Roman" w:eastAsia="MS Mincho" w:hAnsi="Times New Roman" w:cs="Times New Roman"/>
                <w:sz w:val="24"/>
                <w:szCs w:val="24"/>
              </w:rPr>
              <w:t>О порядке расчета величины кредитного риска на основе внутренних рейтингов</w:t>
            </w:r>
            <w:r>
              <w:rPr>
                <w:rFonts w:ascii="Times New Roman" w:eastAsia="MS Mincho" w:hAnsi="Times New Roman" w:cs="Times New Roman"/>
                <w:sz w:val="24"/>
                <w:szCs w:val="24"/>
              </w:rPr>
              <w:t>»</w:t>
            </w:r>
            <w:r w:rsidRPr="00DF56A4">
              <w:rPr>
                <w:rFonts w:ascii="Times New Roman" w:eastAsia="MS Mincho" w:hAnsi="Times New Roman" w:cs="Times New Roman"/>
                <w:sz w:val="24"/>
                <w:szCs w:val="24"/>
              </w:rPr>
              <w:t xml:space="preserve"> (далее – Положение № 483-П). Например, использование единых принципов определения дефолта и оценки вероятности его наступления на основе статистики наблюдений за долгосрочный период, включающий все фазы экономического цикла, учет (в том числе с применением технологий </w:t>
            </w:r>
            <w:proofErr w:type="spellStart"/>
            <w:r w:rsidRPr="00DF56A4">
              <w:rPr>
                <w:rFonts w:ascii="Times New Roman" w:eastAsia="MS Mincho" w:hAnsi="Times New Roman" w:cs="Times New Roman"/>
                <w:sz w:val="24"/>
                <w:szCs w:val="24"/>
              </w:rPr>
              <w:t>big</w:t>
            </w:r>
            <w:proofErr w:type="spellEnd"/>
            <w:r w:rsidRPr="00DF56A4">
              <w:rPr>
                <w:rFonts w:ascii="Times New Roman" w:eastAsia="MS Mincho" w:hAnsi="Times New Roman" w:cs="Times New Roman"/>
                <w:sz w:val="24"/>
                <w:szCs w:val="24"/>
              </w:rPr>
              <w:t xml:space="preserve"> </w:t>
            </w:r>
            <w:proofErr w:type="spellStart"/>
            <w:r w:rsidRPr="00DF56A4">
              <w:rPr>
                <w:rFonts w:ascii="Times New Roman" w:eastAsia="MS Mincho" w:hAnsi="Times New Roman" w:cs="Times New Roman"/>
                <w:sz w:val="24"/>
                <w:szCs w:val="24"/>
              </w:rPr>
              <w:lastRenderedPageBreak/>
              <w:t>data</w:t>
            </w:r>
            <w:proofErr w:type="spellEnd"/>
            <w:r w:rsidRPr="00DF56A4">
              <w:rPr>
                <w:rFonts w:ascii="Times New Roman" w:eastAsia="MS Mincho" w:hAnsi="Times New Roman" w:cs="Times New Roman"/>
                <w:sz w:val="24"/>
                <w:szCs w:val="24"/>
              </w:rPr>
              <w:t>) всех значимых факторов, влияющих на способность заемщиков исполнять свои обязательства, позволит банкам создать сопоставимые и точные модели оценки вероятности дефолта заемщиков для оценки принимаемого кредитного риска, которые могут в дальнейшем</w:t>
            </w:r>
            <w:r w:rsidRPr="00DF56A4">
              <w:rPr>
                <w:rFonts w:ascii="Times New Roman" w:eastAsia="MS Mincho" w:hAnsi="Times New Roman"/>
                <w:sz w:val="24"/>
                <w:szCs w:val="24"/>
              </w:rPr>
              <w:t xml:space="preserve"> приниматься Банком России для использования в регулировании и надзоре.</w:t>
            </w:r>
          </w:p>
        </w:tc>
      </w:tr>
      <w:tr w:rsidR="00E56BB7" w:rsidRPr="008145F9" w:rsidTr="00296936">
        <w:tc>
          <w:tcPr>
            <w:tcW w:w="801" w:type="dxa"/>
            <w:tcBorders>
              <w:bottom w:val="single" w:sz="4" w:space="0" w:color="auto"/>
            </w:tcBorders>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15</w:t>
            </w:r>
          </w:p>
        </w:tc>
        <w:tc>
          <w:tcPr>
            <w:tcW w:w="6424" w:type="dxa"/>
            <w:tcBorders>
              <w:bottom w:val="single" w:sz="4" w:space="0" w:color="auto"/>
            </w:tcBorders>
          </w:tcPr>
          <w:p w:rsidR="00E56BB7" w:rsidRPr="0023459B"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23459B">
              <w:rPr>
                <w:rFonts w:ascii="Times New Roman" w:hAnsi="Times New Roman"/>
                <w:sz w:val="24"/>
                <w:szCs w:val="24"/>
              </w:rPr>
              <w:t xml:space="preserve">В рамках регулярного стресс-тестирования Банк России предлагает оценить макроэкономические сценарии, представляемые как набор показателей экономики и рынков. В то же время для оценки процентного риска и риска ликвидности активно используются предпосылки и модели поведения клиентов. Планирует ли Банк России включать в состав параметров </w:t>
            </w:r>
            <w:proofErr w:type="spellStart"/>
            <w:r w:rsidRPr="0023459B">
              <w:rPr>
                <w:rFonts w:ascii="Times New Roman" w:hAnsi="Times New Roman"/>
                <w:sz w:val="24"/>
                <w:szCs w:val="24"/>
              </w:rPr>
              <w:t>макропруденциального</w:t>
            </w:r>
            <w:proofErr w:type="spellEnd"/>
            <w:r w:rsidRPr="0023459B">
              <w:rPr>
                <w:rFonts w:ascii="Times New Roman" w:hAnsi="Times New Roman"/>
                <w:sz w:val="24"/>
                <w:szCs w:val="24"/>
              </w:rPr>
              <w:t xml:space="preserve"> стресс-тестирования параметры поведения клиентов банков, в частности, эластичности спроса и предложения денег по цене, склонность к сбережению и другие подобные показатели?</w:t>
            </w:r>
          </w:p>
        </w:tc>
        <w:tc>
          <w:tcPr>
            <w:tcW w:w="7938" w:type="dxa"/>
            <w:tcBorders>
              <w:bottom w:val="single" w:sz="4" w:space="0" w:color="auto"/>
            </w:tcBorders>
          </w:tcPr>
          <w:p w:rsidR="00E56BB7" w:rsidRPr="0023459B" w:rsidRDefault="00E56BB7" w:rsidP="00296936">
            <w:pPr>
              <w:tabs>
                <w:tab w:val="left" w:pos="567"/>
                <w:tab w:val="left" w:pos="1134"/>
              </w:tabs>
              <w:spacing w:after="0" w:line="240" w:lineRule="auto"/>
              <w:ind w:firstLine="317"/>
              <w:jc w:val="both"/>
              <w:rPr>
                <w:rFonts w:ascii="Times New Roman" w:hAnsi="Times New Roman" w:cs="Times New Roman"/>
                <w:sz w:val="24"/>
                <w:szCs w:val="24"/>
              </w:rPr>
            </w:pPr>
            <w:proofErr w:type="spellStart"/>
            <w:r w:rsidRPr="0023459B">
              <w:rPr>
                <w:rFonts w:ascii="Times New Roman" w:eastAsia="MS Mincho" w:hAnsi="Times New Roman" w:cs="Times New Roman"/>
                <w:sz w:val="24"/>
                <w:szCs w:val="24"/>
              </w:rPr>
              <w:t>Макропруденциальное</w:t>
            </w:r>
            <w:proofErr w:type="spellEnd"/>
            <w:r w:rsidRPr="0023459B">
              <w:rPr>
                <w:rFonts w:ascii="Times New Roman" w:eastAsia="MS Mincho" w:hAnsi="Times New Roman" w:cs="Times New Roman"/>
                <w:sz w:val="24"/>
                <w:szCs w:val="24"/>
              </w:rPr>
              <w:t xml:space="preserve"> стресс-тестирование направлено на оценку устойчивости банковского или финансового сектора в целом, разработку </w:t>
            </w:r>
            <w:proofErr w:type="spellStart"/>
            <w:r w:rsidRPr="0023459B">
              <w:rPr>
                <w:rFonts w:ascii="Times New Roman" w:eastAsia="MS Mincho" w:hAnsi="Times New Roman" w:cs="Times New Roman"/>
                <w:sz w:val="24"/>
                <w:szCs w:val="24"/>
              </w:rPr>
              <w:t>макропруденциальных</w:t>
            </w:r>
            <w:proofErr w:type="spellEnd"/>
            <w:r w:rsidRPr="0023459B">
              <w:rPr>
                <w:rFonts w:ascii="Times New Roman" w:eastAsia="MS Mincho" w:hAnsi="Times New Roman" w:cs="Times New Roman"/>
                <w:sz w:val="24"/>
                <w:szCs w:val="24"/>
              </w:rPr>
              <w:t xml:space="preserve"> мер, планирование антикризисных мер поддержки. Сценарии </w:t>
            </w:r>
            <w:proofErr w:type="spellStart"/>
            <w:r w:rsidRPr="0023459B">
              <w:rPr>
                <w:rFonts w:ascii="Times New Roman" w:eastAsia="MS Mincho" w:hAnsi="Times New Roman" w:cs="Times New Roman"/>
                <w:sz w:val="24"/>
                <w:szCs w:val="24"/>
              </w:rPr>
              <w:t>макропруденциального</w:t>
            </w:r>
            <w:proofErr w:type="spellEnd"/>
            <w:r w:rsidRPr="0023459B">
              <w:rPr>
                <w:rFonts w:ascii="Times New Roman" w:eastAsia="MS Mincho" w:hAnsi="Times New Roman" w:cs="Times New Roman"/>
                <w:sz w:val="24"/>
                <w:szCs w:val="24"/>
              </w:rPr>
              <w:t xml:space="preserve"> стресс-тестирования базируются на макроэкономических прогнозах, которые в свою очередь разрабатываются исходя из макромоделей экономических показателей, анализе статистики временных рядов формализованных экономических показателей, таких как, например, процентные ставки, уровень инфляции, колебаний курсов иностранных валют. Изменение таких показателей отражается на всех участниках финансового рынка независимо от специфики их деятельности и может привести к реализации системного риска. Понятие склонности к сбережению, эластичности спроса менее формализованы и обладают меньшим прогнозным потенциалом. Безусловно они важны в рамках </w:t>
            </w:r>
            <w:proofErr w:type="spellStart"/>
            <w:r w:rsidRPr="0023459B">
              <w:rPr>
                <w:rFonts w:ascii="Times New Roman" w:eastAsia="MS Mincho" w:hAnsi="Times New Roman" w:cs="Times New Roman"/>
                <w:sz w:val="24"/>
                <w:szCs w:val="24"/>
              </w:rPr>
              <w:t>внутрибанковского</w:t>
            </w:r>
            <w:proofErr w:type="spellEnd"/>
            <w:r w:rsidRPr="0023459B">
              <w:rPr>
                <w:rFonts w:ascii="Times New Roman" w:eastAsia="MS Mincho" w:hAnsi="Times New Roman" w:cs="Times New Roman"/>
                <w:sz w:val="24"/>
                <w:szCs w:val="24"/>
              </w:rPr>
              <w:t xml:space="preserve"> стресс-тестирования, поскольку в зависимости от специфики профиля клиентов их воздействие для отдельных финансовых организаций будет различным. Однако использование их в </w:t>
            </w:r>
            <w:proofErr w:type="spellStart"/>
            <w:r w:rsidRPr="0023459B">
              <w:rPr>
                <w:rFonts w:ascii="Times New Roman" w:eastAsia="MS Mincho" w:hAnsi="Times New Roman" w:cs="Times New Roman"/>
                <w:sz w:val="24"/>
                <w:szCs w:val="24"/>
              </w:rPr>
              <w:t>макропруденциальном</w:t>
            </w:r>
            <w:proofErr w:type="spellEnd"/>
            <w:r w:rsidRPr="0023459B">
              <w:rPr>
                <w:rFonts w:ascii="Times New Roman" w:eastAsia="MS Mincho" w:hAnsi="Times New Roman" w:cs="Times New Roman"/>
                <w:sz w:val="24"/>
                <w:szCs w:val="24"/>
              </w:rPr>
              <w:t xml:space="preserve"> стресс-тестировании кроме отсутствия необходимых прогнозных рядов и доказанного системного риска, сопряжено с неопределенностью возможности учета вторичных системных эффектов, требует дальнейшего изучения и является скорее задачей возможного последующего совершенствования </w:t>
            </w:r>
            <w:proofErr w:type="spellStart"/>
            <w:r w:rsidRPr="0023459B">
              <w:rPr>
                <w:rFonts w:ascii="Times New Roman" w:eastAsia="MS Mincho" w:hAnsi="Times New Roman" w:cs="Times New Roman"/>
                <w:sz w:val="24"/>
                <w:szCs w:val="24"/>
              </w:rPr>
              <w:t>макропруденциального</w:t>
            </w:r>
            <w:proofErr w:type="spellEnd"/>
            <w:r w:rsidRPr="0023459B">
              <w:rPr>
                <w:rFonts w:ascii="Times New Roman" w:eastAsia="MS Mincho" w:hAnsi="Times New Roman" w:cs="Times New Roman"/>
                <w:sz w:val="24"/>
                <w:szCs w:val="24"/>
              </w:rPr>
              <w:t xml:space="preserve"> стресс-тестирования и </w:t>
            </w:r>
            <w:proofErr w:type="gramStart"/>
            <w:r w:rsidRPr="0023459B">
              <w:rPr>
                <w:rFonts w:ascii="Times New Roman" w:eastAsia="MS Mincho" w:hAnsi="Times New Roman" w:cs="Times New Roman"/>
                <w:sz w:val="24"/>
                <w:szCs w:val="24"/>
              </w:rPr>
              <w:t>у нас</w:t>
            </w:r>
            <w:proofErr w:type="gramEnd"/>
            <w:r w:rsidRPr="0023459B">
              <w:rPr>
                <w:rFonts w:ascii="Times New Roman" w:eastAsia="MS Mincho" w:hAnsi="Times New Roman" w:cs="Times New Roman"/>
                <w:sz w:val="24"/>
                <w:szCs w:val="24"/>
              </w:rPr>
              <w:t xml:space="preserve"> и в других странах. Таким образом учет параметров поведения клиентов в рамках </w:t>
            </w:r>
            <w:proofErr w:type="spellStart"/>
            <w:r w:rsidRPr="0023459B">
              <w:rPr>
                <w:rFonts w:ascii="Times New Roman" w:eastAsia="MS Mincho" w:hAnsi="Times New Roman" w:cs="Times New Roman"/>
                <w:sz w:val="24"/>
                <w:szCs w:val="24"/>
              </w:rPr>
              <w:t>макропруденциального</w:t>
            </w:r>
            <w:proofErr w:type="spellEnd"/>
            <w:r w:rsidRPr="0023459B">
              <w:rPr>
                <w:rFonts w:ascii="Times New Roman" w:eastAsia="MS Mincho" w:hAnsi="Times New Roman" w:cs="Times New Roman"/>
                <w:sz w:val="24"/>
                <w:szCs w:val="24"/>
              </w:rPr>
              <w:t xml:space="preserve"> стресс-тестирования в ближайшее время не планируется.</w:t>
            </w:r>
          </w:p>
        </w:tc>
      </w:tr>
      <w:tr w:rsidR="00E56BB7" w:rsidRPr="008145F9" w:rsidTr="00296936">
        <w:tc>
          <w:tcPr>
            <w:tcW w:w="801" w:type="dxa"/>
            <w:tcBorders>
              <w:bottom w:val="nil"/>
            </w:tcBorders>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16</w:t>
            </w:r>
          </w:p>
        </w:tc>
        <w:tc>
          <w:tcPr>
            <w:tcW w:w="6424" w:type="dxa"/>
            <w:tcBorders>
              <w:bottom w:val="nil"/>
            </w:tcBorders>
          </w:tcPr>
          <w:p w:rsidR="00E56BB7" w:rsidRPr="008145F9" w:rsidRDefault="00E56BB7" w:rsidP="000C590F">
            <w:pPr>
              <w:tabs>
                <w:tab w:val="left" w:pos="567"/>
              </w:tabs>
              <w:spacing w:after="0" w:line="240" w:lineRule="auto"/>
              <w:ind w:firstLine="362"/>
              <w:jc w:val="both"/>
              <w:rPr>
                <w:rFonts w:ascii="Times New Roman" w:eastAsia="Calibri" w:hAnsi="Times New Roman" w:cs="Times New Roman"/>
                <w:sz w:val="24"/>
                <w:szCs w:val="24"/>
                <w:lang w:bidi="ru-RU"/>
              </w:rPr>
            </w:pPr>
            <w:r w:rsidRPr="008145F9">
              <w:rPr>
                <w:rFonts w:ascii="Times New Roman" w:hAnsi="Times New Roman"/>
                <w:sz w:val="24"/>
                <w:szCs w:val="24"/>
              </w:rPr>
              <w:t>Когда планируется внедрение требования об обязательном переходе на ПВР</w:t>
            </w:r>
            <w:r w:rsidR="000C590F">
              <w:rPr>
                <w:rStyle w:val="a6"/>
                <w:rFonts w:ascii="Times New Roman" w:hAnsi="Times New Roman"/>
                <w:sz w:val="24"/>
                <w:szCs w:val="24"/>
              </w:rPr>
              <w:footnoteReference w:id="8"/>
            </w:r>
            <w:r w:rsidRPr="008145F9">
              <w:rPr>
                <w:rFonts w:ascii="Times New Roman" w:hAnsi="Times New Roman"/>
                <w:sz w:val="24"/>
                <w:szCs w:val="24"/>
              </w:rPr>
              <w:t xml:space="preserve"> СЗКО</w:t>
            </w:r>
            <w:r w:rsidR="000C590F">
              <w:rPr>
                <w:rStyle w:val="a6"/>
                <w:rFonts w:ascii="Times New Roman" w:hAnsi="Times New Roman"/>
                <w:sz w:val="24"/>
                <w:szCs w:val="24"/>
              </w:rPr>
              <w:footnoteReference w:id="9"/>
            </w:r>
            <w:r w:rsidRPr="008145F9">
              <w:rPr>
                <w:rFonts w:ascii="Times New Roman" w:hAnsi="Times New Roman"/>
                <w:sz w:val="24"/>
                <w:szCs w:val="24"/>
              </w:rPr>
              <w:t>? При этом ранее в Докладе Банка России по изменениям в регулировании СЗКО указывался срок для перехода на ПВР 5 лет. С какого момента и как будет исчисляться анонсированный срок: до подачи первичного ходатайства, до перевода 50% активов или до полного перевода активов? Как планируется формировать план перевода СЗКО с учетом ограниченности ресурсов Банка России и возможных заявок на ПВР от банков – не СЗКО?</w:t>
            </w:r>
          </w:p>
        </w:tc>
        <w:tc>
          <w:tcPr>
            <w:tcW w:w="7938" w:type="dxa"/>
            <w:tcBorders>
              <w:bottom w:val="nil"/>
            </w:tcBorders>
          </w:tcPr>
          <w:p w:rsidR="00E56BB7" w:rsidRPr="00023D13" w:rsidRDefault="00E56BB7" w:rsidP="00296936">
            <w:pPr>
              <w:pStyle w:val="aa"/>
              <w:ind w:firstLine="317"/>
              <w:jc w:val="both"/>
              <w:rPr>
                <w:rFonts w:ascii="Times New Roman" w:hAnsi="Times New Roman"/>
                <w:sz w:val="24"/>
                <w:szCs w:val="24"/>
              </w:rPr>
            </w:pPr>
            <w:r w:rsidRPr="00023D13">
              <w:rPr>
                <w:rFonts w:ascii="Times New Roman" w:hAnsi="Times New Roman"/>
                <w:sz w:val="24"/>
                <w:szCs w:val="24"/>
              </w:rPr>
              <w:t>Введение требования о переходе СЗКО на обязательное применение ПВР возможно не ранее 2022 года с учетом необходимости внесения изменений в законодательство РФ и нормативные акты Банка России.</w:t>
            </w:r>
          </w:p>
          <w:p w:rsidR="00E56BB7" w:rsidRPr="00023D13" w:rsidRDefault="00E56BB7" w:rsidP="00296936">
            <w:pPr>
              <w:pStyle w:val="aa"/>
              <w:ind w:firstLine="317"/>
              <w:jc w:val="both"/>
              <w:rPr>
                <w:rFonts w:ascii="Times New Roman" w:hAnsi="Times New Roman"/>
                <w:sz w:val="24"/>
                <w:szCs w:val="24"/>
              </w:rPr>
            </w:pPr>
            <w:r w:rsidRPr="00023D13">
              <w:rPr>
                <w:rFonts w:ascii="Times New Roman" w:hAnsi="Times New Roman"/>
                <w:sz w:val="24"/>
                <w:szCs w:val="24"/>
              </w:rPr>
              <w:t>Планируется установить период, необходимый для приведения СЗКО своих методик и моделей в соответствие с требованиями нормативных актов Банка России, равный 5</w:t>
            </w:r>
            <w:r>
              <w:rPr>
                <w:rFonts w:ascii="Times New Roman" w:hAnsi="Times New Roman"/>
                <w:sz w:val="24"/>
                <w:szCs w:val="24"/>
              </w:rPr>
              <w:t> </w:t>
            </w:r>
            <w:r w:rsidRPr="00023D13">
              <w:rPr>
                <w:rFonts w:ascii="Times New Roman" w:hAnsi="Times New Roman"/>
                <w:sz w:val="24"/>
                <w:szCs w:val="24"/>
              </w:rPr>
              <w:t xml:space="preserve">годам с даты принятия решения об обязательности перехода. Для каждой СЗКО будет сформирован индивидуальный план по переходу на ПВР, </w:t>
            </w:r>
            <w:proofErr w:type="gramStart"/>
            <w:r w:rsidRPr="00023D13">
              <w:rPr>
                <w:rFonts w:ascii="Times New Roman" w:hAnsi="Times New Roman"/>
                <w:sz w:val="24"/>
                <w:szCs w:val="24"/>
              </w:rPr>
              <w:t>учитывающий</w:t>
            </w:r>
            <w:proofErr w:type="gramEnd"/>
            <w:r w:rsidRPr="00023D13">
              <w:rPr>
                <w:rFonts w:ascii="Times New Roman" w:hAnsi="Times New Roman"/>
                <w:sz w:val="24"/>
                <w:szCs w:val="24"/>
              </w:rPr>
              <w:t xml:space="preserve"> как возможности банка по подготовке и внедрению методик и моделей, так и Банка России по проведению их оценки.</w:t>
            </w:r>
          </w:p>
          <w:p w:rsidR="00E56BB7" w:rsidRPr="008145F9" w:rsidRDefault="00E56BB7" w:rsidP="00296936">
            <w:pPr>
              <w:pStyle w:val="aa"/>
              <w:ind w:firstLine="317"/>
              <w:jc w:val="both"/>
              <w:rPr>
                <w:rFonts w:ascii="Times New Roman" w:hAnsi="Times New Roman"/>
                <w:sz w:val="24"/>
                <w:szCs w:val="24"/>
              </w:rPr>
            </w:pPr>
            <w:r w:rsidRPr="00023D13">
              <w:rPr>
                <w:rFonts w:ascii="Times New Roman" w:hAnsi="Times New Roman"/>
                <w:sz w:val="24"/>
                <w:szCs w:val="24"/>
              </w:rPr>
              <w:t>Отмечаем, что в ближайшее время на сайте Банка России будет опубликован доклад для общественных консультаций, посвященный вопросу перехода СЗКО на обязательное применение ПВР. Будем ожидать обратной связи от банковского сообщества.</w:t>
            </w:r>
          </w:p>
        </w:tc>
      </w:tr>
      <w:tr w:rsidR="00E56BB7" w:rsidRPr="008145F9" w:rsidTr="00296936">
        <w:tc>
          <w:tcPr>
            <w:tcW w:w="801" w:type="dxa"/>
            <w:tcBorders>
              <w:top w:val="nil"/>
              <w:bottom w:val="nil"/>
            </w:tcBorders>
          </w:tcPr>
          <w:p w:rsidR="00E56BB7" w:rsidRPr="008145F9" w:rsidRDefault="00E56BB7" w:rsidP="00296936">
            <w:pPr>
              <w:spacing w:after="0" w:line="240" w:lineRule="auto"/>
              <w:jc w:val="center"/>
              <w:rPr>
                <w:rFonts w:ascii="Times New Roman" w:hAnsi="Times New Roman" w:cs="Times New Roman"/>
                <w:sz w:val="24"/>
                <w:szCs w:val="24"/>
              </w:rPr>
            </w:pPr>
          </w:p>
        </w:tc>
        <w:tc>
          <w:tcPr>
            <w:tcW w:w="6424" w:type="dxa"/>
            <w:tcBorders>
              <w:top w:val="nil"/>
              <w:bottom w:val="nil"/>
            </w:tcBorders>
          </w:tcPr>
          <w:p w:rsidR="00E56BB7" w:rsidRDefault="00E56BB7" w:rsidP="00296936">
            <w:pPr>
              <w:tabs>
                <w:tab w:val="left" w:pos="567"/>
              </w:tabs>
              <w:spacing w:after="0" w:line="240" w:lineRule="auto"/>
              <w:ind w:firstLine="362"/>
              <w:jc w:val="both"/>
              <w:rPr>
                <w:rFonts w:ascii="Times New Roman" w:eastAsia="MS Mincho" w:hAnsi="Times New Roman"/>
                <w:sz w:val="24"/>
                <w:szCs w:val="24"/>
              </w:rPr>
            </w:pPr>
            <w:r w:rsidRPr="008145F9">
              <w:rPr>
                <w:rFonts w:ascii="Times New Roman" w:eastAsia="MS Mincho" w:hAnsi="Times New Roman"/>
                <w:sz w:val="24"/>
                <w:szCs w:val="24"/>
              </w:rPr>
              <w:t>Достаточно ли будет периода 2014-2020 гг. для разработки ПВР моделей, учитывая, что захватывается 2 кризисных гола за этот период?</w:t>
            </w:r>
          </w:p>
          <w:p w:rsidR="00E56BB7" w:rsidRPr="008145F9" w:rsidRDefault="00E56BB7" w:rsidP="00296936">
            <w:pPr>
              <w:tabs>
                <w:tab w:val="left" w:pos="567"/>
              </w:tabs>
              <w:spacing w:after="0" w:line="240" w:lineRule="auto"/>
              <w:ind w:firstLine="362"/>
              <w:jc w:val="both"/>
              <w:rPr>
                <w:rFonts w:ascii="Times New Roman" w:hAnsi="Times New Roman"/>
                <w:sz w:val="24"/>
                <w:szCs w:val="24"/>
              </w:rPr>
            </w:pPr>
          </w:p>
        </w:tc>
        <w:tc>
          <w:tcPr>
            <w:tcW w:w="7938" w:type="dxa"/>
            <w:tcBorders>
              <w:top w:val="nil"/>
              <w:bottom w:val="nil"/>
            </w:tcBorders>
          </w:tcPr>
          <w:p w:rsidR="00E56BB7" w:rsidRPr="00023D13" w:rsidRDefault="00E56BB7" w:rsidP="00296936">
            <w:pPr>
              <w:pStyle w:val="aa"/>
              <w:ind w:firstLine="317"/>
              <w:jc w:val="both"/>
              <w:rPr>
                <w:rFonts w:ascii="Times New Roman" w:hAnsi="Times New Roman"/>
                <w:sz w:val="24"/>
                <w:szCs w:val="24"/>
              </w:rPr>
            </w:pPr>
            <w:r w:rsidRPr="00023D13">
              <w:rPr>
                <w:rFonts w:ascii="Times New Roman" w:hAnsi="Times New Roman"/>
                <w:sz w:val="24"/>
                <w:szCs w:val="24"/>
              </w:rPr>
              <w:t>Однозначный ответ на данный вопрос может быть сформулирован только с учетом индивидуальных особенностей данных для моделирования, имеющихся в распоряжении банка. Не имея детальной информации, полагаем возможным исходить из требований Положения</w:t>
            </w:r>
            <w:r>
              <w:rPr>
                <w:rFonts w:ascii="Times New Roman" w:hAnsi="Times New Roman"/>
                <w:sz w:val="24"/>
                <w:szCs w:val="24"/>
              </w:rPr>
              <w:t> </w:t>
            </w:r>
            <w:r w:rsidRPr="00023D13">
              <w:rPr>
                <w:rFonts w:ascii="Times New Roman" w:hAnsi="Times New Roman"/>
                <w:sz w:val="24"/>
                <w:szCs w:val="24"/>
              </w:rPr>
              <w:t>№ 483-П: если банк располагает данными за более длительный период и эти данные являются существенными – они должны быть использованы в моделировании. При этом в Положении</w:t>
            </w:r>
            <w:r>
              <w:rPr>
                <w:rFonts w:ascii="Times New Roman" w:hAnsi="Times New Roman"/>
                <w:sz w:val="24"/>
                <w:szCs w:val="24"/>
              </w:rPr>
              <w:t> </w:t>
            </w:r>
            <w:r w:rsidRPr="00023D13">
              <w:rPr>
                <w:rFonts w:ascii="Times New Roman" w:hAnsi="Times New Roman"/>
                <w:sz w:val="24"/>
                <w:szCs w:val="24"/>
              </w:rPr>
              <w:t>№</w:t>
            </w:r>
            <w:r>
              <w:rPr>
                <w:rFonts w:ascii="Times New Roman" w:hAnsi="Times New Roman"/>
                <w:sz w:val="24"/>
                <w:szCs w:val="24"/>
              </w:rPr>
              <w:t> </w:t>
            </w:r>
            <w:r w:rsidRPr="00023D13">
              <w:rPr>
                <w:rFonts w:ascii="Times New Roman" w:hAnsi="Times New Roman"/>
                <w:sz w:val="24"/>
                <w:szCs w:val="24"/>
              </w:rPr>
              <w:t>483-П планируется уточнить, что при расчете значения долгосрочной средней годовой частоты наблюдаемых уровней дефолта (значения центральной тенденции) банк использует все имеющиеся данные.</w:t>
            </w:r>
          </w:p>
          <w:p w:rsidR="00E56BB7" w:rsidRPr="00023D13" w:rsidRDefault="00E56BB7" w:rsidP="00296936">
            <w:pPr>
              <w:pStyle w:val="aa"/>
              <w:ind w:firstLine="317"/>
              <w:jc w:val="both"/>
              <w:rPr>
                <w:rFonts w:ascii="Times New Roman" w:hAnsi="Times New Roman"/>
                <w:i/>
                <w:sz w:val="24"/>
                <w:szCs w:val="24"/>
              </w:rPr>
            </w:pPr>
            <w:r w:rsidRPr="00023D13">
              <w:rPr>
                <w:rFonts w:ascii="Times New Roman" w:hAnsi="Times New Roman"/>
                <w:i/>
                <w:sz w:val="24"/>
                <w:szCs w:val="24"/>
              </w:rPr>
              <w:t>Справочно. Требование об использовании в моделировании всех существенных данных за длительный период приведено в соответствии с абзацем 11 пункта 13.8 и абзацем 4 пункта 13.11 Положения № 483-П.</w:t>
            </w:r>
          </w:p>
          <w:p w:rsidR="00E56BB7" w:rsidRPr="00023D13" w:rsidRDefault="00E56BB7" w:rsidP="0045286A">
            <w:pPr>
              <w:pStyle w:val="aa"/>
              <w:ind w:firstLine="317"/>
              <w:jc w:val="both"/>
              <w:rPr>
                <w:rFonts w:ascii="Times New Roman" w:hAnsi="Times New Roman"/>
                <w:sz w:val="24"/>
                <w:szCs w:val="24"/>
              </w:rPr>
            </w:pPr>
            <w:r w:rsidRPr="00023D13">
              <w:rPr>
                <w:rFonts w:ascii="Times New Roman" w:hAnsi="Times New Roman"/>
                <w:i/>
                <w:sz w:val="24"/>
                <w:szCs w:val="24"/>
              </w:rPr>
              <w:lastRenderedPageBreak/>
              <w:t>Требование об использовании всех имеющихся данных для расчета значения долгосрочной средней годовой частоты наблюдаемых уровней дефолта приведено в соответствии с планируемым к внесению в Положение № 483-П пунктом 13.1</w:t>
            </w:r>
            <w:r w:rsidRPr="00023D13">
              <w:rPr>
                <w:rFonts w:ascii="Times New Roman" w:hAnsi="Times New Roman"/>
                <w:i/>
                <w:sz w:val="24"/>
                <w:szCs w:val="24"/>
                <w:vertAlign w:val="superscript"/>
              </w:rPr>
              <w:t>1</w:t>
            </w:r>
            <w:r w:rsidR="00466246">
              <w:rPr>
                <w:rFonts w:ascii="Times New Roman" w:hAnsi="Times New Roman"/>
                <w:i/>
                <w:sz w:val="24"/>
                <w:szCs w:val="24"/>
              </w:rPr>
              <w:t>.</w:t>
            </w:r>
          </w:p>
        </w:tc>
      </w:tr>
      <w:tr w:rsidR="00E56BB7" w:rsidRPr="008145F9" w:rsidTr="00296936">
        <w:tc>
          <w:tcPr>
            <w:tcW w:w="801" w:type="dxa"/>
            <w:tcBorders>
              <w:top w:val="nil"/>
            </w:tcBorders>
          </w:tcPr>
          <w:p w:rsidR="00E56BB7" w:rsidRPr="008145F9" w:rsidRDefault="00E56BB7" w:rsidP="00296936">
            <w:pPr>
              <w:spacing w:after="0" w:line="240" w:lineRule="auto"/>
              <w:jc w:val="center"/>
              <w:rPr>
                <w:rFonts w:ascii="Times New Roman" w:hAnsi="Times New Roman" w:cs="Times New Roman"/>
                <w:sz w:val="24"/>
                <w:szCs w:val="24"/>
              </w:rPr>
            </w:pPr>
          </w:p>
        </w:tc>
        <w:tc>
          <w:tcPr>
            <w:tcW w:w="6424" w:type="dxa"/>
            <w:tcBorders>
              <w:top w:val="nil"/>
            </w:tcBorders>
          </w:tcPr>
          <w:p w:rsidR="00E56BB7" w:rsidRPr="008145F9" w:rsidRDefault="00E56BB7" w:rsidP="00296936">
            <w:pPr>
              <w:tabs>
                <w:tab w:val="left" w:pos="567"/>
              </w:tabs>
              <w:spacing w:after="0" w:line="240" w:lineRule="auto"/>
              <w:ind w:firstLine="362"/>
              <w:jc w:val="both"/>
              <w:rPr>
                <w:rFonts w:ascii="Times New Roman" w:eastAsia="MS Mincho" w:hAnsi="Times New Roman"/>
                <w:sz w:val="24"/>
                <w:szCs w:val="24"/>
              </w:rPr>
            </w:pPr>
            <w:r w:rsidRPr="008145F9">
              <w:rPr>
                <w:rFonts w:ascii="Times New Roman" w:eastAsia="MS Mincho" w:hAnsi="Times New Roman"/>
                <w:sz w:val="24"/>
                <w:szCs w:val="24"/>
              </w:rPr>
              <w:t>Возможно ли построение выборок для разработки и тестирования ПВР моделей на более широком сегменте, чем собственный портфель банка, с учетом того, что контролируется репрезентативность по отраслям, выручке? Калибровка полученного скора производится уже на статистику дефолтов собственного портфеля банка.</w:t>
            </w:r>
          </w:p>
        </w:tc>
        <w:tc>
          <w:tcPr>
            <w:tcW w:w="7938" w:type="dxa"/>
            <w:tcBorders>
              <w:top w:val="nil"/>
            </w:tcBorders>
          </w:tcPr>
          <w:p w:rsidR="00E56BB7" w:rsidRPr="00023D13" w:rsidRDefault="00E56BB7" w:rsidP="0045286A">
            <w:pPr>
              <w:tabs>
                <w:tab w:val="left" w:pos="567"/>
              </w:tabs>
              <w:spacing w:after="0" w:line="240" w:lineRule="auto"/>
              <w:ind w:firstLine="317"/>
              <w:jc w:val="both"/>
              <w:rPr>
                <w:rFonts w:ascii="Times New Roman" w:hAnsi="Times New Roman"/>
                <w:sz w:val="24"/>
                <w:szCs w:val="24"/>
              </w:rPr>
            </w:pPr>
            <w:r w:rsidRPr="00023D13">
              <w:rPr>
                <w:rFonts w:ascii="Times New Roman" w:eastAsia="MS Mincho" w:hAnsi="Times New Roman"/>
                <w:sz w:val="24"/>
                <w:szCs w:val="24"/>
              </w:rPr>
              <w:t xml:space="preserve">В случае недостаточности собственной статистики банк может использовать для моделирования в том числе данные из внешних источников. При этом используемые для определения </w:t>
            </w:r>
            <w:proofErr w:type="spellStart"/>
            <w:r w:rsidRPr="00023D13">
              <w:rPr>
                <w:rFonts w:ascii="Times New Roman" w:eastAsia="MS Mincho" w:hAnsi="Times New Roman"/>
                <w:sz w:val="24"/>
                <w:szCs w:val="24"/>
              </w:rPr>
              <w:t>скоринговой</w:t>
            </w:r>
            <w:proofErr w:type="spellEnd"/>
            <w:r w:rsidRPr="00023D13">
              <w:rPr>
                <w:rFonts w:ascii="Times New Roman" w:eastAsia="MS Mincho" w:hAnsi="Times New Roman"/>
                <w:sz w:val="24"/>
                <w:szCs w:val="24"/>
              </w:rPr>
              <w:t xml:space="preserve"> функции данные (включая и данные из внешних источников) должны быть репрезентативны целевому сегменту модели. </w:t>
            </w:r>
            <w:r w:rsidRPr="00023D13">
              <w:rPr>
                <w:rFonts w:ascii="Times New Roman" w:eastAsia="MS Mincho" w:hAnsi="Times New Roman"/>
                <w:i/>
                <w:sz w:val="24"/>
                <w:szCs w:val="24"/>
              </w:rPr>
              <w:t>Справочно. В соответствии с требованиями пунктов 13.1, 13.7 Положения № 483-П.</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17</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 xml:space="preserve">Дальнейшие перспективы, в т.ч. по срокам, сближения подходов к формируемым кредитными организациями резервам на возможные потери в соответствии с требованиями Положения 590-П и оценочным резервам под ожидаемые кредитные убытки в соответствии с Международным </w:t>
            </w:r>
            <w:hyperlink r:id="rId8" w:history="1">
              <w:r w:rsidRPr="008145F9">
                <w:rPr>
                  <w:rFonts w:ascii="Times New Roman" w:hAnsi="Times New Roman"/>
                  <w:sz w:val="24"/>
                  <w:szCs w:val="24"/>
                </w:rPr>
                <w:t>стандартом</w:t>
              </w:r>
            </w:hyperlink>
            <w:r w:rsidRPr="008145F9">
              <w:rPr>
                <w:rFonts w:ascii="Times New Roman" w:hAnsi="Times New Roman"/>
                <w:sz w:val="24"/>
                <w:szCs w:val="24"/>
              </w:rPr>
              <w:t xml:space="preserve"> финансовой отчетности (IFRS) 9 </w:t>
            </w:r>
            <w:r>
              <w:rPr>
                <w:rFonts w:ascii="Times New Roman" w:hAnsi="Times New Roman"/>
                <w:sz w:val="24"/>
                <w:szCs w:val="24"/>
              </w:rPr>
              <w:t>«</w:t>
            </w:r>
            <w:r w:rsidRPr="008145F9">
              <w:rPr>
                <w:rFonts w:ascii="Times New Roman" w:hAnsi="Times New Roman"/>
                <w:sz w:val="24"/>
                <w:szCs w:val="24"/>
              </w:rPr>
              <w:t>Финансовые инструменты</w:t>
            </w:r>
            <w:r>
              <w:rPr>
                <w:rFonts w:ascii="Times New Roman" w:hAnsi="Times New Roman"/>
                <w:sz w:val="24"/>
                <w:szCs w:val="24"/>
              </w:rPr>
              <w:t>»</w:t>
            </w:r>
            <w:r w:rsidRPr="008145F9">
              <w:rPr>
                <w:rFonts w:ascii="Times New Roman" w:hAnsi="Times New Roman"/>
                <w:sz w:val="24"/>
                <w:szCs w:val="24"/>
              </w:rPr>
              <w:t>. Планируется ли (и в каком направлении) дальнейшее движение в сторону признания МСФО-резервов как основных резервов для банков, в т.ч. не перешедших на ПВР? Рассматривается ли отказ от корректировок регуляторной прибыли на корректировки МСФО 9?</w:t>
            </w:r>
          </w:p>
        </w:tc>
        <w:tc>
          <w:tcPr>
            <w:tcW w:w="7938" w:type="dxa"/>
          </w:tcPr>
          <w:p w:rsidR="00E56BB7" w:rsidRPr="00DB4808" w:rsidRDefault="00DB4808" w:rsidP="00296936">
            <w:pPr>
              <w:spacing w:after="0" w:line="240" w:lineRule="auto"/>
              <w:ind w:firstLine="317"/>
              <w:jc w:val="both"/>
              <w:rPr>
                <w:rFonts w:ascii="Times New Roman" w:hAnsi="Times New Roman" w:cs="Times New Roman"/>
                <w:sz w:val="24"/>
                <w:szCs w:val="24"/>
              </w:rPr>
            </w:pPr>
            <w:r w:rsidRPr="00DB4808">
              <w:rPr>
                <w:rFonts w:ascii="Times New Roman" w:hAnsi="Times New Roman" w:cs="Times New Roman"/>
                <w:sz w:val="24"/>
                <w:szCs w:val="24"/>
                <w:lang w:eastAsia="ru-RU"/>
              </w:rPr>
              <w:t>В настоящее время вопрос о влиянии, оказываемом подходами МСФО (</w:t>
            </w:r>
            <w:r w:rsidRPr="00DB4808">
              <w:rPr>
                <w:rFonts w:ascii="Times New Roman" w:hAnsi="Times New Roman" w:cs="Times New Roman"/>
                <w:sz w:val="24"/>
                <w:szCs w:val="24"/>
                <w:lang w:val="en-US" w:eastAsia="ru-RU"/>
              </w:rPr>
              <w:t>IFRS</w:t>
            </w:r>
            <w:r w:rsidRPr="00DB4808">
              <w:rPr>
                <w:rFonts w:ascii="Times New Roman" w:hAnsi="Times New Roman" w:cs="Times New Roman"/>
                <w:sz w:val="24"/>
                <w:szCs w:val="24"/>
                <w:lang w:eastAsia="ru-RU"/>
              </w:rPr>
              <w:t>) 9 и подходами, действовавшими до внедрения в бухгалтерском учете принципов МСФО (</w:t>
            </w:r>
            <w:r w:rsidRPr="00DB4808">
              <w:rPr>
                <w:rFonts w:ascii="Times New Roman" w:hAnsi="Times New Roman" w:cs="Times New Roman"/>
                <w:sz w:val="24"/>
                <w:szCs w:val="24"/>
                <w:lang w:val="en-US" w:eastAsia="ru-RU"/>
              </w:rPr>
              <w:t>IFRS</w:t>
            </w:r>
            <w:r w:rsidRPr="00DB4808">
              <w:rPr>
                <w:rFonts w:ascii="Times New Roman" w:hAnsi="Times New Roman" w:cs="Times New Roman"/>
                <w:sz w:val="24"/>
                <w:szCs w:val="24"/>
                <w:lang w:eastAsia="ru-RU"/>
              </w:rPr>
              <w:t xml:space="preserve">) 9, на </w:t>
            </w:r>
            <w:proofErr w:type="spellStart"/>
            <w:r w:rsidRPr="00DB4808">
              <w:rPr>
                <w:rFonts w:ascii="Times New Roman" w:hAnsi="Times New Roman" w:cs="Times New Roman"/>
                <w:sz w:val="24"/>
                <w:szCs w:val="24"/>
                <w:lang w:eastAsia="ru-RU"/>
              </w:rPr>
              <w:t>пруденциальные</w:t>
            </w:r>
            <w:proofErr w:type="spellEnd"/>
            <w:r w:rsidRPr="00DB4808">
              <w:rPr>
                <w:rFonts w:ascii="Times New Roman" w:hAnsi="Times New Roman" w:cs="Times New Roman"/>
                <w:sz w:val="24"/>
                <w:szCs w:val="24"/>
                <w:lang w:eastAsia="ru-RU"/>
              </w:rPr>
              <w:t xml:space="preserve"> показатели деятельности кредитных организаций изучается, решение об изменении концепции нивелирования влияния внедрения МСФО (</w:t>
            </w:r>
            <w:r w:rsidRPr="00DB4808">
              <w:rPr>
                <w:rFonts w:ascii="Times New Roman" w:hAnsi="Times New Roman" w:cs="Times New Roman"/>
                <w:sz w:val="24"/>
                <w:szCs w:val="24"/>
                <w:lang w:val="en-US" w:eastAsia="ru-RU"/>
              </w:rPr>
              <w:t>IFRS</w:t>
            </w:r>
            <w:r w:rsidRPr="00DB4808">
              <w:rPr>
                <w:rFonts w:ascii="Times New Roman" w:hAnsi="Times New Roman" w:cs="Times New Roman"/>
                <w:sz w:val="24"/>
                <w:szCs w:val="24"/>
                <w:lang w:eastAsia="ru-RU"/>
              </w:rPr>
              <w:t xml:space="preserve">) 9 на </w:t>
            </w:r>
            <w:proofErr w:type="spellStart"/>
            <w:r w:rsidRPr="00DB4808">
              <w:rPr>
                <w:rFonts w:ascii="Times New Roman" w:hAnsi="Times New Roman" w:cs="Times New Roman"/>
                <w:sz w:val="24"/>
                <w:szCs w:val="24"/>
                <w:lang w:eastAsia="ru-RU"/>
              </w:rPr>
              <w:t>пруденциальные</w:t>
            </w:r>
            <w:proofErr w:type="spellEnd"/>
            <w:r w:rsidRPr="00DB4808">
              <w:rPr>
                <w:rFonts w:ascii="Times New Roman" w:hAnsi="Times New Roman" w:cs="Times New Roman"/>
                <w:sz w:val="24"/>
                <w:szCs w:val="24"/>
                <w:lang w:eastAsia="ru-RU"/>
              </w:rPr>
              <w:t xml:space="preserve"> показатели деятельности кредитных организаций не принято.</w:t>
            </w:r>
          </w:p>
        </w:tc>
      </w:tr>
      <w:tr w:rsidR="00E56BB7" w:rsidRPr="008145F9" w:rsidTr="00296936">
        <w:trPr>
          <w:trHeight w:val="427"/>
        </w:trPr>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18</w:t>
            </w:r>
          </w:p>
        </w:tc>
        <w:tc>
          <w:tcPr>
            <w:tcW w:w="6424" w:type="dxa"/>
          </w:tcPr>
          <w:p w:rsidR="00E56BB7" w:rsidRPr="008145F9" w:rsidRDefault="00E56BB7" w:rsidP="00296936">
            <w:pPr>
              <w:tabs>
                <w:tab w:val="left" w:pos="567"/>
              </w:tabs>
              <w:spacing w:after="0" w:line="240" w:lineRule="auto"/>
              <w:ind w:firstLine="362"/>
              <w:jc w:val="both"/>
              <w:rPr>
                <w:rFonts w:ascii="Times New Roman" w:hAnsi="Times New Roman"/>
                <w:sz w:val="24"/>
                <w:szCs w:val="24"/>
              </w:rPr>
            </w:pPr>
            <w:r w:rsidRPr="008145F9">
              <w:rPr>
                <w:rFonts w:ascii="Times New Roman" w:hAnsi="Times New Roman"/>
                <w:sz w:val="24"/>
                <w:szCs w:val="24"/>
              </w:rPr>
              <w:t xml:space="preserve">Предлагаем учесть в законодательстве специфику </w:t>
            </w:r>
            <w:r>
              <w:rPr>
                <w:rFonts w:ascii="Times New Roman" w:hAnsi="Times New Roman"/>
                <w:sz w:val="24"/>
                <w:szCs w:val="24"/>
              </w:rPr>
              <w:t>«</w:t>
            </w:r>
            <w:r w:rsidRPr="008145F9">
              <w:rPr>
                <w:rFonts w:ascii="Times New Roman" w:hAnsi="Times New Roman"/>
                <w:sz w:val="24"/>
                <w:szCs w:val="24"/>
              </w:rPr>
              <w:t>бессрочных кредитов</w:t>
            </w:r>
            <w:r>
              <w:rPr>
                <w:rFonts w:ascii="Times New Roman" w:hAnsi="Times New Roman"/>
                <w:sz w:val="24"/>
                <w:szCs w:val="24"/>
              </w:rPr>
              <w:t>»</w:t>
            </w:r>
            <w:r w:rsidRPr="008145F9">
              <w:rPr>
                <w:rFonts w:ascii="Times New Roman" w:hAnsi="Times New Roman"/>
                <w:sz w:val="24"/>
                <w:szCs w:val="24"/>
              </w:rPr>
              <w:t>, которые можно включать в добавочный капитал. Практика предоставления бессрочных субординированных кредитов широко используется на Европейском рынке и является хорошим инструментом оптимизации структуры капитала банков.</w:t>
            </w:r>
          </w:p>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bCs/>
                <w:sz w:val="24"/>
                <w:szCs w:val="24"/>
              </w:rPr>
              <w:t xml:space="preserve">В соответствии с Положением 646-П в добавочный капитал можно включить бессрочный кредит, но законодательство в настоящее время исходит из принципа </w:t>
            </w:r>
            <w:r w:rsidRPr="008145F9">
              <w:rPr>
                <w:rFonts w:ascii="Times New Roman" w:hAnsi="Times New Roman"/>
                <w:bCs/>
                <w:sz w:val="24"/>
                <w:szCs w:val="24"/>
              </w:rPr>
              <w:lastRenderedPageBreak/>
              <w:t>возвратности займа. При этом, даже если в тексте договора не будет указан срок возврата, он будет считаться выданным до востребования в силу статьи 810 ГК РФ</w:t>
            </w:r>
            <w:r w:rsidR="000C590F">
              <w:rPr>
                <w:rStyle w:val="a6"/>
                <w:rFonts w:ascii="Times New Roman" w:hAnsi="Times New Roman"/>
                <w:bCs/>
                <w:sz w:val="24"/>
                <w:szCs w:val="24"/>
              </w:rPr>
              <w:footnoteReference w:id="10"/>
            </w:r>
            <w:r w:rsidRPr="008145F9">
              <w:rPr>
                <w:rFonts w:ascii="Times New Roman" w:hAnsi="Times New Roman"/>
                <w:bCs/>
                <w:sz w:val="24"/>
                <w:szCs w:val="24"/>
              </w:rPr>
              <w:t xml:space="preserve">, то есть срок возврата будет </w:t>
            </w:r>
            <w:r>
              <w:rPr>
                <w:rFonts w:ascii="Times New Roman" w:hAnsi="Times New Roman"/>
                <w:bCs/>
                <w:sz w:val="24"/>
                <w:szCs w:val="24"/>
              </w:rPr>
              <w:t>«</w:t>
            </w:r>
            <w:r w:rsidRPr="008145F9">
              <w:rPr>
                <w:rFonts w:ascii="Times New Roman" w:hAnsi="Times New Roman"/>
                <w:bCs/>
                <w:sz w:val="24"/>
                <w:szCs w:val="24"/>
              </w:rPr>
              <w:t>установлен</w:t>
            </w:r>
            <w:r>
              <w:rPr>
                <w:rFonts w:ascii="Times New Roman" w:hAnsi="Times New Roman"/>
                <w:bCs/>
                <w:sz w:val="24"/>
                <w:szCs w:val="24"/>
              </w:rPr>
              <w:t>»</w:t>
            </w:r>
            <w:r w:rsidRPr="008145F9">
              <w:rPr>
                <w:rFonts w:ascii="Times New Roman" w:hAnsi="Times New Roman"/>
                <w:bCs/>
                <w:sz w:val="24"/>
                <w:szCs w:val="24"/>
              </w:rPr>
              <w:t xml:space="preserve"> в 30 дней с момента предъявления требования кредитора. Также ввиду отсутствия практики предоставления бессрочных кредитов, на российском рынке отсутствуют сопоставимые сделки для подтверждения </w:t>
            </w:r>
            <w:proofErr w:type="spellStart"/>
            <w:r w:rsidRPr="008145F9">
              <w:rPr>
                <w:rFonts w:ascii="Times New Roman" w:hAnsi="Times New Roman"/>
                <w:bCs/>
                <w:sz w:val="24"/>
                <w:szCs w:val="24"/>
              </w:rPr>
              <w:t>рыночности</w:t>
            </w:r>
            <w:proofErr w:type="spellEnd"/>
            <w:r w:rsidRPr="008145F9">
              <w:rPr>
                <w:rFonts w:ascii="Times New Roman" w:hAnsi="Times New Roman"/>
                <w:bCs/>
                <w:sz w:val="24"/>
                <w:szCs w:val="24"/>
              </w:rPr>
              <w:t xml:space="preserve"> для налоговых целей. Налоговое законодательство в первую очередь также исходит из предположения срочности кредита.</w:t>
            </w:r>
          </w:p>
        </w:tc>
        <w:tc>
          <w:tcPr>
            <w:tcW w:w="7938" w:type="dxa"/>
          </w:tcPr>
          <w:p w:rsidR="00E56BB7" w:rsidRDefault="00E56BB7" w:rsidP="0029693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Специфика «бессрочных кредитов», которые можно включать в добавочный капитал, учтена в законодательстве.</w:t>
            </w:r>
          </w:p>
          <w:p w:rsidR="00E56BB7" w:rsidRDefault="00E56BB7" w:rsidP="0029693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Так, условия, которым должны удовлетворять субординированные инструменты, установлены статьей 25.1 Федерального закона от 02.12.1990 № 395-1 «О банках и банковской деятельности»</w:t>
            </w:r>
            <w:r w:rsidR="000C590F">
              <w:rPr>
                <w:rFonts w:ascii="Times New Roman" w:hAnsi="Times New Roman" w:cs="Times New Roman"/>
                <w:sz w:val="24"/>
                <w:szCs w:val="24"/>
              </w:rPr>
              <w:t xml:space="preserve"> (далее -</w:t>
            </w:r>
            <w:r w:rsidR="000C590F" w:rsidRPr="008145F9">
              <w:rPr>
                <w:rFonts w:ascii="Times New Roman" w:eastAsia="MS Mincho" w:hAnsi="Times New Roman" w:cs="Times New Roman"/>
                <w:sz w:val="24"/>
                <w:szCs w:val="24"/>
                <w:lang w:eastAsia="ru-RU"/>
              </w:rPr>
              <w:t xml:space="preserve"> Федеральный закон №395-1</w:t>
            </w:r>
            <w:r w:rsidR="000C590F">
              <w:rPr>
                <w:rFonts w:ascii="Times New Roman" w:eastAsia="MS Mincho" w:hAnsi="Times New Roman" w:cs="Times New Roman"/>
                <w:sz w:val="24"/>
                <w:szCs w:val="24"/>
                <w:lang w:eastAsia="ru-RU"/>
              </w:rPr>
              <w:t>)</w:t>
            </w:r>
            <w:r>
              <w:rPr>
                <w:rFonts w:ascii="Times New Roman" w:hAnsi="Times New Roman" w:cs="Times New Roman"/>
                <w:sz w:val="24"/>
                <w:szCs w:val="24"/>
              </w:rPr>
              <w:t>.</w:t>
            </w:r>
          </w:p>
          <w:p w:rsidR="00E56BB7" w:rsidRDefault="00E56BB7" w:rsidP="0029693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w:t>
            </w:r>
            <w:r w:rsidRPr="008D55EC">
              <w:rPr>
                <w:rFonts w:ascii="Times New Roman" w:hAnsi="Times New Roman" w:cs="Times New Roman"/>
                <w:sz w:val="24"/>
                <w:szCs w:val="24"/>
              </w:rPr>
              <w:t>Положени</w:t>
            </w:r>
            <w:r>
              <w:rPr>
                <w:rFonts w:ascii="Times New Roman" w:hAnsi="Times New Roman" w:cs="Times New Roman"/>
                <w:sz w:val="24"/>
                <w:szCs w:val="24"/>
              </w:rPr>
              <w:t>я</w:t>
            </w:r>
            <w:r w:rsidRPr="008D55EC">
              <w:rPr>
                <w:rFonts w:ascii="Times New Roman" w:hAnsi="Times New Roman" w:cs="Times New Roman"/>
                <w:sz w:val="24"/>
                <w:szCs w:val="24"/>
              </w:rPr>
              <w:t xml:space="preserve"> Банка России от 04.07.2018 № 646-П </w:t>
            </w:r>
            <w:r>
              <w:rPr>
                <w:rFonts w:ascii="Times New Roman" w:hAnsi="Times New Roman" w:cs="Times New Roman"/>
                <w:sz w:val="24"/>
                <w:szCs w:val="24"/>
              </w:rPr>
              <w:t>«</w:t>
            </w:r>
            <w:r w:rsidRPr="008D55EC">
              <w:rPr>
                <w:rFonts w:ascii="Times New Roman" w:hAnsi="Times New Roman" w:cs="Times New Roman"/>
                <w:sz w:val="24"/>
                <w:szCs w:val="24"/>
              </w:rPr>
              <w:t>О методике определение собственных средств (капитала) кредитных организаций (</w:t>
            </w:r>
            <w:r>
              <w:rPr>
                <w:rFonts w:ascii="Times New Roman" w:hAnsi="Times New Roman" w:cs="Times New Roman"/>
                <w:sz w:val="24"/>
                <w:szCs w:val="24"/>
              </w:rPr>
              <w:t>«</w:t>
            </w:r>
            <w:r w:rsidRPr="008D55EC">
              <w:rPr>
                <w:rFonts w:ascii="Times New Roman" w:hAnsi="Times New Roman" w:cs="Times New Roman"/>
                <w:sz w:val="24"/>
                <w:szCs w:val="24"/>
              </w:rPr>
              <w:t>Базель III</w:t>
            </w:r>
            <w:r>
              <w:rPr>
                <w:rFonts w:ascii="Times New Roman" w:hAnsi="Times New Roman" w:cs="Times New Roman"/>
                <w:sz w:val="24"/>
                <w:szCs w:val="24"/>
              </w:rPr>
              <w:t>»</w:t>
            </w:r>
            <w:r w:rsidRPr="008D55EC">
              <w:rPr>
                <w:rFonts w:ascii="Times New Roman" w:hAnsi="Times New Roman" w:cs="Times New Roman"/>
                <w:sz w:val="24"/>
                <w:szCs w:val="24"/>
              </w:rPr>
              <w:t>)</w:t>
            </w:r>
            <w:r>
              <w:rPr>
                <w:rFonts w:ascii="Times New Roman" w:hAnsi="Times New Roman" w:cs="Times New Roman"/>
                <w:sz w:val="24"/>
                <w:szCs w:val="24"/>
              </w:rPr>
              <w:t>»</w:t>
            </w:r>
            <w:r w:rsidRPr="008D55EC">
              <w:rPr>
                <w:rFonts w:ascii="Times New Roman" w:hAnsi="Times New Roman" w:cs="Times New Roman"/>
                <w:sz w:val="24"/>
                <w:szCs w:val="24"/>
              </w:rPr>
              <w:t xml:space="preserve"> </w:t>
            </w:r>
            <w:r w:rsidRPr="00F84389">
              <w:rPr>
                <w:rFonts w:ascii="Times New Roman" w:hAnsi="Times New Roman" w:cs="Times New Roman"/>
                <w:sz w:val="24"/>
                <w:szCs w:val="24"/>
              </w:rPr>
              <w:t>(далее – Положение № 646-П)</w:t>
            </w:r>
            <w:r>
              <w:rPr>
                <w:rFonts w:ascii="Times New Roman" w:hAnsi="Times New Roman" w:cs="Times New Roman"/>
                <w:sz w:val="24"/>
                <w:szCs w:val="24"/>
              </w:rPr>
              <w:t xml:space="preserve"> </w:t>
            </w:r>
            <w:r>
              <w:rPr>
                <w:rFonts w:ascii="Times New Roman" w:hAnsi="Times New Roman" w:cs="Times New Roman"/>
                <w:sz w:val="24"/>
                <w:szCs w:val="24"/>
              </w:rPr>
              <w:lastRenderedPageBreak/>
              <w:t>субординированный кредит (депозит, заем) без указания срока возврата может быть включен в добавочный капитал кредитной организации при соответствии указанного инструмента условиям, установленным п. 2.3.4 Положения № 646-П.</w:t>
            </w:r>
          </w:p>
          <w:p w:rsidR="00E56BB7" w:rsidRDefault="00E56BB7" w:rsidP="0029693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 этом</w:t>
            </w:r>
            <w:r w:rsidRPr="00BB4D25">
              <w:rPr>
                <w:rFonts w:ascii="Times New Roman" w:hAnsi="Times New Roman" w:cs="Times New Roman"/>
                <w:sz w:val="24"/>
                <w:szCs w:val="24"/>
              </w:rPr>
              <w:t xml:space="preserve"> кредитор по субординированному кредиту (депозиту, займу) не может предъявлять кредитной организации – заемщику требование о его возврате, о возврате его части, о расторжении договора кредита (депозита, займа), если только не наступил срок возврата субординированного инструмента </w:t>
            </w:r>
            <w:r>
              <w:rPr>
                <w:rFonts w:ascii="Times New Roman" w:hAnsi="Times New Roman" w:cs="Times New Roman"/>
                <w:sz w:val="24"/>
                <w:szCs w:val="24"/>
              </w:rPr>
              <w:t>(</w:t>
            </w:r>
            <w:r w:rsidRPr="00BB4D25">
              <w:rPr>
                <w:rFonts w:ascii="Times New Roman" w:hAnsi="Times New Roman" w:cs="Times New Roman"/>
                <w:sz w:val="24"/>
                <w:szCs w:val="24"/>
              </w:rPr>
              <w:t>абз. 9 п.</w:t>
            </w:r>
            <w:r>
              <w:rPr>
                <w:rFonts w:ascii="Times New Roman" w:hAnsi="Times New Roman" w:cs="Times New Roman"/>
                <w:sz w:val="24"/>
                <w:szCs w:val="24"/>
              </w:rPr>
              <w:t> </w:t>
            </w:r>
            <w:r w:rsidRPr="00BB4D25">
              <w:rPr>
                <w:rFonts w:ascii="Times New Roman" w:hAnsi="Times New Roman" w:cs="Times New Roman"/>
                <w:sz w:val="24"/>
                <w:szCs w:val="24"/>
              </w:rPr>
              <w:t>3.1.8.1.2 Положения № 646-П</w:t>
            </w:r>
            <w:r>
              <w:rPr>
                <w:rFonts w:ascii="Times New Roman" w:hAnsi="Times New Roman" w:cs="Times New Roman"/>
                <w:sz w:val="24"/>
                <w:szCs w:val="24"/>
              </w:rPr>
              <w:t>)</w:t>
            </w:r>
            <w:r w:rsidRPr="00BB4D25">
              <w:rPr>
                <w:rFonts w:ascii="Times New Roman" w:hAnsi="Times New Roman" w:cs="Times New Roman"/>
                <w:sz w:val="24"/>
                <w:szCs w:val="24"/>
              </w:rPr>
              <w:t>.</w:t>
            </w:r>
          </w:p>
          <w:p w:rsidR="00E56BB7" w:rsidRPr="00BB4D25" w:rsidRDefault="00E56BB7" w:rsidP="00123D06">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Таким образом, исходя из условий субординированного кредита (депозита, займа) кредитор не может предъявить требования по его возврату, предусмотренные статьей 810 Гражданского кодекса Российской Федерации</w:t>
            </w:r>
            <w:r>
              <w:rPr>
                <w:rStyle w:val="a6"/>
                <w:rFonts w:ascii="Times New Roman" w:hAnsi="Times New Roman" w:cs="Times New Roman"/>
                <w:sz w:val="24"/>
                <w:szCs w:val="24"/>
              </w:rPr>
              <w:footnoteReference w:id="11"/>
            </w:r>
            <w:r>
              <w:rPr>
                <w:rFonts w:ascii="Times New Roman" w:hAnsi="Times New Roman" w:cs="Times New Roman"/>
                <w:sz w:val="24"/>
                <w:szCs w:val="24"/>
              </w:rPr>
              <w:t>.</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19</w:t>
            </w:r>
          </w:p>
        </w:tc>
        <w:tc>
          <w:tcPr>
            <w:tcW w:w="6424" w:type="dxa"/>
          </w:tcPr>
          <w:p w:rsidR="00E56BB7" w:rsidRPr="008145F9" w:rsidRDefault="00E56BB7" w:rsidP="00296936">
            <w:pPr>
              <w:tabs>
                <w:tab w:val="left" w:pos="567"/>
              </w:tabs>
              <w:spacing w:after="0" w:line="240" w:lineRule="auto"/>
              <w:ind w:firstLine="362"/>
              <w:contextualSpacing/>
              <w:jc w:val="both"/>
              <w:rPr>
                <w:rFonts w:ascii="Times New Roman" w:eastAsia="MS Mincho" w:hAnsi="Times New Roman" w:cs="Times New Roman"/>
                <w:sz w:val="24"/>
                <w:szCs w:val="24"/>
                <w:lang w:eastAsia="ru-RU"/>
              </w:rPr>
            </w:pPr>
            <w:r w:rsidRPr="008145F9">
              <w:rPr>
                <w:rFonts w:ascii="Times New Roman" w:eastAsia="MS Mincho" w:hAnsi="Times New Roman" w:cs="Times New Roman"/>
                <w:sz w:val="24"/>
                <w:szCs w:val="24"/>
                <w:lang w:eastAsia="ru-RU"/>
              </w:rPr>
              <w:t xml:space="preserve">Предлагаем рассмотреть вопрос о внесении изменений в статью 25.1 Федерального закона №395-1) в части снижения минимальной величины номинала одной субординированной облигации с 10 до 3 миллионов рублей. </w:t>
            </w:r>
          </w:p>
          <w:p w:rsidR="00E56BB7" w:rsidRPr="008145F9" w:rsidRDefault="00E56BB7" w:rsidP="00296936">
            <w:pPr>
              <w:tabs>
                <w:tab w:val="left" w:pos="567"/>
              </w:tabs>
              <w:spacing w:after="0" w:line="240" w:lineRule="auto"/>
              <w:ind w:firstLine="362"/>
              <w:jc w:val="both"/>
              <w:rPr>
                <w:rFonts w:ascii="Times New Roman" w:eastAsia="Times New Roman" w:hAnsi="Times New Roman" w:cs="Times New Roman"/>
                <w:bCs/>
                <w:sz w:val="24"/>
                <w:szCs w:val="24"/>
                <w:lang w:eastAsia="ru-RU"/>
              </w:rPr>
            </w:pPr>
            <w:r w:rsidRPr="008145F9">
              <w:rPr>
                <w:rFonts w:ascii="Times New Roman" w:eastAsia="Times New Roman" w:hAnsi="Times New Roman" w:cs="Times New Roman"/>
                <w:bCs/>
                <w:sz w:val="24"/>
                <w:szCs w:val="24"/>
                <w:lang w:eastAsia="ru-RU"/>
              </w:rPr>
              <w:t xml:space="preserve">До декабря 2018 г номинальная стоимость одной облигации субординированного займа составляла 1000 </w:t>
            </w:r>
            <w:proofErr w:type="spellStart"/>
            <w:r w:rsidRPr="008145F9">
              <w:rPr>
                <w:rFonts w:ascii="Times New Roman" w:eastAsia="Times New Roman" w:hAnsi="Times New Roman" w:cs="Times New Roman"/>
                <w:bCs/>
                <w:sz w:val="24"/>
                <w:szCs w:val="24"/>
                <w:lang w:eastAsia="ru-RU"/>
              </w:rPr>
              <w:t>руб</w:t>
            </w:r>
            <w:proofErr w:type="spellEnd"/>
            <w:r w:rsidRPr="008145F9">
              <w:rPr>
                <w:rFonts w:ascii="Times New Roman" w:eastAsia="Times New Roman" w:hAnsi="Times New Roman" w:cs="Times New Roman"/>
                <w:bCs/>
                <w:sz w:val="24"/>
                <w:szCs w:val="24"/>
                <w:lang w:eastAsia="ru-RU"/>
              </w:rPr>
              <w:t xml:space="preserve">, однако после внесения изменений в Федерального закон </w:t>
            </w:r>
            <w:r w:rsidR="00123D06">
              <w:rPr>
                <w:rFonts w:ascii="Times New Roman" w:eastAsia="Times New Roman" w:hAnsi="Times New Roman" w:cs="Times New Roman"/>
                <w:bCs/>
                <w:sz w:val="24"/>
                <w:szCs w:val="24"/>
                <w:lang w:eastAsia="ru-RU"/>
              </w:rPr>
              <w:br/>
              <w:t>№</w:t>
            </w:r>
            <w:r w:rsidRPr="008145F9">
              <w:rPr>
                <w:rFonts w:ascii="Times New Roman" w:eastAsia="Times New Roman" w:hAnsi="Times New Roman" w:cs="Times New Roman"/>
                <w:bCs/>
                <w:sz w:val="24"/>
                <w:szCs w:val="24"/>
                <w:lang w:eastAsia="ru-RU"/>
              </w:rPr>
              <w:t xml:space="preserve">395-1 номинальная стоимость должна составлять не менее 10 миллионов рублей. Озвучивалось, что изменения имеют своей целью ограничить продажу данного инструмента инвесторам - физическим лицам, которые могут не осознавать в полной мере всех рисков, связанных с субординированными займами. Нам представляется, что, ограничив предложение облигаций субординированных займов только квалифицированным инвесторам, регулятор </w:t>
            </w:r>
            <w:r w:rsidRPr="008145F9">
              <w:rPr>
                <w:rFonts w:ascii="Times New Roman" w:eastAsia="Times New Roman" w:hAnsi="Times New Roman" w:cs="Times New Roman"/>
                <w:bCs/>
                <w:sz w:val="24"/>
                <w:szCs w:val="24"/>
                <w:lang w:eastAsia="ru-RU"/>
              </w:rPr>
              <w:lastRenderedPageBreak/>
              <w:t>уже достиг заявленной цели и увеличение номинала облигации с 1000 до 10 000 000 является избыточным и негативно влияет не только на результаты первичных размещений, но и на вторичное обращение.</w:t>
            </w:r>
          </w:p>
          <w:p w:rsidR="00E56BB7" w:rsidRPr="008145F9" w:rsidRDefault="00E56BB7" w:rsidP="00296936">
            <w:pPr>
              <w:tabs>
                <w:tab w:val="left" w:pos="567"/>
              </w:tabs>
              <w:spacing w:after="0" w:line="240" w:lineRule="auto"/>
              <w:ind w:firstLine="362"/>
              <w:jc w:val="both"/>
              <w:rPr>
                <w:rFonts w:ascii="Times New Roman" w:eastAsia="Calibri" w:hAnsi="Times New Roman" w:cs="Times New Roman"/>
                <w:sz w:val="24"/>
                <w:szCs w:val="24"/>
                <w:lang w:bidi="ru-RU"/>
              </w:rPr>
            </w:pPr>
            <w:r w:rsidRPr="008145F9">
              <w:rPr>
                <w:rFonts w:ascii="Times New Roman" w:eastAsia="Times New Roman" w:hAnsi="Times New Roman" w:cs="Times New Roman"/>
                <w:bCs/>
                <w:sz w:val="24"/>
                <w:szCs w:val="24"/>
                <w:lang w:eastAsia="ru-RU"/>
              </w:rPr>
              <w:t>Уменьшение номинала облигации субординированного облигационного займа, по нашему мнению, расширит доступ инвесторов к данному типу выпусков и благоприятно повлияет на активность вторичного обращения, т.е. опосредованно на привлекательность инструмента в целом</w:t>
            </w:r>
            <w:r w:rsidRPr="008145F9">
              <w:rPr>
                <w:rFonts w:ascii="Times New Roman" w:eastAsia="Times New Roman" w:hAnsi="Times New Roman" w:cs="Times New Roman"/>
                <w:bCs/>
                <w:sz w:val="24"/>
                <w:szCs w:val="24"/>
                <w:vertAlign w:val="superscript"/>
                <w:lang w:eastAsia="ru-RU"/>
              </w:rPr>
              <w:footnoteReference w:id="12"/>
            </w:r>
            <w:r w:rsidRPr="008145F9">
              <w:rPr>
                <w:rFonts w:ascii="Times New Roman" w:eastAsia="Times New Roman" w:hAnsi="Times New Roman" w:cs="Times New Roman"/>
                <w:bCs/>
                <w:sz w:val="24"/>
                <w:szCs w:val="24"/>
                <w:lang w:eastAsia="ru-RU"/>
              </w:rPr>
              <w:t>.</w:t>
            </w:r>
          </w:p>
        </w:tc>
        <w:tc>
          <w:tcPr>
            <w:tcW w:w="7938" w:type="dxa"/>
          </w:tcPr>
          <w:p w:rsidR="00E56BB7" w:rsidRPr="006C5848" w:rsidRDefault="00E56BB7" w:rsidP="00296936">
            <w:pPr>
              <w:pStyle w:val="aa"/>
              <w:ind w:firstLine="317"/>
              <w:jc w:val="both"/>
              <w:rPr>
                <w:rFonts w:ascii="Times New Roman" w:hAnsi="Times New Roman"/>
                <w:sz w:val="24"/>
                <w:szCs w:val="24"/>
                <w:highlight w:val="yellow"/>
              </w:rPr>
            </w:pPr>
            <w:r w:rsidRPr="008438D4">
              <w:rPr>
                <w:rFonts w:ascii="Times New Roman" w:hAnsi="Times New Roman"/>
                <w:sz w:val="24"/>
                <w:szCs w:val="24"/>
              </w:rPr>
              <w:lastRenderedPageBreak/>
              <w:t>Банк России не усматривает оснований для снижения минимальной величины номинальной стоимости одной субординированной облигации с 10 до 3 миллионов рублей.</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20</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 xml:space="preserve">Планируется ли нормативное уточнение границ запретов и допущений при взаимодействии участников банковской группы, в том числе при обмене информацией, составляющей банковскую тайну, а также подготовка разъяснений в отношении применения части 29 статьи </w:t>
            </w:r>
            <w:r w:rsidR="00123D06">
              <w:rPr>
                <w:rFonts w:ascii="Times New Roman" w:hAnsi="Times New Roman"/>
                <w:sz w:val="24"/>
                <w:szCs w:val="24"/>
              </w:rPr>
              <w:br/>
            </w:r>
            <w:r w:rsidRPr="008145F9">
              <w:rPr>
                <w:rFonts w:ascii="Times New Roman" w:hAnsi="Times New Roman"/>
                <w:sz w:val="24"/>
                <w:szCs w:val="24"/>
              </w:rPr>
              <w:t xml:space="preserve">26 </w:t>
            </w:r>
            <w:r w:rsidR="00123D06" w:rsidRPr="008145F9">
              <w:rPr>
                <w:rFonts w:ascii="Times New Roman" w:eastAsia="MS Mincho" w:hAnsi="Times New Roman" w:cs="Times New Roman"/>
                <w:sz w:val="24"/>
                <w:szCs w:val="24"/>
                <w:lang w:eastAsia="ru-RU"/>
              </w:rPr>
              <w:t>Федеральный закон №395-1</w:t>
            </w:r>
            <w:r w:rsidRPr="008145F9">
              <w:rPr>
                <w:rFonts w:ascii="Times New Roman" w:hAnsi="Times New Roman"/>
                <w:sz w:val="24"/>
                <w:szCs w:val="24"/>
              </w:rPr>
              <w:t xml:space="preserve"> для создания нормативного основания (правового механизма) для головной кредитной организацией банковской группы получать от участников банковской группы информацию, необходимую для централизованного управления рисками</w:t>
            </w:r>
            <w:r w:rsidRPr="008145F9">
              <w:rPr>
                <w:rStyle w:val="a6"/>
                <w:rFonts w:ascii="Times New Roman" w:hAnsi="Times New Roman"/>
                <w:sz w:val="24"/>
                <w:szCs w:val="24"/>
              </w:rPr>
              <w:footnoteReference w:id="13"/>
            </w:r>
            <w:r w:rsidRPr="008145F9">
              <w:rPr>
                <w:rFonts w:ascii="Times New Roman" w:hAnsi="Times New Roman"/>
                <w:sz w:val="24"/>
                <w:szCs w:val="24"/>
              </w:rPr>
              <w:t>?</w:t>
            </w:r>
          </w:p>
        </w:tc>
        <w:tc>
          <w:tcPr>
            <w:tcW w:w="7938" w:type="dxa"/>
          </w:tcPr>
          <w:p w:rsidR="00E56BB7" w:rsidRPr="00922F83" w:rsidRDefault="005D755E" w:rsidP="005D755E">
            <w:pPr>
              <w:pStyle w:val="aa"/>
              <w:ind w:firstLine="317"/>
              <w:jc w:val="both"/>
              <w:rPr>
                <w:rFonts w:ascii="Times New Roman" w:hAnsi="Times New Roman"/>
                <w:sz w:val="24"/>
                <w:szCs w:val="24"/>
              </w:rPr>
            </w:pPr>
            <w:r w:rsidRPr="00E157D6">
              <w:rPr>
                <w:rFonts w:ascii="Times New Roman" w:hAnsi="Times New Roman"/>
                <w:sz w:val="24"/>
                <w:szCs w:val="24"/>
              </w:rPr>
              <w:t>Позиция по вопрос</w:t>
            </w:r>
            <w:r>
              <w:rPr>
                <w:rFonts w:ascii="Times New Roman" w:hAnsi="Times New Roman"/>
                <w:sz w:val="24"/>
                <w:szCs w:val="24"/>
              </w:rPr>
              <w:t xml:space="preserve">у </w:t>
            </w:r>
            <w:r w:rsidRPr="00E157D6">
              <w:rPr>
                <w:rFonts w:ascii="Times New Roman" w:hAnsi="Times New Roman"/>
                <w:sz w:val="24"/>
                <w:szCs w:val="24"/>
              </w:rPr>
              <w:t>представлена в ответ</w:t>
            </w:r>
            <w:r>
              <w:rPr>
                <w:rFonts w:ascii="Times New Roman" w:hAnsi="Times New Roman"/>
                <w:sz w:val="24"/>
                <w:szCs w:val="24"/>
              </w:rPr>
              <w:t>ах</w:t>
            </w:r>
            <w:r w:rsidRPr="00E157D6">
              <w:rPr>
                <w:rFonts w:ascii="Times New Roman" w:hAnsi="Times New Roman"/>
                <w:sz w:val="24"/>
                <w:szCs w:val="24"/>
              </w:rPr>
              <w:t xml:space="preserve"> на вопрос</w:t>
            </w:r>
            <w:r>
              <w:rPr>
                <w:rFonts w:ascii="Times New Roman" w:hAnsi="Times New Roman"/>
                <w:sz w:val="24"/>
                <w:szCs w:val="24"/>
              </w:rPr>
              <w:t>ы</w:t>
            </w:r>
            <w:r w:rsidRPr="00E157D6">
              <w:rPr>
                <w:rFonts w:ascii="Times New Roman" w:hAnsi="Times New Roman"/>
                <w:sz w:val="24"/>
                <w:szCs w:val="24"/>
              </w:rPr>
              <w:t xml:space="preserve"> в адрес </w:t>
            </w:r>
            <w:r>
              <w:rPr>
                <w:rFonts w:ascii="Times New Roman" w:hAnsi="Times New Roman"/>
                <w:sz w:val="24"/>
                <w:szCs w:val="24"/>
              </w:rPr>
              <w:t xml:space="preserve">Директора Юридического департамента А.Г. </w:t>
            </w:r>
            <w:proofErr w:type="spellStart"/>
            <w:r>
              <w:rPr>
                <w:rFonts w:ascii="Times New Roman" w:hAnsi="Times New Roman"/>
                <w:sz w:val="24"/>
                <w:szCs w:val="24"/>
              </w:rPr>
              <w:t>Гузнова</w:t>
            </w:r>
            <w:proofErr w:type="spellEnd"/>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21</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Планируется ли Банком России разработка нормативного акта, регламентирующего порядок взаимодействия между дочерними и зависимыми организациями, входящими в банковскую группу, и головной кредитной организацией банковской группы для целей совершенствования системы внутреннего контроля?</w:t>
            </w:r>
          </w:p>
        </w:tc>
        <w:tc>
          <w:tcPr>
            <w:tcW w:w="7938" w:type="dxa"/>
          </w:tcPr>
          <w:p w:rsidR="00E56BB7" w:rsidRPr="000E7483" w:rsidRDefault="00E56BB7" w:rsidP="00296936">
            <w:pPr>
              <w:pStyle w:val="aa"/>
              <w:ind w:firstLine="317"/>
              <w:jc w:val="both"/>
              <w:rPr>
                <w:rFonts w:ascii="Times New Roman" w:hAnsi="Times New Roman"/>
                <w:sz w:val="24"/>
                <w:szCs w:val="24"/>
              </w:rPr>
            </w:pPr>
            <w:r w:rsidRPr="000E7483">
              <w:rPr>
                <w:rFonts w:ascii="Times New Roman" w:hAnsi="Times New Roman"/>
                <w:sz w:val="24"/>
                <w:szCs w:val="24"/>
              </w:rPr>
              <w:t xml:space="preserve">В соответствии с абзацем вторым пункта 1.3 Положения Банка России от 16.12.2003 № 242-П </w:t>
            </w:r>
            <w:r>
              <w:rPr>
                <w:rFonts w:ascii="Times New Roman" w:hAnsi="Times New Roman"/>
                <w:sz w:val="24"/>
                <w:szCs w:val="24"/>
              </w:rPr>
              <w:t>«</w:t>
            </w:r>
            <w:r w:rsidRPr="000E7483">
              <w:rPr>
                <w:rFonts w:ascii="Times New Roman" w:hAnsi="Times New Roman"/>
                <w:sz w:val="24"/>
                <w:szCs w:val="24"/>
              </w:rPr>
              <w:t>Об организации внутреннего контроля в кредитных организациях и банковских группах</w:t>
            </w:r>
            <w:r>
              <w:rPr>
                <w:rFonts w:ascii="Times New Roman" w:hAnsi="Times New Roman"/>
                <w:sz w:val="24"/>
                <w:szCs w:val="24"/>
              </w:rPr>
              <w:t>»</w:t>
            </w:r>
            <w:r w:rsidRPr="000E7483">
              <w:rPr>
                <w:rFonts w:ascii="Times New Roman" w:hAnsi="Times New Roman"/>
                <w:sz w:val="24"/>
                <w:szCs w:val="24"/>
              </w:rPr>
              <w:t xml:space="preserve"> головная кредитная организация банковской группы обеспечивает единство подходов к организации внутреннего контроля и несет ответственность за обеспечение его эффективной организации в кредитных организациях и </w:t>
            </w:r>
            <w:proofErr w:type="spellStart"/>
            <w:r w:rsidRPr="000E7483">
              <w:rPr>
                <w:rFonts w:ascii="Times New Roman" w:hAnsi="Times New Roman"/>
                <w:sz w:val="24"/>
                <w:szCs w:val="24"/>
              </w:rPr>
              <w:t>некредитных</w:t>
            </w:r>
            <w:proofErr w:type="spellEnd"/>
            <w:r w:rsidRPr="000E7483">
              <w:rPr>
                <w:rFonts w:ascii="Times New Roman" w:hAnsi="Times New Roman"/>
                <w:sz w:val="24"/>
                <w:szCs w:val="24"/>
              </w:rPr>
              <w:t xml:space="preserve"> финансовых организациях, являющихся участниками банковской группы.</w:t>
            </w:r>
          </w:p>
          <w:p w:rsidR="00E56BB7" w:rsidRPr="000E7483" w:rsidRDefault="00E56BB7" w:rsidP="00296936">
            <w:pPr>
              <w:pStyle w:val="aa"/>
              <w:ind w:firstLine="317"/>
              <w:jc w:val="both"/>
              <w:rPr>
                <w:rFonts w:ascii="Times New Roman" w:hAnsi="Times New Roman"/>
                <w:sz w:val="24"/>
                <w:szCs w:val="24"/>
              </w:rPr>
            </w:pPr>
            <w:r w:rsidRPr="000E7483">
              <w:rPr>
                <w:rFonts w:ascii="Times New Roman" w:hAnsi="Times New Roman"/>
                <w:sz w:val="24"/>
                <w:szCs w:val="24"/>
              </w:rPr>
              <w:lastRenderedPageBreak/>
              <w:t>Организация внутреннего контроля в участниках банковской группы и их взаимодействие с головной кредитной организацией осуществляется с учетом требований законодательства Российской Федерации, регулирующего отдельные виды деятельности организаций</w:t>
            </w:r>
            <w:r w:rsidRPr="000E7483">
              <w:rPr>
                <w:rStyle w:val="a6"/>
                <w:rFonts w:ascii="Times New Roman" w:hAnsi="Times New Roman"/>
                <w:sz w:val="24"/>
                <w:szCs w:val="24"/>
              </w:rPr>
              <w:footnoteReference w:id="14"/>
            </w:r>
            <w:r w:rsidRPr="000E7483">
              <w:rPr>
                <w:rFonts w:ascii="Times New Roman" w:hAnsi="Times New Roman"/>
                <w:sz w:val="24"/>
                <w:szCs w:val="24"/>
              </w:rPr>
              <w:t>.</w:t>
            </w:r>
          </w:p>
          <w:p w:rsidR="00E56BB7" w:rsidRDefault="00E56BB7" w:rsidP="00296936">
            <w:pPr>
              <w:pStyle w:val="aa"/>
              <w:ind w:firstLine="317"/>
              <w:jc w:val="both"/>
              <w:rPr>
                <w:rFonts w:ascii="Times New Roman" w:hAnsi="Times New Roman"/>
                <w:sz w:val="24"/>
                <w:szCs w:val="24"/>
              </w:rPr>
            </w:pPr>
            <w:r w:rsidRPr="000E7483">
              <w:rPr>
                <w:rFonts w:ascii="Times New Roman" w:hAnsi="Times New Roman"/>
                <w:sz w:val="24"/>
                <w:szCs w:val="24"/>
              </w:rPr>
              <w:t>С учетом изложенного разработка отдельного нормативного акта, регламентирующего порядок взаимодействия между участниками банковской группы, включая головную кредитную организацию банковской группы, по вопросам организации системы внутреннего контроля, по нашему мнению, не требуется. Вместе с тем готовы рассмотреть конкретные ситуации в организации внутреннего контроля в банковской группе, особенности которых присущи большинству банковских групп, требующие, по мнению банков, нормативного регулирования.</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22</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hAnsi="Times New Roman"/>
                <w:sz w:val="24"/>
                <w:szCs w:val="24"/>
              </w:rPr>
              <w:t xml:space="preserve">При консолидации финансовых показателей НПФ в отчетность банковской группы в полном объёме включаются такие показатели как 1) активы, 2) чистый процентный доход, 3) прибыль и т.д. При этом большая часть дохода, полученного от размещения средств пенсионных накоплений и пенсионных резервов, направляется на пополнение средств пенсионных накоплений и пенсионных резервов. С целью корректного расчета финансовых показателей банковских групп предлагаем предусмотреть в нормативных актах Банка России, что консолидации </w:t>
            </w:r>
            <w:r w:rsidRPr="008145F9">
              <w:rPr>
                <w:rFonts w:ascii="Times New Roman" w:hAnsi="Times New Roman"/>
                <w:sz w:val="24"/>
                <w:szCs w:val="24"/>
              </w:rPr>
              <w:lastRenderedPageBreak/>
              <w:t>подлежат только показатели, отражающие финансовые результаты и финансовое положение самого пенсионного фонда.</w:t>
            </w:r>
          </w:p>
        </w:tc>
        <w:tc>
          <w:tcPr>
            <w:tcW w:w="7938" w:type="dxa"/>
          </w:tcPr>
          <w:p w:rsidR="00E56BB7" w:rsidRPr="00922F83" w:rsidRDefault="00E56BB7" w:rsidP="00296936">
            <w:pPr>
              <w:pStyle w:val="aa"/>
              <w:ind w:firstLine="317"/>
              <w:jc w:val="both"/>
              <w:rPr>
                <w:rFonts w:ascii="Times New Roman" w:hAnsi="Times New Roman"/>
                <w:sz w:val="24"/>
                <w:szCs w:val="24"/>
              </w:rPr>
            </w:pPr>
            <w:r w:rsidRPr="00922F83">
              <w:rPr>
                <w:rFonts w:ascii="Times New Roman" w:hAnsi="Times New Roman"/>
                <w:sz w:val="24"/>
                <w:szCs w:val="24"/>
              </w:rPr>
              <w:lastRenderedPageBreak/>
              <w:t xml:space="preserve">Согласно требованиям пункта 1.3 Положения Банка России от 11.03.2015 № 462-П </w:t>
            </w:r>
            <w:r>
              <w:rPr>
                <w:rFonts w:ascii="Times New Roman" w:hAnsi="Times New Roman"/>
                <w:sz w:val="24"/>
                <w:szCs w:val="24"/>
              </w:rPr>
              <w:t>«</w:t>
            </w:r>
            <w:r w:rsidRPr="00922F83">
              <w:rPr>
                <w:rFonts w:ascii="Times New Roman" w:hAnsi="Times New Roman"/>
                <w:sz w:val="24"/>
                <w:szCs w:val="24"/>
              </w:rPr>
              <w:t>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w:t>
            </w:r>
            <w:r>
              <w:rPr>
                <w:rFonts w:ascii="Times New Roman" w:hAnsi="Times New Roman"/>
                <w:sz w:val="24"/>
                <w:szCs w:val="24"/>
              </w:rPr>
              <w:t>»</w:t>
            </w:r>
            <w:r w:rsidRPr="00922F83">
              <w:rPr>
                <w:rFonts w:ascii="Times New Roman" w:hAnsi="Times New Roman"/>
                <w:sz w:val="24"/>
                <w:szCs w:val="24"/>
              </w:rPr>
              <w:t xml:space="preserve"> (далее – Положение № 462-П) и пункта 1.4 Положени</w:t>
            </w:r>
            <w:r>
              <w:rPr>
                <w:rFonts w:ascii="Times New Roman" w:hAnsi="Times New Roman"/>
                <w:sz w:val="24"/>
                <w:szCs w:val="24"/>
              </w:rPr>
              <w:t>я Банка России от 15.07.2020 № </w:t>
            </w:r>
            <w:r w:rsidRPr="00922F83">
              <w:rPr>
                <w:rFonts w:ascii="Times New Roman" w:hAnsi="Times New Roman"/>
                <w:sz w:val="24"/>
                <w:szCs w:val="24"/>
              </w:rPr>
              <w:t xml:space="preserve">729-П </w:t>
            </w:r>
            <w:r>
              <w:rPr>
                <w:rFonts w:ascii="Times New Roman" w:hAnsi="Times New Roman"/>
                <w:sz w:val="24"/>
                <w:szCs w:val="24"/>
              </w:rPr>
              <w:t>«</w:t>
            </w:r>
            <w:r w:rsidRPr="00922F83">
              <w:rPr>
                <w:rFonts w:ascii="Times New Roman" w:hAnsi="Times New Roman"/>
                <w:sz w:val="24"/>
                <w:szCs w:val="24"/>
              </w:rPr>
              <w:t>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w:t>
            </w:r>
            <w:r>
              <w:rPr>
                <w:rFonts w:ascii="Times New Roman" w:hAnsi="Times New Roman"/>
                <w:sz w:val="24"/>
                <w:szCs w:val="24"/>
              </w:rPr>
              <w:t>»</w:t>
            </w:r>
            <w:r w:rsidRPr="00922F83">
              <w:rPr>
                <w:rFonts w:ascii="Times New Roman" w:hAnsi="Times New Roman"/>
                <w:sz w:val="24"/>
                <w:szCs w:val="24"/>
              </w:rPr>
              <w:t xml:space="preserve"> (далее – Положение</w:t>
            </w:r>
            <w:r>
              <w:rPr>
                <w:rFonts w:ascii="Times New Roman" w:hAnsi="Times New Roman"/>
                <w:sz w:val="24"/>
                <w:szCs w:val="24"/>
              </w:rPr>
              <w:t> </w:t>
            </w:r>
            <w:r w:rsidRPr="00922F83">
              <w:rPr>
                <w:rFonts w:ascii="Times New Roman" w:hAnsi="Times New Roman"/>
                <w:sz w:val="24"/>
                <w:szCs w:val="24"/>
              </w:rPr>
              <w:t>№</w:t>
            </w:r>
            <w:r>
              <w:rPr>
                <w:rFonts w:ascii="Times New Roman" w:hAnsi="Times New Roman"/>
                <w:sz w:val="24"/>
                <w:szCs w:val="24"/>
              </w:rPr>
              <w:t> </w:t>
            </w:r>
            <w:r w:rsidRPr="00922F83">
              <w:rPr>
                <w:rFonts w:ascii="Times New Roman" w:hAnsi="Times New Roman"/>
                <w:sz w:val="24"/>
                <w:szCs w:val="24"/>
              </w:rPr>
              <w:t xml:space="preserve">729-П) головная кредитная организация </w:t>
            </w:r>
            <w:r w:rsidRPr="00922F83">
              <w:rPr>
                <w:rFonts w:ascii="Times New Roman" w:hAnsi="Times New Roman"/>
                <w:sz w:val="24"/>
                <w:szCs w:val="24"/>
              </w:rPr>
              <w:lastRenderedPageBreak/>
              <w:t>банковской группы включает в консолидированную отчетность отчетные данные участников банковской группы, содержащиеся в их индивидуальной отчетности, в соответствии с методиками, установленными пунктом 1.7 Положения №</w:t>
            </w:r>
            <w:r>
              <w:rPr>
                <w:rFonts w:ascii="Times New Roman" w:hAnsi="Times New Roman"/>
                <w:sz w:val="24"/>
                <w:szCs w:val="24"/>
              </w:rPr>
              <w:t xml:space="preserve"> </w:t>
            </w:r>
            <w:r w:rsidRPr="00922F83">
              <w:rPr>
                <w:rFonts w:ascii="Times New Roman" w:hAnsi="Times New Roman"/>
                <w:sz w:val="24"/>
                <w:szCs w:val="24"/>
              </w:rPr>
              <w:t>729- П. Согласно пункту 1.4</w:t>
            </w:r>
            <w:r w:rsidR="00D132A4">
              <w:rPr>
                <w:rFonts w:ascii="Times New Roman" w:hAnsi="Times New Roman"/>
                <w:sz w:val="24"/>
                <w:szCs w:val="24"/>
              </w:rPr>
              <w:t xml:space="preserve"> </w:t>
            </w:r>
            <w:r w:rsidRPr="00922F83">
              <w:rPr>
                <w:rFonts w:ascii="Times New Roman" w:hAnsi="Times New Roman"/>
                <w:sz w:val="24"/>
                <w:szCs w:val="24"/>
              </w:rPr>
              <w:t>Положения</w:t>
            </w:r>
            <w:r>
              <w:rPr>
                <w:rFonts w:ascii="Times New Roman" w:hAnsi="Times New Roman"/>
                <w:sz w:val="24"/>
                <w:szCs w:val="24"/>
              </w:rPr>
              <w:t> </w:t>
            </w:r>
            <w:r w:rsidRPr="00922F83">
              <w:rPr>
                <w:rFonts w:ascii="Times New Roman" w:hAnsi="Times New Roman"/>
                <w:sz w:val="24"/>
                <w:szCs w:val="24"/>
              </w:rPr>
              <w:t>№</w:t>
            </w:r>
            <w:r>
              <w:rPr>
                <w:rFonts w:ascii="Times New Roman" w:hAnsi="Times New Roman"/>
                <w:sz w:val="24"/>
                <w:szCs w:val="24"/>
              </w:rPr>
              <w:t> </w:t>
            </w:r>
            <w:r w:rsidRPr="00922F83">
              <w:rPr>
                <w:rFonts w:ascii="Times New Roman" w:hAnsi="Times New Roman"/>
                <w:sz w:val="24"/>
                <w:szCs w:val="24"/>
              </w:rPr>
              <w:t>462-П и пункту 1.6 Положения №</w:t>
            </w:r>
            <w:r>
              <w:rPr>
                <w:rFonts w:ascii="Times New Roman" w:hAnsi="Times New Roman"/>
                <w:sz w:val="24"/>
                <w:szCs w:val="24"/>
              </w:rPr>
              <w:t xml:space="preserve"> </w:t>
            </w:r>
            <w:r w:rsidRPr="00922F83">
              <w:rPr>
                <w:rFonts w:ascii="Times New Roman" w:hAnsi="Times New Roman"/>
                <w:sz w:val="24"/>
                <w:szCs w:val="24"/>
              </w:rPr>
              <w:t>729-П отчетные данные участников банковской группы включаются в консолидированную отчетность в порядке, определенном внутренними документами банковской группы. Частичное включение в консолидированную отчетность отдельных активов и (или) обязательств участников банковской группы вышеуказанными нормативными актами Банка России не предусматривается.</w:t>
            </w:r>
          </w:p>
          <w:p w:rsidR="00E56BB7" w:rsidRDefault="00E56BB7" w:rsidP="00296936">
            <w:pPr>
              <w:pStyle w:val="aa"/>
              <w:ind w:firstLine="317"/>
              <w:jc w:val="both"/>
              <w:rPr>
                <w:rFonts w:ascii="Times New Roman" w:hAnsi="Times New Roman"/>
                <w:sz w:val="24"/>
                <w:szCs w:val="24"/>
              </w:rPr>
            </w:pPr>
            <w:r w:rsidRPr="00922F83">
              <w:rPr>
                <w:rFonts w:ascii="Times New Roman" w:hAnsi="Times New Roman"/>
                <w:sz w:val="24"/>
                <w:szCs w:val="24"/>
              </w:rPr>
              <w:t xml:space="preserve">Данный подход соответствует рекомендациям, установленным в документах </w:t>
            </w:r>
            <w:proofErr w:type="spellStart"/>
            <w:r w:rsidRPr="00922F83">
              <w:rPr>
                <w:rFonts w:ascii="Times New Roman" w:hAnsi="Times New Roman"/>
                <w:sz w:val="24"/>
                <w:szCs w:val="24"/>
              </w:rPr>
              <w:t>Базельского</w:t>
            </w:r>
            <w:proofErr w:type="spellEnd"/>
            <w:r w:rsidRPr="00922F83">
              <w:rPr>
                <w:rFonts w:ascii="Times New Roman" w:hAnsi="Times New Roman"/>
                <w:sz w:val="24"/>
                <w:szCs w:val="24"/>
              </w:rPr>
              <w:t xml:space="preserve"> комитета по банковско</w:t>
            </w:r>
            <w:r>
              <w:rPr>
                <w:rFonts w:ascii="Times New Roman" w:hAnsi="Times New Roman"/>
                <w:sz w:val="24"/>
                <w:szCs w:val="24"/>
              </w:rPr>
              <w:t xml:space="preserve">му надзору (Базель II и Базель </w:t>
            </w:r>
            <w:r w:rsidRPr="00922F83">
              <w:rPr>
                <w:rFonts w:ascii="Times New Roman" w:hAnsi="Times New Roman"/>
                <w:sz w:val="24"/>
                <w:szCs w:val="24"/>
              </w:rPr>
              <w:t>III), в связи с чем внесение изменений в нормативные акты Банка России, регулирующие указанный вопрос, не предполагается.</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23</w:t>
            </w:r>
          </w:p>
        </w:tc>
        <w:tc>
          <w:tcPr>
            <w:tcW w:w="6424" w:type="dxa"/>
          </w:tcPr>
          <w:p w:rsidR="00E56BB7" w:rsidRPr="008145F9" w:rsidRDefault="00E56BB7" w:rsidP="00296936">
            <w:pPr>
              <w:tabs>
                <w:tab w:val="left" w:pos="567"/>
              </w:tabs>
              <w:spacing w:after="0" w:line="240" w:lineRule="auto"/>
              <w:ind w:firstLine="362"/>
              <w:jc w:val="both"/>
              <w:rPr>
                <w:rFonts w:ascii="Times New Roman" w:hAnsi="Times New Roman"/>
                <w:sz w:val="24"/>
                <w:szCs w:val="24"/>
              </w:rPr>
            </w:pPr>
            <w:r w:rsidRPr="008145F9">
              <w:rPr>
                <w:rFonts w:ascii="Times New Roman" w:hAnsi="Times New Roman"/>
                <w:sz w:val="24"/>
                <w:szCs w:val="24"/>
              </w:rPr>
              <w:t xml:space="preserve">В последние годы Банк России последовательно внедряет принципы пропорционального регулирования. Фактически, сегодня можно выделить 3 основные группы банков с разной степенью регулирования: 1) банки с базовой лицензией (около 120 банков), 2) банки с универсальной лицензией с активами свыше 500 млрд руб. (около 20 банков, в том числе системно значимые) и 3) банки с универсальной лицензией с активами менее 500 млрд руб. (около 230 банков). Таким образом, последняя группа банков наиболее многочисленна и разнородна. В то же время, одинаковый объём пруденциальных требований наряду с многофилиальными банками с активами в сотни миллиардов рублей должны выполнять и небольшие региональные банки с гораздо более скромными финансовыми и кадровыми возможностями. </w:t>
            </w:r>
          </w:p>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eastAsia="MS Mincho" w:hAnsi="Times New Roman"/>
                <w:sz w:val="24"/>
                <w:szCs w:val="24"/>
              </w:rPr>
              <w:t xml:space="preserve">Планирует ли Банк России в дальнейшем увеличивать </w:t>
            </w:r>
            <w:r w:rsidRPr="008145F9">
              <w:rPr>
                <w:rFonts w:ascii="Times New Roman" w:eastAsia="MS Mincho" w:hAnsi="Times New Roman"/>
                <w:sz w:val="24"/>
                <w:szCs w:val="24"/>
              </w:rPr>
              <w:lastRenderedPageBreak/>
              <w:t>глубину пропорционального регулирования и разработать меры по снижению избыточной надзорной нагрузки на небольшие (например, с активами до 50 млрд руб.) банки с универсальной лицензией, а именно: уменьшение количества и упрощение отчетных форм, увеличение сроков по внедрению новых положений, снижение числа внеочередных неформальных запросов информации, и т.п.?</w:t>
            </w:r>
          </w:p>
        </w:tc>
        <w:tc>
          <w:tcPr>
            <w:tcW w:w="7938" w:type="dxa"/>
          </w:tcPr>
          <w:p w:rsidR="00E56BB7" w:rsidRDefault="00E56BB7" w:rsidP="00296936">
            <w:pPr>
              <w:pStyle w:val="aa"/>
              <w:ind w:firstLine="317"/>
              <w:jc w:val="both"/>
              <w:rPr>
                <w:rFonts w:ascii="Times New Roman" w:hAnsi="Times New Roman"/>
                <w:sz w:val="24"/>
                <w:szCs w:val="24"/>
              </w:rPr>
            </w:pPr>
            <w:r>
              <w:rPr>
                <w:rFonts w:ascii="Times New Roman" w:hAnsi="Times New Roman"/>
                <w:sz w:val="24"/>
                <w:szCs w:val="24"/>
              </w:rPr>
              <w:lastRenderedPageBreak/>
              <w:t xml:space="preserve">Банк России в рамках банковского регулирования принимает во внимание, в тех случаях, когда это обосновано и не приведет к </w:t>
            </w:r>
            <w:r w:rsidRPr="002A4A8B">
              <w:rPr>
                <w:rFonts w:ascii="Times New Roman" w:hAnsi="Times New Roman"/>
                <w:sz w:val="24"/>
                <w:szCs w:val="24"/>
              </w:rPr>
              <w:t>дисбалансу</w:t>
            </w:r>
            <w:r>
              <w:rPr>
                <w:rFonts w:ascii="Times New Roman" w:hAnsi="Times New Roman"/>
                <w:sz w:val="24"/>
                <w:szCs w:val="24"/>
              </w:rPr>
              <w:t xml:space="preserve"> между </w:t>
            </w:r>
            <w:proofErr w:type="spellStart"/>
            <w:r>
              <w:rPr>
                <w:rFonts w:ascii="Times New Roman" w:hAnsi="Times New Roman"/>
                <w:sz w:val="24"/>
                <w:szCs w:val="24"/>
              </w:rPr>
              <w:t>пруденциальной</w:t>
            </w:r>
            <w:proofErr w:type="spellEnd"/>
            <w:r>
              <w:rPr>
                <w:rFonts w:ascii="Times New Roman" w:hAnsi="Times New Roman"/>
                <w:sz w:val="24"/>
                <w:szCs w:val="24"/>
              </w:rPr>
              <w:t xml:space="preserve"> составляющей регулирования и целью развития банковского сектора, сложность требований, направленных на обеспечение финансовой устойчивости банков. В случаях, когда допустима дифференциация регулирования, в том числе среди банков с одним видом лицензии, например, универсальной, Банк России вводит различные по сложности и необходимым банкам ресурсам требования. </w:t>
            </w:r>
          </w:p>
          <w:p w:rsidR="00E56BB7" w:rsidRDefault="00E56BB7" w:rsidP="00296936">
            <w:pPr>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На </w:t>
            </w:r>
            <w:r w:rsidRPr="00473070">
              <w:rPr>
                <w:rFonts w:ascii="Times New Roman" w:hAnsi="Times New Roman" w:cs="Times New Roman"/>
                <w:sz w:val="24"/>
                <w:szCs w:val="24"/>
              </w:rPr>
              <w:t xml:space="preserve">основе принципа пропорционального регулирования </w:t>
            </w:r>
            <w:r>
              <w:rPr>
                <w:rFonts w:ascii="Times New Roman" w:hAnsi="Times New Roman" w:cs="Times New Roman"/>
                <w:sz w:val="24"/>
                <w:szCs w:val="24"/>
              </w:rPr>
              <w:t>д</w:t>
            </w:r>
            <w:r w:rsidRPr="00473070">
              <w:rPr>
                <w:rFonts w:ascii="Times New Roman" w:hAnsi="Times New Roman" w:cs="Times New Roman"/>
                <w:sz w:val="24"/>
                <w:szCs w:val="24"/>
              </w:rPr>
              <w:t xml:space="preserve">ифференциация требований </w:t>
            </w:r>
            <w:r>
              <w:rPr>
                <w:rFonts w:ascii="Times New Roman" w:hAnsi="Times New Roman" w:cs="Times New Roman"/>
                <w:sz w:val="24"/>
                <w:szCs w:val="24"/>
              </w:rPr>
              <w:t xml:space="preserve">предусмотрена не только </w:t>
            </w:r>
            <w:r w:rsidRPr="00473070">
              <w:rPr>
                <w:rFonts w:ascii="Times New Roman" w:hAnsi="Times New Roman" w:cs="Times New Roman"/>
                <w:sz w:val="24"/>
                <w:szCs w:val="24"/>
              </w:rPr>
              <w:t>между банками с универсальной и базовой лиц</w:t>
            </w:r>
            <w:r>
              <w:rPr>
                <w:rFonts w:ascii="Times New Roman" w:hAnsi="Times New Roman" w:cs="Times New Roman"/>
                <w:sz w:val="24"/>
                <w:szCs w:val="24"/>
              </w:rPr>
              <w:t>ензиями, но и среди</w:t>
            </w:r>
            <w:r w:rsidRPr="00473070">
              <w:rPr>
                <w:rFonts w:ascii="Times New Roman" w:hAnsi="Times New Roman" w:cs="Times New Roman"/>
                <w:sz w:val="24"/>
                <w:szCs w:val="24"/>
              </w:rPr>
              <w:t xml:space="preserve"> банков с универсальной лицензией</w:t>
            </w:r>
            <w:r>
              <w:rPr>
                <w:rFonts w:ascii="Times New Roman" w:hAnsi="Times New Roman" w:cs="Times New Roman"/>
                <w:sz w:val="24"/>
                <w:szCs w:val="24"/>
              </w:rPr>
              <w:t>.</w:t>
            </w:r>
          </w:p>
          <w:p w:rsidR="00E56BB7" w:rsidRDefault="00E56BB7" w:rsidP="00296936">
            <w:pPr>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 частности, в рамках реализации внутренних процедур оценки достаточности капитала (ВПОДК), </w:t>
            </w:r>
            <w:r w:rsidRPr="00473070">
              <w:rPr>
                <w:rFonts w:ascii="Times New Roman" w:hAnsi="Times New Roman" w:cs="Times New Roman"/>
                <w:sz w:val="24"/>
                <w:szCs w:val="24"/>
              </w:rPr>
              <w:t>требовани</w:t>
            </w:r>
            <w:r>
              <w:rPr>
                <w:rFonts w:ascii="Times New Roman" w:hAnsi="Times New Roman" w:cs="Times New Roman"/>
                <w:sz w:val="24"/>
                <w:szCs w:val="24"/>
              </w:rPr>
              <w:t>й</w:t>
            </w:r>
            <w:r w:rsidRPr="00473070">
              <w:rPr>
                <w:rFonts w:ascii="Times New Roman" w:hAnsi="Times New Roman" w:cs="Times New Roman"/>
                <w:sz w:val="24"/>
                <w:szCs w:val="24"/>
              </w:rPr>
              <w:t xml:space="preserve"> к системе управления операционным риском, </w:t>
            </w:r>
            <w:r>
              <w:rPr>
                <w:rFonts w:ascii="Times New Roman" w:hAnsi="Times New Roman" w:cs="Times New Roman"/>
                <w:sz w:val="24"/>
                <w:szCs w:val="24"/>
              </w:rPr>
              <w:t xml:space="preserve">для банков </w:t>
            </w:r>
            <w:r w:rsidRPr="00473070">
              <w:rPr>
                <w:rFonts w:ascii="Times New Roman" w:hAnsi="Times New Roman" w:cs="Times New Roman"/>
                <w:sz w:val="24"/>
                <w:szCs w:val="24"/>
              </w:rPr>
              <w:t xml:space="preserve">размер активов которых составляет </w:t>
            </w:r>
            <w:r>
              <w:rPr>
                <w:rFonts w:ascii="Times New Roman" w:hAnsi="Times New Roman" w:cs="Times New Roman"/>
                <w:sz w:val="24"/>
                <w:szCs w:val="24"/>
              </w:rPr>
              <w:br/>
            </w:r>
            <w:r w:rsidRPr="00473070">
              <w:rPr>
                <w:rFonts w:ascii="Times New Roman" w:hAnsi="Times New Roman" w:cs="Times New Roman"/>
                <w:sz w:val="24"/>
                <w:szCs w:val="24"/>
              </w:rPr>
              <w:t>500 млрд. руб. и более</w:t>
            </w:r>
            <w:r>
              <w:rPr>
                <w:rFonts w:ascii="Times New Roman" w:hAnsi="Times New Roman" w:cs="Times New Roman"/>
                <w:sz w:val="24"/>
                <w:szCs w:val="24"/>
              </w:rPr>
              <w:t xml:space="preserve">, предусмотрены повышенные требования (например, </w:t>
            </w:r>
            <w:r>
              <w:rPr>
                <w:rFonts w:ascii="Times New Roman" w:hAnsi="Times New Roman" w:cs="Times New Roman"/>
                <w:sz w:val="24"/>
                <w:szCs w:val="24"/>
              </w:rPr>
              <w:lastRenderedPageBreak/>
              <w:t>такие банки обязаны использовать более широкий, чем установленный Банком России набор методов оценки рисков и достаточности капитала, применяемых в рамках ВПОДК, а также</w:t>
            </w:r>
            <w:r w:rsidRPr="00473070">
              <w:rPr>
                <w:rFonts w:ascii="Times New Roman" w:hAnsi="Times New Roman" w:cs="Times New Roman"/>
                <w:sz w:val="24"/>
                <w:szCs w:val="24"/>
              </w:rPr>
              <w:t xml:space="preserve"> рассчитывать размер операционного риска для целей включения в нормативы достаточности капитала с применением расчетного коэффициента внутренних потерь</w:t>
            </w:r>
            <w:r>
              <w:rPr>
                <w:rFonts w:ascii="Times New Roman" w:hAnsi="Times New Roman" w:cs="Times New Roman"/>
                <w:sz w:val="24"/>
                <w:szCs w:val="24"/>
              </w:rPr>
              <w:t>).</w:t>
            </w:r>
          </w:p>
          <w:p w:rsidR="00E56BB7" w:rsidRPr="00F82E46" w:rsidRDefault="00E56BB7" w:rsidP="00296936">
            <w:pPr>
              <w:autoSpaceDE w:val="0"/>
              <w:autoSpaceDN w:val="0"/>
              <w:adjustRightInd w:val="0"/>
              <w:spacing w:after="0" w:line="240" w:lineRule="auto"/>
              <w:ind w:firstLine="317"/>
              <w:jc w:val="both"/>
              <w:rPr>
                <w:rFonts w:ascii="Times New Roman" w:hAnsi="Times New Roman" w:cs="Times New Roman"/>
                <w:sz w:val="10"/>
                <w:szCs w:val="10"/>
              </w:rPr>
            </w:pPr>
          </w:p>
          <w:p w:rsidR="00E56BB7" w:rsidRDefault="00E56BB7" w:rsidP="00296936">
            <w:pPr>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Принципу пропорциональности регулирования соответствует подход Банка России, при котором в отдельных случаях новое регулирование предполагает вариативность и, соответственно, добровольность выбора для приемлемого варианта (до введения его обязательного исполнения). </w:t>
            </w:r>
            <w:r w:rsidRPr="00C80117">
              <w:rPr>
                <w:rFonts w:ascii="Times New Roman" w:hAnsi="Times New Roman" w:cs="Times New Roman"/>
                <w:sz w:val="24"/>
                <w:szCs w:val="24"/>
              </w:rPr>
              <w:t xml:space="preserve">Так, например, в рамках регулирования расчета обязательных нормативов банкам с универсальной лицензией предоставлено право (а не обязанность) принять решение о применении </w:t>
            </w:r>
            <w:proofErr w:type="spellStart"/>
            <w:r w:rsidRPr="00C80117">
              <w:rPr>
                <w:rFonts w:ascii="Times New Roman" w:hAnsi="Times New Roman" w:cs="Times New Roman"/>
                <w:sz w:val="24"/>
                <w:szCs w:val="24"/>
              </w:rPr>
              <w:t>финализированного</w:t>
            </w:r>
            <w:proofErr w:type="spellEnd"/>
            <w:r w:rsidRPr="00C80117">
              <w:rPr>
                <w:rFonts w:ascii="Times New Roman" w:hAnsi="Times New Roman" w:cs="Times New Roman"/>
                <w:sz w:val="24"/>
                <w:szCs w:val="24"/>
              </w:rPr>
              <w:t xml:space="preserve"> подхода к расчету нормативов достаточности капитала банка.</w:t>
            </w:r>
            <w:r w:rsidRPr="00AF64F9">
              <w:rPr>
                <w:rFonts w:ascii="Times New Roman" w:hAnsi="Times New Roman" w:cs="Times New Roman"/>
                <w:sz w:val="24"/>
                <w:szCs w:val="24"/>
              </w:rPr>
              <w:t xml:space="preserve"> </w:t>
            </w:r>
            <w:r>
              <w:rPr>
                <w:rFonts w:ascii="Times New Roman" w:hAnsi="Times New Roman" w:cs="Times New Roman"/>
                <w:sz w:val="24"/>
                <w:szCs w:val="24"/>
              </w:rPr>
              <w:t>Решение об обязательном применении будет принято на основании комплексного анализа готовности банков к внедрению данного подхода.</w:t>
            </w:r>
          </w:p>
          <w:p w:rsidR="00E56BB7" w:rsidRDefault="00E56BB7" w:rsidP="00296936">
            <w:pPr>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 дальнейшем Банк России планирует продолжить придерживаться принципа пропорциональности при внедрении новых и сложных стандартов, например, в рамках оценки процентного риска по банковскому портфелю, нового стандарта по регулированию рыночного риска и т.д.</w:t>
            </w:r>
          </w:p>
          <w:p w:rsidR="00E56BB7" w:rsidRPr="00F82E46" w:rsidRDefault="00E56BB7" w:rsidP="00296936">
            <w:pPr>
              <w:autoSpaceDE w:val="0"/>
              <w:autoSpaceDN w:val="0"/>
              <w:adjustRightInd w:val="0"/>
              <w:spacing w:after="0" w:line="240" w:lineRule="auto"/>
              <w:ind w:firstLine="317"/>
              <w:jc w:val="both"/>
              <w:rPr>
                <w:rFonts w:ascii="Times New Roman" w:hAnsi="Times New Roman" w:cs="Times New Roman"/>
                <w:sz w:val="10"/>
                <w:szCs w:val="10"/>
              </w:rPr>
            </w:pPr>
          </w:p>
          <w:p w:rsidR="00E56BB7" w:rsidRDefault="00E56BB7" w:rsidP="00296936">
            <w:pPr>
              <w:pStyle w:val="aa"/>
              <w:ind w:firstLine="317"/>
              <w:jc w:val="both"/>
              <w:rPr>
                <w:rFonts w:ascii="Times New Roman" w:hAnsi="Times New Roman"/>
                <w:sz w:val="24"/>
                <w:szCs w:val="24"/>
              </w:rPr>
            </w:pPr>
            <w:r>
              <w:rPr>
                <w:rFonts w:ascii="Times New Roman" w:hAnsi="Times New Roman"/>
                <w:sz w:val="24"/>
                <w:szCs w:val="24"/>
              </w:rPr>
              <w:t xml:space="preserve">Вопрос оптимизации регулятивной нагрузки на банки прорабатывается в Банке России. </w:t>
            </w:r>
            <w:r w:rsidR="00E7164A">
              <w:rPr>
                <w:rFonts w:ascii="Times New Roman" w:hAnsi="Times New Roman"/>
                <w:sz w:val="24"/>
                <w:szCs w:val="24"/>
              </w:rPr>
              <w:t>В</w:t>
            </w:r>
            <w:r>
              <w:rPr>
                <w:rFonts w:ascii="Times New Roman" w:hAnsi="Times New Roman"/>
                <w:sz w:val="24"/>
                <w:szCs w:val="24"/>
              </w:rPr>
              <w:t xml:space="preserve"> </w:t>
            </w:r>
            <w:r w:rsidRPr="0019446E">
              <w:rPr>
                <w:rFonts w:ascii="Times New Roman" w:hAnsi="Times New Roman"/>
                <w:sz w:val="24"/>
                <w:szCs w:val="24"/>
              </w:rPr>
              <w:t xml:space="preserve">Банке России на постоянной основе </w:t>
            </w:r>
            <w:r>
              <w:rPr>
                <w:rFonts w:ascii="Times New Roman" w:hAnsi="Times New Roman"/>
                <w:sz w:val="24"/>
                <w:szCs w:val="24"/>
              </w:rPr>
              <w:t>действуют Рабочая группа</w:t>
            </w:r>
            <w:r w:rsidRPr="0019446E">
              <w:rPr>
                <w:rFonts w:ascii="Times New Roman" w:hAnsi="Times New Roman"/>
                <w:sz w:val="24"/>
                <w:szCs w:val="24"/>
              </w:rPr>
              <w:t xml:space="preserve"> по вопросам развития статистической работы в Банке России и оптимизации отчетности и Рабоч</w:t>
            </w:r>
            <w:r>
              <w:rPr>
                <w:rFonts w:ascii="Times New Roman" w:hAnsi="Times New Roman"/>
                <w:sz w:val="24"/>
                <w:szCs w:val="24"/>
              </w:rPr>
              <w:t>ая</w:t>
            </w:r>
            <w:r w:rsidRPr="0019446E">
              <w:rPr>
                <w:rFonts w:ascii="Times New Roman" w:hAnsi="Times New Roman"/>
                <w:sz w:val="24"/>
                <w:szCs w:val="24"/>
              </w:rPr>
              <w:t xml:space="preserve"> групп</w:t>
            </w:r>
            <w:r>
              <w:rPr>
                <w:rFonts w:ascii="Times New Roman" w:hAnsi="Times New Roman"/>
                <w:sz w:val="24"/>
                <w:szCs w:val="24"/>
              </w:rPr>
              <w:t>а</w:t>
            </w:r>
            <w:r w:rsidRPr="0019446E">
              <w:rPr>
                <w:rFonts w:ascii="Times New Roman" w:hAnsi="Times New Roman"/>
                <w:sz w:val="24"/>
                <w:szCs w:val="24"/>
              </w:rPr>
              <w:t xml:space="preserve"> по оптимизации регуляторной нагрузки на участников финансового рынка</w:t>
            </w:r>
            <w:r>
              <w:rPr>
                <w:rFonts w:ascii="Times New Roman" w:hAnsi="Times New Roman"/>
                <w:sz w:val="24"/>
                <w:szCs w:val="24"/>
              </w:rPr>
              <w:t>. В повестке:</w:t>
            </w:r>
          </w:p>
          <w:p w:rsidR="00E56BB7" w:rsidRPr="002E6022" w:rsidRDefault="00E56BB7" w:rsidP="00296936">
            <w:pPr>
              <w:pStyle w:val="aa"/>
              <w:ind w:firstLine="317"/>
              <w:jc w:val="both"/>
              <w:rPr>
                <w:rFonts w:ascii="Times New Roman" w:hAnsi="Times New Roman"/>
                <w:sz w:val="24"/>
                <w:szCs w:val="24"/>
              </w:rPr>
            </w:pPr>
            <w:r w:rsidRPr="002E6022">
              <w:rPr>
                <w:rFonts w:ascii="Times New Roman" w:hAnsi="Times New Roman"/>
                <w:sz w:val="24"/>
                <w:szCs w:val="24"/>
              </w:rPr>
              <w:t>•</w:t>
            </w:r>
            <w:r w:rsidRPr="002E6022">
              <w:rPr>
                <w:rFonts w:ascii="Times New Roman" w:hAnsi="Times New Roman"/>
                <w:sz w:val="24"/>
                <w:szCs w:val="24"/>
              </w:rPr>
              <w:tab/>
              <w:t>верификация норм действующего регулирования в части исключения норм, создающих неоправданную нагрузку при составлении отчетности кредитных организаций (</w:t>
            </w:r>
            <w:r>
              <w:rPr>
                <w:rFonts w:ascii="Times New Roman" w:hAnsi="Times New Roman"/>
                <w:sz w:val="24"/>
                <w:szCs w:val="24"/>
              </w:rPr>
              <w:t>«</w:t>
            </w:r>
            <w:r w:rsidRPr="002E6022">
              <w:rPr>
                <w:rFonts w:ascii="Times New Roman" w:hAnsi="Times New Roman"/>
                <w:sz w:val="24"/>
                <w:szCs w:val="24"/>
              </w:rPr>
              <w:t>регулятивная гильотина</w:t>
            </w:r>
            <w:r>
              <w:rPr>
                <w:rFonts w:ascii="Times New Roman" w:hAnsi="Times New Roman"/>
                <w:sz w:val="24"/>
                <w:szCs w:val="24"/>
              </w:rPr>
              <w:t>»</w:t>
            </w:r>
            <w:r w:rsidRPr="002E6022">
              <w:rPr>
                <w:rFonts w:ascii="Times New Roman" w:hAnsi="Times New Roman"/>
                <w:sz w:val="24"/>
                <w:szCs w:val="24"/>
              </w:rPr>
              <w:t>);</w:t>
            </w:r>
          </w:p>
          <w:p w:rsidR="00E56BB7" w:rsidRPr="002E6022" w:rsidRDefault="00E56BB7" w:rsidP="00296936">
            <w:pPr>
              <w:pStyle w:val="aa"/>
              <w:ind w:firstLine="317"/>
              <w:jc w:val="both"/>
              <w:rPr>
                <w:rFonts w:ascii="Times New Roman" w:hAnsi="Times New Roman"/>
                <w:sz w:val="24"/>
                <w:szCs w:val="24"/>
              </w:rPr>
            </w:pPr>
            <w:r w:rsidRPr="002E6022">
              <w:rPr>
                <w:rFonts w:ascii="Times New Roman" w:hAnsi="Times New Roman"/>
                <w:sz w:val="24"/>
                <w:szCs w:val="24"/>
              </w:rPr>
              <w:t>•</w:t>
            </w:r>
            <w:r w:rsidRPr="002E6022">
              <w:rPr>
                <w:rFonts w:ascii="Times New Roman" w:hAnsi="Times New Roman"/>
                <w:sz w:val="24"/>
                <w:szCs w:val="24"/>
              </w:rPr>
              <w:tab/>
              <w:t>проработка вопросов, связанных с увеличением срока представления отдельных форм отчетности;</w:t>
            </w:r>
          </w:p>
          <w:p w:rsidR="00E56BB7" w:rsidRPr="002E6022" w:rsidRDefault="00E56BB7" w:rsidP="00296936">
            <w:pPr>
              <w:pStyle w:val="aa"/>
              <w:ind w:firstLine="317"/>
              <w:jc w:val="both"/>
              <w:rPr>
                <w:rFonts w:ascii="Times New Roman" w:hAnsi="Times New Roman"/>
                <w:sz w:val="24"/>
                <w:szCs w:val="24"/>
              </w:rPr>
            </w:pPr>
            <w:r w:rsidRPr="002E6022">
              <w:rPr>
                <w:rFonts w:ascii="Times New Roman" w:hAnsi="Times New Roman"/>
                <w:sz w:val="24"/>
                <w:szCs w:val="24"/>
              </w:rPr>
              <w:lastRenderedPageBreak/>
              <w:t>•</w:t>
            </w:r>
            <w:r w:rsidRPr="002E6022">
              <w:rPr>
                <w:rFonts w:ascii="Times New Roman" w:hAnsi="Times New Roman"/>
                <w:sz w:val="24"/>
                <w:szCs w:val="24"/>
              </w:rPr>
              <w:tab/>
              <w:t>объединение отдельных форм отчетности, содержащих идентичные показатели;</w:t>
            </w:r>
          </w:p>
          <w:p w:rsidR="00E56BB7" w:rsidRDefault="00E56BB7" w:rsidP="00296936">
            <w:pPr>
              <w:pStyle w:val="aa"/>
              <w:ind w:firstLine="317"/>
              <w:jc w:val="both"/>
              <w:rPr>
                <w:rFonts w:ascii="Times New Roman" w:hAnsi="Times New Roman"/>
                <w:sz w:val="24"/>
                <w:szCs w:val="24"/>
              </w:rPr>
            </w:pPr>
            <w:r w:rsidRPr="002E6022">
              <w:rPr>
                <w:rFonts w:ascii="Times New Roman" w:hAnsi="Times New Roman"/>
                <w:sz w:val="24"/>
                <w:szCs w:val="24"/>
              </w:rPr>
              <w:t>•</w:t>
            </w:r>
            <w:r w:rsidRPr="002E6022">
              <w:rPr>
                <w:rFonts w:ascii="Times New Roman" w:hAnsi="Times New Roman"/>
                <w:sz w:val="24"/>
                <w:szCs w:val="24"/>
              </w:rPr>
              <w:tab/>
              <w:t>отмена невостребованных Банком России форм отчетности (отдельных показателей из форм отчетности).</w:t>
            </w:r>
          </w:p>
          <w:p w:rsidR="00E56BB7" w:rsidRPr="00F82E46" w:rsidRDefault="00E56BB7" w:rsidP="00296936">
            <w:pPr>
              <w:pStyle w:val="aa"/>
              <w:ind w:firstLine="317"/>
              <w:jc w:val="both"/>
              <w:rPr>
                <w:rFonts w:ascii="Times New Roman" w:hAnsi="Times New Roman"/>
                <w:sz w:val="10"/>
                <w:szCs w:val="10"/>
              </w:rPr>
            </w:pPr>
          </w:p>
          <w:p w:rsidR="00E56BB7" w:rsidRDefault="00E56BB7" w:rsidP="00A67B8C">
            <w:pPr>
              <w:pStyle w:val="aa"/>
              <w:ind w:firstLine="317"/>
              <w:jc w:val="both"/>
              <w:rPr>
                <w:rFonts w:ascii="Times New Roman" w:hAnsi="Times New Roman"/>
                <w:sz w:val="24"/>
                <w:szCs w:val="24"/>
              </w:rPr>
            </w:pPr>
            <w:r>
              <w:rPr>
                <w:rFonts w:ascii="Times New Roman" w:hAnsi="Times New Roman"/>
                <w:sz w:val="24"/>
                <w:szCs w:val="24"/>
              </w:rPr>
              <w:t>Банком России подготовлены законопроектные предложения, направленные на дальнейшее развитие пропорционального регулирования (направлены на рассмотрение в Минфин России</w:t>
            </w:r>
            <w:r w:rsidR="000C590F">
              <w:rPr>
                <w:rFonts w:ascii="Times New Roman" w:hAnsi="Times New Roman"/>
                <w:sz w:val="24"/>
                <w:szCs w:val="24"/>
              </w:rPr>
              <w:t xml:space="preserve"> письмом</w:t>
            </w:r>
            <w:r>
              <w:rPr>
                <w:rFonts w:ascii="Times New Roman" w:hAnsi="Times New Roman"/>
                <w:sz w:val="24"/>
                <w:szCs w:val="24"/>
              </w:rPr>
              <w:t xml:space="preserve"> от 04.02.2021 </w:t>
            </w:r>
            <w:r w:rsidR="00123D06">
              <w:rPr>
                <w:rFonts w:ascii="Times New Roman" w:hAnsi="Times New Roman"/>
                <w:sz w:val="24"/>
                <w:szCs w:val="24"/>
              </w:rPr>
              <w:br/>
            </w:r>
            <w:r>
              <w:rPr>
                <w:rFonts w:ascii="Times New Roman" w:hAnsi="Times New Roman"/>
                <w:sz w:val="24"/>
                <w:szCs w:val="24"/>
              </w:rPr>
              <w:t xml:space="preserve">№ 03-41-2/921). </w:t>
            </w:r>
            <w:r w:rsidR="00785B29" w:rsidRPr="00785B29">
              <w:rPr>
                <w:rFonts w:ascii="Times New Roman" w:hAnsi="Times New Roman"/>
                <w:sz w:val="24"/>
                <w:szCs w:val="24"/>
              </w:rPr>
              <w:t>Указанные предложения предусматривают у</w:t>
            </w:r>
            <w:r w:rsidR="00785B29" w:rsidRPr="00785B29">
              <w:rPr>
                <w:rFonts w:ascii="Times New Roman" w:hAnsi="Times New Roman"/>
                <w:bCs/>
                <w:sz w:val="24"/>
                <w:szCs w:val="24"/>
              </w:rPr>
              <w:t>прощение и совершенствование подходов к регулированию небольших кредитных организаций с учетом характера их деятельности и уровн</w:t>
            </w:r>
            <w:r w:rsidR="00A67B8C">
              <w:rPr>
                <w:rFonts w:ascii="Times New Roman" w:hAnsi="Times New Roman"/>
                <w:bCs/>
                <w:sz w:val="24"/>
                <w:szCs w:val="24"/>
              </w:rPr>
              <w:t>я</w:t>
            </w:r>
            <w:r w:rsidR="00785B29" w:rsidRPr="00785B29">
              <w:rPr>
                <w:rFonts w:ascii="Times New Roman" w:hAnsi="Times New Roman"/>
                <w:bCs/>
                <w:sz w:val="24"/>
                <w:szCs w:val="24"/>
              </w:rPr>
              <w:t xml:space="preserve"> принимаемого риска.</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lastRenderedPageBreak/>
              <w:t>24</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Остается актуальной тема подходов, применяемых при осуществлении проверок деятельности клиентов со стороны надзорных органов, в результате которых небольшие региональные банки теряют клиентов: например, один и тот же клиент имеет открытые расчетные счета в федеральном банке и в банке регионального значения. В отношении этого клиента проводится проверка только по счету, открытому в региональном банке, и запрашивается большой объем документов для проверки. По расчетному счету, открытому в федеральном банке, проверка не проводится, документы по операциям не запрашиваются, в связи с чем, клиент принимает решение о закрытии счета в региональном банке.</w:t>
            </w:r>
          </w:p>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В итоге, наблюдается отток клиентов из небольших банков в крупные банки, где они продолжают проводить операции по своим счетам без осуществления какой-то дополнительной проверки</w:t>
            </w:r>
          </w:p>
        </w:tc>
        <w:tc>
          <w:tcPr>
            <w:tcW w:w="7938" w:type="dxa"/>
          </w:tcPr>
          <w:p w:rsidR="00E56BB7" w:rsidRPr="008145F9" w:rsidRDefault="00E56BB7" w:rsidP="00296936">
            <w:pPr>
              <w:tabs>
                <w:tab w:val="left" w:pos="567"/>
                <w:tab w:val="left" w:pos="1134"/>
              </w:tabs>
              <w:spacing w:after="0" w:line="240" w:lineRule="auto"/>
              <w:ind w:firstLine="317"/>
              <w:jc w:val="both"/>
              <w:rPr>
                <w:rFonts w:ascii="Times New Roman" w:hAnsi="Times New Roman" w:cs="Times New Roman"/>
                <w:sz w:val="24"/>
                <w:szCs w:val="24"/>
              </w:rPr>
            </w:pPr>
            <w:r w:rsidRPr="00950C13">
              <w:rPr>
                <w:rFonts w:ascii="Times New Roman" w:hAnsi="Times New Roman" w:cs="Times New Roman"/>
                <w:sz w:val="24"/>
                <w:szCs w:val="24"/>
              </w:rPr>
              <w:t xml:space="preserve">При анализе деятельности клиента кредитной организации надзорные органы исходят из особенностей </w:t>
            </w:r>
            <w:r>
              <w:rPr>
                <w:rFonts w:ascii="Times New Roman" w:hAnsi="Times New Roman" w:cs="Times New Roman"/>
                <w:sz w:val="24"/>
                <w:szCs w:val="24"/>
              </w:rPr>
              <w:t xml:space="preserve">его </w:t>
            </w:r>
            <w:r w:rsidRPr="00950C13">
              <w:rPr>
                <w:rFonts w:ascii="Times New Roman" w:hAnsi="Times New Roman" w:cs="Times New Roman"/>
                <w:sz w:val="24"/>
                <w:szCs w:val="24"/>
              </w:rPr>
              <w:t>деятельности, а также степени (уровня) риска проводимых клиентами операций.</w:t>
            </w:r>
            <w:r>
              <w:rPr>
                <w:rFonts w:ascii="Times New Roman" w:hAnsi="Times New Roman" w:cs="Times New Roman"/>
                <w:sz w:val="24"/>
                <w:szCs w:val="24"/>
              </w:rPr>
              <w:t xml:space="preserve"> Отмечаем, что характер проводимых операций и сделок клиентом в разных банках может быть различным. Кроме того, кредитная организация (независимо от масштабов и специфики ее деятельности) должна быть заинтересована в получении всех необходимых документов и пояснений по осуществляемым операциям и сделкам в рамках принципа «Знай своего клиента». </w:t>
            </w:r>
          </w:p>
        </w:tc>
      </w:tr>
      <w:tr w:rsidR="00E56BB7" w:rsidRPr="008145F9" w:rsidTr="00296936">
        <w:tc>
          <w:tcPr>
            <w:tcW w:w="801" w:type="dxa"/>
          </w:tcPr>
          <w:p w:rsidR="00E56BB7" w:rsidRPr="008145F9" w:rsidRDefault="00E56BB7" w:rsidP="00296936">
            <w:pPr>
              <w:spacing w:after="0" w:line="240" w:lineRule="auto"/>
              <w:jc w:val="center"/>
              <w:rPr>
                <w:rFonts w:ascii="Times New Roman" w:hAnsi="Times New Roman" w:cs="Times New Roman"/>
                <w:sz w:val="24"/>
                <w:szCs w:val="24"/>
              </w:rPr>
            </w:pPr>
            <w:r w:rsidRPr="008145F9">
              <w:rPr>
                <w:rFonts w:ascii="Times New Roman" w:hAnsi="Times New Roman" w:cs="Times New Roman"/>
                <w:sz w:val="24"/>
                <w:szCs w:val="24"/>
              </w:rPr>
              <w:t>25</w:t>
            </w:r>
          </w:p>
        </w:tc>
        <w:tc>
          <w:tcPr>
            <w:tcW w:w="6424" w:type="dxa"/>
          </w:tcPr>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 xml:space="preserve">Просим осветить перспективы изменения ставок страховых взносов в </w:t>
            </w:r>
            <w:r w:rsidR="000C590F">
              <w:rPr>
                <w:rFonts w:ascii="Times New Roman" w:eastAsia="Calibri" w:hAnsi="Times New Roman" w:cs="Times New Roman"/>
                <w:sz w:val="24"/>
                <w:szCs w:val="24"/>
                <w:lang w:bidi="ru-RU"/>
              </w:rPr>
              <w:t>Агентство</w:t>
            </w:r>
            <w:r w:rsidR="000C590F">
              <w:rPr>
                <w:rStyle w:val="a6"/>
                <w:rFonts w:ascii="Times New Roman" w:eastAsia="Calibri" w:hAnsi="Times New Roman" w:cs="Times New Roman"/>
                <w:sz w:val="24"/>
                <w:szCs w:val="24"/>
                <w:lang w:bidi="ru-RU"/>
              </w:rPr>
              <w:footnoteReference w:id="15"/>
            </w:r>
            <w:r w:rsidRPr="008145F9">
              <w:rPr>
                <w:rFonts w:ascii="Times New Roman" w:eastAsia="Calibri" w:hAnsi="Times New Roman" w:cs="Times New Roman"/>
                <w:sz w:val="24"/>
                <w:szCs w:val="24"/>
                <w:lang w:bidi="ru-RU"/>
              </w:rPr>
              <w:t xml:space="preserve">, гарантированных сумм, </w:t>
            </w:r>
            <w:r w:rsidRPr="008145F9">
              <w:rPr>
                <w:rFonts w:ascii="Times New Roman" w:eastAsia="Calibri" w:hAnsi="Times New Roman" w:cs="Times New Roman"/>
                <w:sz w:val="24"/>
                <w:szCs w:val="24"/>
                <w:lang w:bidi="ru-RU"/>
              </w:rPr>
              <w:lastRenderedPageBreak/>
              <w:t xml:space="preserve">расширения категорий лиц, чьи средства страхуются, в 2021 году. </w:t>
            </w:r>
          </w:p>
          <w:p w:rsidR="00E56BB7" w:rsidRPr="008145F9" w:rsidRDefault="00E56BB7" w:rsidP="00296936">
            <w:pPr>
              <w:widowControl w:val="0"/>
              <w:tabs>
                <w:tab w:val="left" w:pos="993"/>
              </w:tabs>
              <w:spacing w:after="0" w:line="240" w:lineRule="auto"/>
              <w:ind w:firstLine="362"/>
              <w:contextualSpacing/>
              <w:jc w:val="both"/>
              <w:rPr>
                <w:rFonts w:ascii="Times New Roman" w:eastAsia="Calibri" w:hAnsi="Times New Roman" w:cs="Times New Roman"/>
                <w:sz w:val="24"/>
                <w:szCs w:val="24"/>
                <w:lang w:bidi="ru-RU"/>
              </w:rPr>
            </w:pPr>
            <w:r w:rsidRPr="008145F9">
              <w:rPr>
                <w:rFonts w:ascii="Times New Roman" w:eastAsia="Calibri" w:hAnsi="Times New Roman" w:cs="Times New Roman"/>
                <w:sz w:val="24"/>
                <w:szCs w:val="24"/>
                <w:lang w:bidi="ru-RU"/>
              </w:rPr>
              <w:t xml:space="preserve">Возможно ли смягчение формулировки в Указании </w:t>
            </w:r>
            <w:r w:rsidR="00123D06">
              <w:rPr>
                <w:rFonts w:ascii="Times New Roman" w:eastAsia="Calibri" w:hAnsi="Times New Roman" w:cs="Times New Roman"/>
                <w:sz w:val="24"/>
                <w:szCs w:val="24"/>
                <w:lang w:bidi="ru-RU"/>
              </w:rPr>
              <w:t>№</w:t>
            </w:r>
            <w:r w:rsidRPr="008145F9">
              <w:rPr>
                <w:rFonts w:ascii="Times New Roman" w:eastAsia="Calibri" w:hAnsi="Times New Roman" w:cs="Times New Roman"/>
                <w:sz w:val="24"/>
                <w:szCs w:val="24"/>
                <w:lang w:bidi="ru-RU"/>
              </w:rPr>
              <w:t>3801-У</w:t>
            </w:r>
            <w:r w:rsidRPr="008145F9">
              <w:rPr>
                <w:rStyle w:val="a6"/>
                <w:rFonts w:ascii="Times New Roman" w:eastAsia="Calibri" w:hAnsi="Times New Roman" w:cs="Times New Roman"/>
                <w:sz w:val="24"/>
                <w:szCs w:val="24"/>
                <w:lang w:bidi="ru-RU"/>
              </w:rPr>
              <w:footnoteReference w:id="16"/>
            </w:r>
            <w:r w:rsidRPr="008145F9">
              <w:rPr>
                <w:rFonts w:ascii="Times New Roman" w:eastAsia="Calibri" w:hAnsi="Times New Roman" w:cs="Times New Roman"/>
                <w:sz w:val="24"/>
                <w:szCs w:val="24"/>
                <w:lang w:bidi="ru-RU"/>
              </w:rPr>
              <w:t>, поскольку сейчас наличие хотя бы одной меры в виде ограничения и (или) запрета является основанием для применения повышенной дополнительной ставки?</w:t>
            </w:r>
          </w:p>
        </w:tc>
        <w:tc>
          <w:tcPr>
            <w:tcW w:w="7938" w:type="dxa"/>
          </w:tcPr>
          <w:p w:rsidR="00E56BB7" w:rsidRPr="004A0AA0" w:rsidRDefault="00E56BB7" w:rsidP="00296936">
            <w:pPr>
              <w:spacing w:after="0" w:line="240" w:lineRule="auto"/>
              <w:ind w:firstLine="330"/>
              <w:jc w:val="both"/>
              <w:rPr>
                <w:rFonts w:ascii="Times New Roman" w:eastAsia="Calibri" w:hAnsi="Times New Roman" w:cs="Times New Roman"/>
                <w:sz w:val="24"/>
                <w:szCs w:val="24"/>
              </w:rPr>
            </w:pPr>
            <w:r w:rsidRPr="004A0AA0">
              <w:rPr>
                <w:rFonts w:ascii="Times New Roman" w:eastAsia="Calibri" w:hAnsi="Times New Roman" w:cs="Times New Roman"/>
                <w:sz w:val="24"/>
                <w:szCs w:val="24"/>
              </w:rPr>
              <w:lastRenderedPageBreak/>
              <w:t xml:space="preserve">После реализации изменений в Федеральный закон от 23.12.2003 </w:t>
            </w:r>
            <w:r w:rsidR="00123D06">
              <w:rPr>
                <w:rFonts w:ascii="Times New Roman" w:eastAsia="Calibri" w:hAnsi="Times New Roman" w:cs="Times New Roman"/>
                <w:sz w:val="24"/>
                <w:szCs w:val="24"/>
              </w:rPr>
              <w:br/>
            </w:r>
            <w:r w:rsidRPr="004A0AA0">
              <w:rPr>
                <w:rFonts w:ascii="Times New Roman" w:eastAsia="Calibri" w:hAnsi="Times New Roman" w:cs="Times New Roman"/>
                <w:sz w:val="24"/>
                <w:szCs w:val="24"/>
              </w:rPr>
              <w:t xml:space="preserve">№ 177-ФЗ «О страховании вкладов в банках Российской Федерации» в 2020 </w:t>
            </w:r>
            <w:r w:rsidRPr="004A0AA0">
              <w:rPr>
                <w:rFonts w:ascii="Times New Roman" w:eastAsia="Calibri" w:hAnsi="Times New Roman" w:cs="Times New Roman"/>
                <w:sz w:val="24"/>
                <w:szCs w:val="24"/>
              </w:rPr>
              <w:lastRenderedPageBreak/>
              <w:t>году, когда в периметр системы страхования вкладов (далее – ССВ) были включены отдельные виды некоммерческих организаций (в частности, товарищества собственников недвижимости, религиозные организации, благотворительные фонды), следующий этап реформирования, предусматривающий распространение ССВ на большинство юридических лиц, видится в среднесрочной перспективе.</w:t>
            </w:r>
          </w:p>
          <w:p w:rsidR="00E56BB7" w:rsidRPr="004A0AA0" w:rsidRDefault="00E56BB7" w:rsidP="00296936">
            <w:pPr>
              <w:spacing w:after="0" w:line="240" w:lineRule="auto"/>
              <w:ind w:firstLine="330"/>
              <w:jc w:val="both"/>
              <w:rPr>
                <w:rFonts w:ascii="Times New Roman" w:eastAsia="Calibri" w:hAnsi="Times New Roman" w:cs="Times New Roman"/>
                <w:sz w:val="24"/>
                <w:szCs w:val="24"/>
              </w:rPr>
            </w:pPr>
            <w:r w:rsidRPr="004A0AA0">
              <w:rPr>
                <w:rFonts w:ascii="Times New Roman" w:eastAsia="Calibri" w:hAnsi="Times New Roman" w:cs="Times New Roman"/>
                <w:sz w:val="24"/>
                <w:szCs w:val="24"/>
              </w:rPr>
              <w:t>Взгляд Банка России на развитие ССВ</w:t>
            </w:r>
            <w:r w:rsidRPr="004A0AA0">
              <w:rPr>
                <w:rFonts w:ascii="Times New Roman" w:eastAsia="Calibri" w:hAnsi="Times New Roman" w:cs="Times New Roman"/>
                <w:color w:val="1F497D"/>
                <w:sz w:val="24"/>
                <w:szCs w:val="24"/>
              </w:rPr>
              <w:t xml:space="preserve"> </w:t>
            </w:r>
            <w:r w:rsidRPr="004A0AA0">
              <w:rPr>
                <w:rFonts w:ascii="Times New Roman" w:eastAsia="Calibri" w:hAnsi="Times New Roman" w:cs="Times New Roman"/>
                <w:sz w:val="24"/>
                <w:szCs w:val="24"/>
              </w:rPr>
              <w:t>изложен в консультативном докладе Банка России «О совершенствовании системы обязательного страхования вкладов в бан</w:t>
            </w:r>
            <w:r>
              <w:rPr>
                <w:rFonts w:ascii="Times New Roman" w:eastAsia="Calibri" w:hAnsi="Times New Roman" w:cs="Times New Roman"/>
                <w:sz w:val="24"/>
                <w:szCs w:val="24"/>
              </w:rPr>
              <w:t>ках Российской Федерации»</w:t>
            </w:r>
            <w:r w:rsidRPr="004A0AA0">
              <w:rPr>
                <w:rFonts w:ascii="Times New Roman" w:eastAsia="Calibri" w:hAnsi="Times New Roman" w:cs="Times New Roman"/>
                <w:sz w:val="24"/>
                <w:szCs w:val="24"/>
              </w:rPr>
              <w:t xml:space="preserve"> (далее – доклад)</w:t>
            </w:r>
            <w:r>
              <w:rPr>
                <w:rStyle w:val="a6"/>
                <w:rFonts w:ascii="Times New Roman" w:eastAsia="Calibri" w:hAnsi="Times New Roman" w:cs="Times New Roman"/>
                <w:sz w:val="24"/>
                <w:szCs w:val="24"/>
              </w:rPr>
              <w:footnoteReference w:id="17"/>
            </w:r>
            <w:r w:rsidRPr="004A0AA0">
              <w:rPr>
                <w:rFonts w:ascii="Times New Roman" w:eastAsia="Calibri" w:hAnsi="Times New Roman" w:cs="Times New Roman"/>
                <w:sz w:val="24"/>
                <w:szCs w:val="24"/>
              </w:rPr>
              <w:t>.</w:t>
            </w:r>
          </w:p>
          <w:p w:rsidR="00E56BB7" w:rsidRPr="004A0AA0" w:rsidRDefault="00E56BB7" w:rsidP="00296936">
            <w:pPr>
              <w:spacing w:after="0" w:line="240" w:lineRule="auto"/>
              <w:ind w:firstLine="330"/>
              <w:jc w:val="both"/>
              <w:rPr>
                <w:rFonts w:ascii="Times New Roman" w:eastAsia="Calibri" w:hAnsi="Times New Roman" w:cs="Times New Roman"/>
                <w:sz w:val="24"/>
                <w:szCs w:val="24"/>
              </w:rPr>
            </w:pPr>
            <w:r w:rsidRPr="004A0AA0">
              <w:rPr>
                <w:rFonts w:ascii="Times New Roman" w:eastAsia="Calibri" w:hAnsi="Times New Roman" w:cs="Times New Roman"/>
                <w:sz w:val="24"/>
                <w:szCs w:val="24"/>
              </w:rPr>
              <w:t>В докладе предложено, в частности, рассмотреть вопрос о сохранении общего лимита страхового возмещения как для юридических, так и для физических лиц в размере 1,4 млн рублей. Указанное предложение было поддержано, в том числе банковским сообществом.</w:t>
            </w:r>
          </w:p>
          <w:p w:rsidR="00E56BB7" w:rsidRPr="004A0AA0" w:rsidRDefault="00E56BB7" w:rsidP="00296936">
            <w:pPr>
              <w:spacing w:after="0" w:line="240" w:lineRule="auto"/>
              <w:ind w:firstLine="330"/>
              <w:jc w:val="both"/>
              <w:rPr>
                <w:rFonts w:ascii="Times New Roman" w:eastAsia="Calibri" w:hAnsi="Times New Roman" w:cs="Times New Roman"/>
                <w:sz w:val="24"/>
                <w:szCs w:val="24"/>
              </w:rPr>
            </w:pPr>
            <w:r w:rsidRPr="004A0AA0">
              <w:rPr>
                <w:rFonts w:ascii="Times New Roman" w:eastAsia="Calibri" w:hAnsi="Times New Roman" w:cs="Times New Roman"/>
                <w:sz w:val="24"/>
                <w:szCs w:val="24"/>
              </w:rPr>
              <w:t xml:space="preserve">Рассмотрение вопроса о дальнейшем расширении периметра ССВ может потребовать пересмотра ставок страховых взносов для сохранения баланса интересов банков и </w:t>
            </w:r>
            <w:r w:rsidR="000C590F">
              <w:rPr>
                <w:rFonts w:ascii="Times New Roman" w:eastAsia="Calibri" w:hAnsi="Times New Roman" w:cs="Times New Roman"/>
                <w:sz w:val="24"/>
                <w:szCs w:val="24"/>
              </w:rPr>
              <w:t>Агентства</w:t>
            </w:r>
            <w:r w:rsidRPr="004A0AA0">
              <w:rPr>
                <w:rFonts w:ascii="Times New Roman" w:eastAsia="Calibri" w:hAnsi="Times New Roman" w:cs="Times New Roman"/>
                <w:sz w:val="24"/>
                <w:szCs w:val="24"/>
              </w:rPr>
              <w:t>. Оценка такого баланса и целесообразности пересмотра ставок входит в компетенцию Агентства.</w:t>
            </w:r>
          </w:p>
          <w:p w:rsidR="00E56BB7" w:rsidRPr="004A0AA0" w:rsidRDefault="00E56BB7" w:rsidP="00296936">
            <w:pPr>
              <w:spacing w:after="0" w:line="240" w:lineRule="auto"/>
              <w:ind w:firstLine="330"/>
              <w:jc w:val="both"/>
              <w:rPr>
                <w:rFonts w:ascii="Times New Roman" w:eastAsia="Calibri" w:hAnsi="Times New Roman" w:cs="Times New Roman"/>
                <w:sz w:val="24"/>
                <w:szCs w:val="24"/>
              </w:rPr>
            </w:pPr>
            <w:r w:rsidRPr="004A0AA0">
              <w:rPr>
                <w:rFonts w:ascii="Times New Roman" w:eastAsia="Calibri" w:hAnsi="Times New Roman" w:cs="Times New Roman"/>
                <w:sz w:val="24"/>
                <w:szCs w:val="24"/>
              </w:rPr>
              <w:t xml:space="preserve">В 2020 году в целях поддержания потенциала банков для кредитования экономики в связи с действиями системных факторов, обусловленных распространением новой </w:t>
            </w:r>
            <w:proofErr w:type="spellStart"/>
            <w:r w:rsidRPr="004A0AA0">
              <w:rPr>
                <w:rFonts w:ascii="Times New Roman" w:eastAsia="Calibri" w:hAnsi="Times New Roman" w:cs="Times New Roman"/>
                <w:sz w:val="24"/>
                <w:szCs w:val="24"/>
              </w:rPr>
              <w:t>коронавирусной</w:t>
            </w:r>
            <w:proofErr w:type="spellEnd"/>
            <w:r w:rsidRPr="004A0AA0">
              <w:rPr>
                <w:rFonts w:ascii="Times New Roman" w:eastAsia="Calibri" w:hAnsi="Times New Roman" w:cs="Times New Roman"/>
                <w:sz w:val="24"/>
                <w:szCs w:val="24"/>
              </w:rPr>
              <w:t xml:space="preserve"> инфекции, советом директоров Агентства 20.04.2020 и 27.05.2020 были приняты решения о снижении начиная с I квартала 2020 года отчислений в фонд обязательного стр</w:t>
            </w:r>
            <w:r>
              <w:rPr>
                <w:rFonts w:ascii="Times New Roman" w:eastAsia="Calibri" w:hAnsi="Times New Roman" w:cs="Times New Roman"/>
                <w:sz w:val="24"/>
                <w:szCs w:val="24"/>
              </w:rPr>
              <w:t>ахования вкладов (далее – ФОСВ)</w:t>
            </w:r>
            <w:r>
              <w:rPr>
                <w:rStyle w:val="a6"/>
                <w:rFonts w:ascii="Times New Roman" w:eastAsia="Calibri" w:hAnsi="Times New Roman" w:cs="Times New Roman"/>
                <w:sz w:val="24"/>
                <w:szCs w:val="24"/>
              </w:rPr>
              <w:footnoteReference w:id="18"/>
            </w:r>
            <w:r w:rsidRPr="004A0AA0">
              <w:rPr>
                <w:rFonts w:ascii="Times New Roman" w:eastAsia="Calibri" w:hAnsi="Times New Roman" w:cs="Times New Roman"/>
                <w:sz w:val="24"/>
                <w:szCs w:val="24"/>
              </w:rPr>
              <w:t>, что позволило снизить нагрузку на банки в сложный период.</w:t>
            </w:r>
          </w:p>
          <w:p w:rsidR="00E56BB7" w:rsidRPr="004A0AA0" w:rsidRDefault="00E56BB7" w:rsidP="00296936">
            <w:pPr>
              <w:spacing w:after="0" w:line="240" w:lineRule="auto"/>
              <w:ind w:firstLine="330"/>
              <w:jc w:val="both"/>
              <w:rPr>
                <w:rFonts w:ascii="Times New Roman" w:eastAsia="Calibri" w:hAnsi="Times New Roman" w:cs="Times New Roman"/>
                <w:sz w:val="24"/>
                <w:szCs w:val="24"/>
              </w:rPr>
            </w:pPr>
            <w:r w:rsidRPr="004A0AA0">
              <w:rPr>
                <w:rFonts w:ascii="Times New Roman" w:eastAsia="Calibri" w:hAnsi="Times New Roman" w:cs="Times New Roman"/>
                <w:sz w:val="24"/>
                <w:szCs w:val="24"/>
              </w:rPr>
              <w:lastRenderedPageBreak/>
              <w:t xml:space="preserve">На заседании совета директоров Агентства 22.12.2020 было принято решение сохранить сниженный размер ставок страховых взносов для применения в I и II кварталах 2021 года. </w:t>
            </w:r>
          </w:p>
          <w:p w:rsidR="00E56BB7" w:rsidRPr="004A0AA0" w:rsidRDefault="00E56BB7" w:rsidP="00296936">
            <w:pPr>
              <w:spacing w:after="0" w:line="240" w:lineRule="auto"/>
              <w:ind w:firstLine="330"/>
              <w:jc w:val="both"/>
              <w:rPr>
                <w:rFonts w:ascii="Times New Roman" w:eastAsia="Calibri" w:hAnsi="Times New Roman" w:cs="Times New Roman"/>
                <w:sz w:val="24"/>
                <w:szCs w:val="24"/>
              </w:rPr>
            </w:pPr>
            <w:r w:rsidRPr="004A0AA0">
              <w:rPr>
                <w:rFonts w:ascii="Times New Roman" w:eastAsia="Calibri" w:hAnsi="Times New Roman" w:cs="Times New Roman"/>
                <w:sz w:val="24"/>
                <w:szCs w:val="24"/>
              </w:rPr>
              <w:t xml:space="preserve">При рассмотрении вопроса о дальнейшем уровне отчислений в ФОСВ представляется целесообразным учитывать необходимость обеспечения самодостаточности ФОСВ с учетом прогнозных выплат вкладчикам (в настоящее время у Агентства остается задолженность по кредиту Банка России). </w:t>
            </w:r>
          </w:p>
          <w:p w:rsidR="00E56BB7" w:rsidRPr="004A0AA0" w:rsidRDefault="00E56BB7" w:rsidP="00296936">
            <w:pPr>
              <w:spacing w:after="0" w:line="240" w:lineRule="auto"/>
              <w:ind w:firstLine="330"/>
              <w:jc w:val="both"/>
              <w:rPr>
                <w:rFonts w:ascii="Calibri" w:eastAsia="Calibri" w:hAnsi="Calibri" w:cs="Calibri"/>
              </w:rPr>
            </w:pPr>
            <w:r w:rsidRPr="004A0AA0">
              <w:rPr>
                <w:rFonts w:ascii="Times New Roman" w:eastAsia="Calibri" w:hAnsi="Times New Roman" w:cs="Times New Roman"/>
                <w:sz w:val="24"/>
                <w:szCs w:val="24"/>
              </w:rPr>
              <w:t>По имеющейся информации, вопрос о дальнейшем изменении ставок страховых взносов, уплачиваемых банками в ФОСВ, будет рассмотрен советом директоров Агентства до конца первого полугодия 2021 года</w:t>
            </w:r>
            <w:r w:rsidRPr="004A0AA0">
              <w:rPr>
                <w:rFonts w:ascii="Calibri" w:eastAsia="Calibri" w:hAnsi="Calibri" w:cs="Calibri"/>
              </w:rPr>
              <w:t>.</w:t>
            </w:r>
          </w:p>
          <w:p w:rsidR="00E56BB7" w:rsidRPr="00F82E46" w:rsidRDefault="00E56BB7" w:rsidP="00296936">
            <w:pPr>
              <w:tabs>
                <w:tab w:val="left" w:pos="567"/>
                <w:tab w:val="left" w:pos="1134"/>
              </w:tabs>
              <w:spacing w:after="0" w:line="240" w:lineRule="auto"/>
              <w:ind w:firstLine="317"/>
              <w:jc w:val="both"/>
              <w:rPr>
                <w:rFonts w:ascii="Times New Roman" w:hAnsi="Times New Roman" w:cs="Times New Roman"/>
                <w:sz w:val="10"/>
                <w:szCs w:val="10"/>
              </w:rPr>
            </w:pPr>
          </w:p>
          <w:p w:rsidR="00E56BB7" w:rsidRPr="000E7256" w:rsidRDefault="00E56BB7" w:rsidP="00296936">
            <w:pPr>
              <w:tabs>
                <w:tab w:val="left" w:pos="567"/>
                <w:tab w:val="left" w:pos="1134"/>
              </w:tabs>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 xml:space="preserve">2. В соответствии с частью 7.7 статьи 36 Федерального закона </w:t>
            </w:r>
            <w:r w:rsidR="00123D06">
              <w:rPr>
                <w:rFonts w:ascii="Times New Roman" w:hAnsi="Times New Roman" w:cs="Times New Roman"/>
                <w:sz w:val="24"/>
                <w:szCs w:val="24"/>
              </w:rPr>
              <w:br/>
            </w:r>
            <w:r w:rsidRPr="000E7256">
              <w:rPr>
                <w:rFonts w:ascii="Times New Roman" w:hAnsi="Times New Roman" w:cs="Times New Roman"/>
                <w:sz w:val="24"/>
                <w:szCs w:val="24"/>
              </w:rPr>
              <w:t xml:space="preserve">от 23.12.2003 № 177-ФЗ </w:t>
            </w:r>
            <w:r>
              <w:rPr>
                <w:rFonts w:ascii="Times New Roman" w:hAnsi="Times New Roman" w:cs="Times New Roman"/>
                <w:sz w:val="24"/>
                <w:szCs w:val="24"/>
              </w:rPr>
              <w:t>«</w:t>
            </w:r>
            <w:r w:rsidRPr="000E7256">
              <w:rPr>
                <w:rFonts w:ascii="Times New Roman" w:hAnsi="Times New Roman" w:cs="Times New Roman"/>
                <w:sz w:val="24"/>
                <w:szCs w:val="24"/>
              </w:rPr>
              <w:t>О страховании вкладов в банках Российской Федерации</w:t>
            </w:r>
            <w:r>
              <w:rPr>
                <w:rFonts w:ascii="Times New Roman" w:hAnsi="Times New Roman" w:cs="Times New Roman"/>
                <w:sz w:val="24"/>
                <w:szCs w:val="24"/>
              </w:rPr>
              <w:t>»</w:t>
            </w:r>
            <w:r w:rsidRPr="000E7256">
              <w:rPr>
                <w:rFonts w:ascii="Times New Roman" w:hAnsi="Times New Roman" w:cs="Times New Roman"/>
                <w:sz w:val="24"/>
                <w:szCs w:val="24"/>
              </w:rPr>
              <w:t xml:space="preserve"> (далее – Федеральный закон № 177-ФЗ) финансовое положение банка оценивается Банком России с учетом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E56BB7" w:rsidRPr="000E7256" w:rsidRDefault="00E56BB7" w:rsidP="00296936">
            <w:pPr>
              <w:tabs>
                <w:tab w:val="left" w:pos="567"/>
                <w:tab w:val="left" w:pos="1134"/>
              </w:tabs>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 xml:space="preserve">Указание Банка России от 17.09.2015 № 3801-У </w:t>
            </w:r>
            <w:r>
              <w:rPr>
                <w:rFonts w:ascii="Times New Roman" w:hAnsi="Times New Roman" w:cs="Times New Roman"/>
                <w:sz w:val="24"/>
                <w:szCs w:val="24"/>
              </w:rPr>
              <w:t>«</w:t>
            </w:r>
            <w:r w:rsidRPr="000E7256">
              <w:rPr>
                <w:rFonts w:ascii="Times New Roman" w:hAnsi="Times New Roman" w:cs="Times New Roman"/>
                <w:sz w:val="24"/>
                <w:szCs w:val="24"/>
              </w:rPr>
              <w:t>О признании финансового положения банка соответствующим критериям для уплаты повышенной дополнительной ставки страховых взносов</w:t>
            </w:r>
            <w:r>
              <w:rPr>
                <w:rFonts w:ascii="Times New Roman" w:hAnsi="Times New Roman" w:cs="Times New Roman"/>
                <w:sz w:val="24"/>
                <w:szCs w:val="24"/>
              </w:rPr>
              <w:t>»</w:t>
            </w:r>
            <w:r w:rsidRPr="000E7256">
              <w:rPr>
                <w:rFonts w:ascii="Times New Roman" w:hAnsi="Times New Roman" w:cs="Times New Roman"/>
                <w:sz w:val="24"/>
                <w:szCs w:val="24"/>
              </w:rPr>
              <w:t xml:space="preserve"> (далее – Указание № 3801-У) реализует установленные статьей 36 Федерального закона </w:t>
            </w:r>
            <w:r>
              <w:rPr>
                <w:rFonts w:ascii="Times New Roman" w:hAnsi="Times New Roman" w:cs="Times New Roman"/>
                <w:sz w:val="24"/>
                <w:szCs w:val="24"/>
              </w:rPr>
              <w:br/>
            </w:r>
            <w:r w:rsidRPr="000E7256">
              <w:rPr>
                <w:rFonts w:ascii="Times New Roman" w:hAnsi="Times New Roman" w:cs="Times New Roman"/>
                <w:sz w:val="24"/>
                <w:szCs w:val="24"/>
              </w:rPr>
              <w:t xml:space="preserve">№ 177-ФЗ нормы, на основании которой в пункте 1.2 Указания № 3801-У приведен перечень мер в виде ограничений или запретов, принимаемых во внимание в целях оценки финансового положения банка. </w:t>
            </w:r>
          </w:p>
          <w:p w:rsidR="00E56BB7" w:rsidRPr="008145F9" w:rsidRDefault="00E56BB7" w:rsidP="00296936">
            <w:pPr>
              <w:tabs>
                <w:tab w:val="left" w:pos="567"/>
                <w:tab w:val="left" w:pos="1134"/>
              </w:tabs>
              <w:spacing w:after="0" w:line="240" w:lineRule="auto"/>
              <w:ind w:firstLine="317"/>
              <w:jc w:val="both"/>
              <w:rPr>
                <w:rFonts w:ascii="Times New Roman" w:hAnsi="Times New Roman" w:cs="Times New Roman"/>
                <w:sz w:val="24"/>
                <w:szCs w:val="24"/>
              </w:rPr>
            </w:pPr>
            <w:r w:rsidRPr="000E7256">
              <w:rPr>
                <w:rFonts w:ascii="Times New Roman" w:hAnsi="Times New Roman" w:cs="Times New Roman"/>
                <w:sz w:val="24"/>
                <w:szCs w:val="24"/>
              </w:rPr>
              <w:t>В связи с изложенным смягчение критериев для уплаты повышенной дополнительной ставки страховых взносов не представляется возможным.</w:t>
            </w:r>
          </w:p>
        </w:tc>
      </w:tr>
    </w:tbl>
    <w:p w:rsidR="00860FDE" w:rsidRPr="00D470F7" w:rsidRDefault="00860FDE">
      <w:pPr>
        <w:spacing w:after="160" w:line="259" w:lineRule="auto"/>
        <w:rPr>
          <w:rFonts w:ascii="Times New Roman" w:hAnsi="Times New Roman" w:cs="Times New Roman"/>
          <w:color w:val="000000"/>
          <w:sz w:val="24"/>
          <w:szCs w:val="24"/>
        </w:rPr>
      </w:pPr>
    </w:p>
    <w:sectPr w:rsidR="00860FDE" w:rsidRPr="00D470F7" w:rsidSect="00296936">
      <w:footerReference w:type="default" r:id="rId9"/>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99" w:rsidRDefault="00356399" w:rsidP="00A6271B">
      <w:pPr>
        <w:spacing w:after="0" w:line="240" w:lineRule="auto"/>
      </w:pPr>
      <w:r>
        <w:separator/>
      </w:r>
    </w:p>
  </w:endnote>
  <w:endnote w:type="continuationSeparator" w:id="0">
    <w:p w:rsidR="00356399" w:rsidRDefault="00356399"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EE7211" w:rsidRPr="00296936" w:rsidRDefault="00EE7211">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B3775C">
          <w:rPr>
            <w:rFonts w:ascii="Times New Roman" w:hAnsi="Times New Roman" w:cs="Times New Roman"/>
            <w:noProof/>
            <w:sz w:val="18"/>
            <w:szCs w:val="18"/>
          </w:rPr>
          <w:t>22</w:t>
        </w:r>
        <w:r w:rsidRPr="00296936">
          <w:rPr>
            <w:rFonts w:ascii="Times New Roman" w:hAnsi="Times New Roman" w:cs="Times New Roman"/>
            <w:sz w:val="18"/>
            <w:szCs w:val="18"/>
          </w:rPr>
          <w:fldChar w:fldCharType="end"/>
        </w:r>
      </w:p>
    </w:sdtContent>
  </w:sdt>
  <w:p w:rsidR="00EE7211" w:rsidRDefault="00EE721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99" w:rsidRDefault="00356399" w:rsidP="00A6271B">
      <w:pPr>
        <w:spacing w:after="0" w:line="240" w:lineRule="auto"/>
      </w:pPr>
      <w:r>
        <w:separator/>
      </w:r>
    </w:p>
  </w:footnote>
  <w:footnote w:type="continuationSeparator" w:id="0">
    <w:p w:rsidR="00356399" w:rsidRDefault="00356399" w:rsidP="00A6271B">
      <w:pPr>
        <w:spacing w:after="0" w:line="240" w:lineRule="auto"/>
      </w:pPr>
      <w:r>
        <w:continuationSeparator/>
      </w:r>
    </w:p>
  </w:footnote>
  <w:footnote w:id="1">
    <w:p w:rsidR="0045286A" w:rsidRPr="000E440E" w:rsidRDefault="0045286A" w:rsidP="0045286A">
      <w:pPr>
        <w:pStyle w:val="a7"/>
        <w:rPr>
          <w:rFonts w:ascii="Times New Roman" w:hAnsi="Times New Roman" w:cs="Times New Roman"/>
        </w:rPr>
      </w:pPr>
      <w:r w:rsidRPr="000E440E">
        <w:rPr>
          <w:rStyle w:val="a6"/>
          <w:rFonts w:ascii="Times New Roman" w:hAnsi="Times New Roman" w:cs="Times New Roman"/>
        </w:rPr>
        <w:footnoteRef/>
      </w:r>
      <w:r w:rsidRPr="000E440E">
        <w:rPr>
          <w:rFonts w:ascii="Times New Roman" w:hAnsi="Times New Roman" w:cs="Times New Roman"/>
        </w:rPr>
        <w:t xml:space="preserve"> Малый и средний бизнес</w:t>
      </w:r>
      <w:r>
        <w:rPr>
          <w:rFonts w:ascii="Times New Roman" w:hAnsi="Times New Roman" w:cs="Times New Roman"/>
        </w:rPr>
        <w:t>.</w:t>
      </w:r>
    </w:p>
  </w:footnote>
  <w:footnote w:id="2">
    <w:p w:rsidR="000E440E" w:rsidRPr="000E440E" w:rsidRDefault="000E440E" w:rsidP="000E440E">
      <w:pPr>
        <w:autoSpaceDE w:val="0"/>
        <w:autoSpaceDN w:val="0"/>
        <w:adjustRightInd w:val="0"/>
        <w:spacing w:after="0" w:line="240" w:lineRule="auto"/>
        <w:jc w:val="both"/>
        <w:rPr>
          <w:rFonts w:ascii="Times New Roman" w:hAnsi="Times New Roman" w:cs="Times New Roman"/>
        </w:rPr>
      </w:pPr>
      <w:r w:rsidRPr="000E440E">
        <w:rPr>
          <w:rStyle w:val="a6"/>
          <w:rFonts w:ascii="Times New Roman" w:hAnsi="Times New Roman" w:cs="Times New Roman"/>
        </w:rPr>
        <w:footnoteRef/>
      </w:r>
      <w:r w:rsidRPr="000E440E">
        <w:rPr>
          <w:rFonts w:ascii="Times New Roman" w:hAnsi="Times New Roman" w:cs="Times New Roman"/>
        </w:rPr>
        <w:t xml:space="preserve"> </w:t>
      </w:r>
      <w:r w:rsidRPr="000E440E">
        <w:rPr>
          <w:rFonts w:ascii="Times New Roman" w:hAnsi="Times New Roman" w:cs="Times New Roman"/>
          <w:sz w:val="20"/>
          <w:szCs w:val="20"/>
        </w:rPr>
        <w:t xml:space="preserve">Постановление Правительства </w:t>
      </w:r>
      <w:r w:rsidR="0045286A">
        <w:rPr>
          <w:rFonts w:ascii="Times New Roman" w:hAnsi="Times New Roman" w:cs="Times New Roman"/>
        </w:rPr>
        <w:t>Российской Федерации</w:t>
      </w:r>
      <w:r w:rsidRPr="000E440E">
        <w:rPr>
          <w:rFonts w:ascii="Times New Roman" w:hAnsi="Times New Roman" w:cs="Times New Roman"/>
          <w:sz w:val="20"/>
          <w:szCs w:val="20"/>
        </w:rPr>
        <w:t xml:space="preserve">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w:t>
      </w:r>
      <w:r>
        <w:rPr>
          <w:rFonts w:ascii="Times New Roman" w:hAnsi="Times New Roman" w:cs="Times New Roman"/>
          <w:sz w:val="20"/>
          <w:szCs w:val="20"/>
        </w:rPr>
        <w:t>«</w:t>
      </w:r>
      <w:r w:rsidRPr="000E440E">
        <w:rPr>
          <w:rFonts w:ascii="Times New Roman" w:hAnsi="Times New Roman" w:cs="Times New Roman"/>
          <w:sz w:val="20"/>
          <w:szCs w:val="20"/>
        </w:rPr>
        <w:t>Налог на профессиональный доход</w:t>
      </w:r>
      <w:r>
        <w:rPr>
          <w:rFonts w:ascii="Times New Roman" w:hAnsi="Times New Roman" w:cs="Times New Roman"/>
          <w:sz w:val="20"/>
          <w:szCs w:val="20"/>
        </w:rPr>
        <w:t>»</w:t>
      </w:r>
      <w:r w:rsidRPr="000E440E">
        <w:rPr>
          <w:rFonts w:ascii="Times New Roman" w:hAnsi="Times New Roman" w:cs="Times New Roman"/>
          <w:sz w:val="20"/>
          <w:szCs w:val="20"/>
        </w:rPr>
        <w:t>, по льготной ставке».</w:t>
      </w:r>
    </w:p>
  </w:footnote>
  <w:footnote w:id="3">
    <w:p w:rsidR="000E440E" w:rsidRPr="000E440E" w:rsidRDefault="000E440E" w:rsidP="000E440E">
      <w:pPr>
        <w:pStyle w:val="a7"/>
        <w:jc w:val="both"/>
        <w:rPr>
          <w:rFonts w:ascii="Times New Roman" w:hAnsi="Times New Roman" w:cs="Times New Roman"/>
        </w:rPr>
      </w:pPr>
      <w:r w:rsidRPr="000E440E">
        <w:rPr>
          <w:rStyle w:val="a6"/>
          <w:rFonts w:ascii="Times New Roman" w:hAnsi="Times New Roman" w:cs="Times New Roman"/>
        </w:rPr>
        <w:footnoteRef/>
      </w:r>
      <w:r w:rsidRPr="000E440E">
        <w:rPr>
          <w:rFonts w:ascii="Times New Roman" w:hAnsi="Times New Roman" w:cs="Times New Roman"/>
        </w:rPr>
        <w:t xml:space="preserve"> Постановление Правительства </w:t>
      </w:r>
      <w:r w:rsidR="0045286A">
        <w:rPr>
          <w:rFonts w:ascii="Times New Roman" w:hAnsi="Times New Roman" w:cs="Times New Roman"/>
        </w:rPr>
        <w:t>Российской Федерации</w:t>
      </w:r>
      <w:r w:rsidRPr="000E440E">
        <w:rPr>
          <w:rFonts w:ascii="Times New Roman" w:hAnsi="Times New Roman" w:cs="Times New Roman"/>
        </w:rPr>
        <w:t xml:space="preserve">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45286A">
        <w:rPr>
          <w:rFonts w:ascii="Times New Roman" w:hAnsi="Times New Roman" w:cs="Times New Roman"/>
        </w:rPr>
        <w:t>«</w:t>
      </w:r>
      <w:r w:rsidRPr="000E440E">
        <w:rPr>
          <w:rFonts w:ascii="Times New Roman" w:hAnsi="Times New Roman" w:cs="Times New Roman"/>
        </w:rPr>
        <w:t>ВЭБ.РФ</w:t>
      </w:r>
      <w:r w:rsidR="0045286A">
        <w:rPr>
          <w:rFonts w:ascii="Times New Roman" w:hAnsi="Times New Roman" w:cs="Times New Roman"/>
        </w:rPr>
        <w:t>»</w:t>
      </w:r>
      <w:r w:rsidRPr="000E440E">
        <w:rPr>
          <w:rFonts w:ascii="Times New Roman" w:hAnsi="Times New Roman" w:cs="Times New Roman"/>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footnote>
  <w:footnote w:id="4">
    <w:p w:rsidR="00EE7211" w:rsidRDefault="00EE7211" w:rsidP="00E56BB7">
      <w:pPr>
        <w:pStyle w:val="a7"/>
        <w:jc w:val="both"/>
      </w:pPr>
      <w:r>
        <w:rPr>
          <w:rStyle w:val="a6"/>
        </w:rPr>
        <w:footnoteRef/>
      </w:r>
      <w:r>
        <w:t xml:space="preserve"> </w:t>
      </w:r>
      <w:r>
        <w:rPr>
          <w:rFonts w:ascii="Times New Roman" w:hAnsi="Times New Roman" w:cs="Times New Roman"/>
        </w:rPr>
        <w:t>Постановление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footnote>
  <w:footnote w:id="5">
    <w:p w:rsidR="00EE7211" w:rsidRDefault="00EE7211" w:rsidP="00E56BB7">
      <w:pPr>
        <w:pStyle w:val="a7"/>
        <w:jc w:val="both"/>
      </w:pPr>
      <w:r>
        <w:rPr>
          <w:rStyle w:val="a6"/>
        </w:rPr>
        <w:footnoteRef/>
      </w:r>
      <w:r>
        <w:t xml:space="preserve"> </w:t>
      </w:r>
      <w:r>
        <w:rPr>
          <w:rFonts w:ascii="Times New Roman" w:hAnsi="Times New Roman" w:cs="Times New Roman"/>
        </w:rPr>
        <w:t>Постановление Правительства Российской Федерации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footnote>
  <w:footnote w:id="6">
    <w:p w:rsidR="0045286A" w:rsidRPr="0045286A" w:rsidRDefault="0045286A" w:rsidP="0045286A">
      <w:pPr>
        <w:pStyle w:val="a7"/>
        <w:rPr>
          <w:rFonts w:ascii="Times New Roman" w:hAnsi="Times New Roman" w:cs="Times New Roman"/>
        </w:rPr>
      </w:pPr>
      <w:r w:rsidRPr="0045286A">
        <w:rPr>
          <w:rStyle w:val="a6"/>
          <w:rFonts w:ascii="Times New Roman" w:hAnsi="Times New Roman" w:cs="Times New Roman"/>
        </w:rPr>
        <w:footnoteRef/>
      </w:r>
      <w:r w:rsidRPr="0045286A">
        <w:rPr>
          <w:rFonts w:ascii="Times New Roman" w:hAnsi="Times New Roman" w:cs="Times New Roman"/>
        </w:rPr>
        <w:t xml:space="preserve"> Федеральный закон от 21.07.2005 №115-ФЗ «О концессионных соглашениях»</w:t>
      </w:r>
      <w:r>
        <w:rPr>
          <w:rFonts w:ascii="Times New Roman" w:hAnsi="Times New Roman" w:cs="Times New Roman"/>
        </w:rPr>
        <w:t>.</w:t>
      </w:r>
    </w:p>
  </w:footnote>
  <w:footnote w:id="7">
    <w:p w:rsidR="0045286A" w:rsidRPr="0045286A" w:rsidRDefault="0045286A" w:rsidP="0045286A">
      <w:pPr>
        <w:pStyle w:val="a7"/>
        <w:rPr>
          <w:rFonts w:ascii="Times New Roman" w:hAnsi="Times New Roman" w:cs="Times New Roman"/>
        </w:rPr>
      </w:pPr>
      <w:r w:rsidRPr="0045286A">
        <w:rPr>
          <w:rStyle w:val="a6"/>
          <w:rFonts w:ascii="Times New Roman" w:hAnsi="Times New Roman" w:cs="Times New Roman"/>
        </w:rPr>
        <w:footnoteRef/>
      </w:r>
      <w:r w:rsidRPr="0045286A">
        <w:rPr>
          <w:rFonts w:ascii="Times New Roman" w:hAnsi="Times New Roman" w:cs="Times New Roman"/>
        </w:rPr>
        <w:t xml:space="preserve"> Федеральный закон от 13.07.2015 N 224-ФЗ «О государственно-частном партнерстве, </w:t>
      </w:r>
      <w:proofErr w:type="spellStart"/>
      <w:r w:rsidRPr="0045286A">
        <w:rPr>
          <w:rFonts w:ascii="Times New Roman" w:hAnsi="Times New Roman" w:cs="Times New Roman"/>
        </w:rPr>
        <w:t>муниципально</w:t>
      </w:r>
      <w:proofErr w:type="spellEnd"/>
      <w:r w:rsidRPr="0045286A">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p>
  </w:footnote>
  <w:footnote w:id="8">
    <w:p w:rsidR="000C590F" w:rsidRPr="000C590F" w:rsidRDefault="000C590F" w:rsidP="000C590F">
      <w:pPr>
        <w:pStyle w:val="a7"/>
        <w:rPr>
          <w:rFonts w:ascii="Times New Roman" w:hAnsi="Times New Roman" w:cs="Times New Roman"/>
        </w:rPr>
      </w:pPr>
      <w:r w:rsidRPr="000C590F">
        <w:rPr>
          <w:rStyle w:val="a6"/>
          <w:rFonts w:ascii="Times New Roman" w:hAnsi="Times New Roman" w:cs="Times New Roman"/>
        </w:rPr>
        <w:footnoteRef/>
      </w:r>
      <w:r w:rsidRPr="000C590F">
        <w:rPr>
          <w:rFonts w:ascii="Times New Roman" w:hAnsi="Times New Roman" w:cs="Times New Roman"/>
        </w:rPr>
        <w:t xml:space="preserve"> Положение Банка России от 06.08.2015 № 483-П «О порядке расчета величины кредитного риска на основе внутренних рейтингов».</w:t>
      </w:r>
    </w:p>
  </w:footnote>
  <w:footnote w:id="9">
    <w:p w:rsidR="000C590F" w:rsidRDefault="000C590F">
      <w:pPr>
        <w:pStyle w:val="a7"/>
      </w:pPr>
      <w:r w:rsidRPr="000C590F">
        <w:rPr>
          <w:rStyle w:val="a6"/>
          <w:rFonts w:ascii="Times New Roman" w:hAnsi="Times New Roman" w:cs="Times New Roman"/>
        </w:rPr>
        <w:footnoteRef/>
      </w:r>
      <w:r w:rsidRPr="000C590F">
        <w:rPr>
          <w:rFonts w:ascii="Times New Roman" w:hAnsi="Times New Roman" w:cs="Times New Roman"/>
        </w:rPr>
        <w:t xml:space="preserve"> СЗКО – системно значимые кредитные организации.</w:t>
      </w:r>
    </w:p>
  </w:footnote>
  <w:footnote w:id="10">
    <w:p w:rsidR="000C590F" w:rsidRPr="000C590F" w:rsidRDefault="000C590F">
      <w:pPr>
        <w:pStyle w:val="a7"/>
        <w:rPr>
          <w:rFonts w:ascii="Times New Roman" w:hAnsi="Times New Roman" w:cs="Times New Roman"/>
        </w:rPr>
      </w:pPr>
      <w:r w:rsidRPr="000C590F">
        <w:rPr>
          <w:rStyle w:val="a6"/>
          <w:rFonts w:ascii="Times New Roman" w:hAnsi="Times New Roman" w:cs="Times New Roman"/>
        </w:rPr>
        <w:footnoteRef/>
      </w:r>
      <w:r w:rsidRPr="000C590F">
        <w:rPr>
          <w:rFonts w:ascii="Times New Roman" w:hAnsi="Times New Roman" w:cs="Times New Roman"/>
        </w:rPr>
        <w:t xml:space="preserve"> Гражданский кодекс Российской Федерации.</w:t>
      </w:r>
    </w:p>
  </w:footnote>
  <w:footnote w:id="11">
    <w:p w:rsidR="00EE7211" w:rsidRPr="00A67E19" w:rsidRDefault="00EE7211" w:rsidP="00E56BB7">
      <w:pPr>
        <w:pStyle w:val="a7"/>
        <w:jc w:val="both"/>
        <w:rPr>
          <w:rFonts w:ascii="Times New Roman" w:hAnsi="Times New Roman" w:cs="Times New Roman"/>
        </w:rPr>
      </w:pPr>
      <w:r>
        <w:rPr>
          <w:rStyle w:val="a6"/>
        </w:rPr>
        <w:footnoteRef/>
      </w:r>
      <w:r>
        <w:t xml:space="preserve"> </w:t>
      </w:r>
      <w:r>
        <w:rPr>
          <w:rFonts w:ascii="Times New Roman" w:hAnsi="Times New Roman" w:cs="Times New Roman"/>
        </w:rPr>
        <w:t>В</w:t>
      </w:r>
      <w:r w:rsidRPr="008E12FB">
        <w:rPr>
          <w:rFonts w:ascii="Times New Roman" w:eastAsia="Times New Roman" w:hAnsi="Times New Roman" w:cs="Times New Roman"/>
          <w:lang w:eastAsia="ru-RU"/>
        </w:rPr>
        <w:t xml:space="preserve">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r w:rsidRPr="00A67E19">
        <w:rPr>
          <w:rFonts w:ascii="Times New Roman" w:eastAsia="Times New Roman" w:hAnsi="Times New Roman" w:cs="Times New Roman"/>
          <w:lang w:eastAsia="ru-RU"/>
        </w:rPr>
        <w:t>.</w:t>
      </w:r>
    </w:p>
  </w:footnote>
  <w:footnote w:id="12">
    <w:p w:rsidR="00EE7211" w:rsidRPr="005D755E" w:rsidRDefault="00EE7211" w:rsidP="00E56BB7">
      <w:pPr>
        <w:pStyle w:val="a7"/>
        <w:jc w:val="both"/>
        <w:rPr>
          <w:rFonts w:ascii="Times New Roman" w:hAnsi="Times New Roman" w:cs="Times New Roman"/>
        </w:rPr>
      </w:pPr>
      <w:r w:rsidRPr="005D755E">
        <w:rPr>
          <w:rFonts w:ascii="Times New Roman" w:hAnsi="Times New Roman" w:cs="Times New Roman"/>
        </w:rPr>
        <w:footnoteRef/>
      </w:r>
      <w:r w:rsidRPr="005D755E">
        <w:rPr>
          <w:rFonts w:ascii="Times New Roman" w:hAnsi="Times New Roman" w:cs="Times New Roman"/>
        </w:rPr>
        <w:t xml:space="preserve"> Данное предложение также направлено Первому заместителю Председателя Банка России </w:t>
      </w:r>
      <w:proofErr w:type="spellStart"/>
      <w:r w:rsidRPr="005D755E">
        <w:rPr>
          <w:rFonts w:ascii="Times New Roman" w:hAnsi="Times New Roman" w:cs="Times New Roman"/>
        </w:rPr>
        <w:t>С.А.Швецову</w:t>
      </w:r>
      <w:proofErr w:type="spellEnd"/>
    </w:p>
  </w:footnote>
  <w:footnote w:id="13">
    <w:p w:rsidR="00EE7211" w:rsidRDefault="00EE7211" w:rsidP="00E56BB7">
      <w:pPr>
        <w:pStyle w:val="a7"/>
      </w:pPr>
      <w:r w:rsidRPr="005D755E">
        <w:rPr>
          <w:rFonts w:ascii="Times New Roman" w:hAnsi="Times New Roman" w:cs="Times New Roman"/>
          <w:vertAlign w:val="superscript"/>
        </w:rPr>
        <w:footnoteRef/>
      </w:r>
      <w:r w:rsidRPr="005D755E">
        <w:rPr>
          <w:rFonts w:ascii="Times New Roman" w:hAnsi="Times New Roman" w:cs="Times New Roman"/>
        </w:rPr>
        <w:t xml:space="preserve"> Вопрос задан также Директору Юридического департамента Банка России А.Г.</w:t>
      </w:r>
      <w:r w:rsidR="005D755E">
        <w:rPr>
          <w:rFonts w:ascii="Times New Roman" w:hAnsi="Times New Roman" w:cs="Times New Roman"/>
        </w:rPr>
        <w:t xml:space="preserve"> </w:t>
      </w:r>
      <w:proofErr w:type="spellStart"/>
      <w:r w:rsidRPr="005D755E">
        <w:rPr>
          <w:rFonts w:ascii="Times New Roman" w:hAnsi="Times New Roman" w:cs="Times New Roman"/>
        </w:rPr>
        <w:t>Гузнову</w:t>
      </w:r>
      <w:proofErr w:type="spellEnd"/>
      <w:r w:rsidR="005D755E">
        <w:rPr>
          <w:rFonts w:ascii="Times New Roman" w:hAnsi="Times New Roman" w:cs="Times New Roman"/>
        </w:rPr>
        <w:t>.</w:t>
      </w:r>
    </w:p>
  </w:footnote>
  <w:footnote w:id="14">
    <w:p w:rsidR="00EE7211" w:rsidRDefault="00EE7211" w:rsidP="00E56BB7">
      <w:pPr>
        <w:pStyle w:val="a7"/>
        <w:jc w:val="both"/>
        <w:rPr>
          <w:rFonts w:ascii="Times New Roman" w:hAnsi="Times New Roman" w:cs="Times New Roman"/>
        </w:rPr>
      </w:pPr>
      <w:r w:rsidRPr="005B0A4D">
        <w:rPr>
          <w:rStyle w:val="a6"/>
          <w:rFonts w:ascii="Times New Roman" w:hAnsi="Times New Roman" w:cs="Times New Roman"/>
        </w:rPr>
        <w:footnoteRef/>
      </w:r>
      <w:r w:rsidRPr="005B0A4D">
        <w:rPr>
          <w:rFonts w:ascii="Times New Roman" w:hAnsi="Times New Roman" w:cs="Times New Roman"/>
        </w:rPr>
        <w:t xml:space="preserve"> </w:t>
      </w:r>
      <w:r>
        <w:rPr>
          <w:rFonts w:ascii="Times New Roman" w:hAnsi="Times New Roman" w:cs="Times New Roman"/>
        </w:rPr>
        <w:t>В частности, в клиринговых</w:t>
      </w:r>
      <w:r w:rsidRPr="005B0A4D">
        <w:rPr>
          <w:rFonts w:ascii="Times New Roman" w:hAnsi="Times New Roman" w:cs="Times New Roman"/>
        </w:rPr>
        <w:t xml:space="preserve"> организаци</w:t>
      </w:r>
      <w:r>
        <w:rPr>
          <w:rFonts w:ascii="Times New Roman" w:hAnsi="Times New Roman" w:cs="Times New Roman"/>
        </w:rPr>
        <w:t>ях</w:t>
      </w:r>
      <w:r w:rsidRPr="005B0A4D">
        <w:rPr>
          <w:rFonts w:ascii="Times New Roman" w:hAnsi="Times New Roman" w:cs="Times New Roman"/>
        </w:rPr>
        <w:t xml:space="preserve"> </w:t>
      </w:r>
      <w:r>
        <w:rPr>
          <w:rFonts w:ascii="Times New Roman" w:hAnsi="Times New Roman" w:cs="Times New Roman"/>
        </w:rPr>
        <w:t xml:space="preserve">– с учетом норм </w:t>
      </w:r>
      <w:r w:rsidRPr="005B0A4D">
        <w:rPr>
          <w:rFonts w:ascii="Times New Roman" w:hAnsi="Times New Roman" w:cs="Times New Roman"/>
        </w:rPr>
        <w:t>Указани</w:t>
      </w:r>
      <w:r>
        <w:rPr>
          <w:rFonts w:ascii="Times New Roman" w:hAnsi="Times New Roman" w:cs="Times New Roman"/>
        </w:rPr>
        <w:t>я</w:t>
      </w:r>
      <w:r w:rsidRPr="005B0A4D">
        <w:rPr>
          <w:rFonts w:ascii="Times New Roman" w:hAnsi="Times New Roman" w:cs="Times New Roman"/>
        </w:rPr>
        <w:t xml:space="preserve"> Банка России от 15.03.2018 № 4739-У «О требованиях к организации и осуществлению клиринговой организацией внутреннего контроля и внутреннего аудита», </w:t>
      </w:r>
      <w:r>
        <w:rPr>
          <w:rFonts w:ascii="Times New Roman" w:hAnsi="Times New Roman" w:cs="Times New Roman"/>
        </w:rPr>
        <w:t xml:space="preserve">в </w:t>
      </w:r>
      <w:r w:rsidRPr="005B0A4D">
        <w:rPr>
          <w:rFonts w:ascii="Times New Roman" w:hAnsi="Times New Roman" w:cs="Times New Roman"/>
        </w:rPr>
        <w:t>центральн</w:t>
      </w:r>
      <w:r>
        <w:rPr>
          <w:rFonts w:ascii="Times New Roman" w:hAnsi="Times New Roman" w:cs="Times New Roman"/>
        </w:rPr>
        <w:t>ом</w:t>
      </w:r>
      <w:r w:rsidRPr="005B0A4D">
        <w:rPr>
          <w:rFonts w:ascii="Times New Roman" w:hAnsi="Times New Roman" w:cs="Times New Roman"/>
        </w:rPr>
        <w:t xml:space="preserve"> депозитари</w:t>
      </w:r>
      <w:r>
        <w:rPr>
          <w:rFonts w:ascii="Times New Roman" w:hAnsi="Times New Roman" w:cs="Times New Roman"/>
        </w:rPr>
        <w:t xml:space="preserve">и – </w:t>
      </w:r>
      <w:r w:rsidRPr="005B0A4D">
        <w:rPr>
          <w:rFonts w:ascii="Times New Roman" w:hAnsi="Times New Roman" w:cs="Times New Roman"/>
        </w:rPr>
        <w:t xml:space="preserve">Указанием Банка России от 12.09.2018 № 4904-У «О требованиях к порядку осуществления центральным депозитарием </w:t>
      </w:r>
      <w:r w:rsidRPr="009D410A">
        <w:rPr>
          <w:rFonts w:ascii="Times New Roman" w:hAnsi="Times New Roman" w:cs="Times New Roman"/>
        </w:rPr>
        <w:t>внутреннего контроля и внутреннего аудита, правилам внутреннего аудита центрального депозитария и плану работы службы внутреннего аудита центрального депозитария»</w:t>
      </w:r>
      <w:r>
        <w:rPr>
          <w:rFonts w:ascii="Times New Roman" w:hAnsi="Times New Roman" w:cs="Times New Roman"/>
        </w:rPr>
        <w:t xml:space="preserve">, в организаторе торговли – </w:t>
      </w:r>
      <w:r w:rsidRPr="009D410A">
        <w:rPr>
          <w:rFonts w:ascii="Times New Roman" w:hAnsi="Times New Roman" w:cs="Times New Roman"/>
        </w:rPr>
        <w:t xml:space="preserve">Указанием Банка России от 07.05.2018 № 4792-У «О требованиях к порядку осуществления организатором торговли внутреннего контроля и внутреннего аудита», </w:t>
      </w:r>
      <w:proofErr w:type="spellStart"/>
      <w:r w:rsidRPr="009D410A">
        <w:rPr>
          <w:rFonts w:ascii="Times New Roman" w:hAnsi="Times New Roman" w:cs="Times New Roman"/>
        </w:rPr>
        <w:t>репозитари</w:t>
      </w:r>
      <w:r>
        <w:rPr>
          <w:rFonts w:ascii="Times New Roman" w:hAnsi="Times New Roman" w:cs="Times New Roman"/>
        </w:rPr>
        <w:t>и</w:t>
      </w:r>
      <w:proofErr w:type="spellEnd"/>
      <w:r>
        <w:rPr>
          <w:rFonts w:ascii="Times New Roman" w:hAnsi="Times New Roman" w:cs="Times New Roman"/>
        </w:rPr>
        <w:t xml:space="preserve"> – </w:t>
      </w:r>
      <w:r w:rsidRPr="009D410A">
        <w:rPr>
          <w:rFonts w:ascii="Times New Roman" w:hAnsi="Times New Roman" w:cs="Times New Roman"/>
        </w:rPr>
        <w:t xml:space="preserve">Указанием Банка России от 30.09.2016 № 4145-У «О требованиях к правилам внутреннего контроля и внутреннего аудита </w:t>
      </w:r>
      <w:proofErr w:type="spellStart"/>
      <w:r w:rsidRPr="009D410A">
        <w:rPr>
          <w:rFonts w:ascii="Times New Roman" w:hAnsi="Times New Roman" w:cs="Times New Roman"/>
        </w:rPr>
        <w:t>репозитария</w:t>
      </w:r>
      <w:proofErr w:type="spellEnd"/>
      <w:r w:rsidRPr="009D410A">
        <w:rPr>
          <w:rFonts w:ascii="Times New Roman" w:hAnsi="Times New Roman" w:cs="Times New Roman"/>
        </w:rPr>
        <w:t>».</w:t>
      </w:r>
    </w:p>
    <w:p w:rsidR="00EE7211" w:rsidRPr="009D410A" w:rsidRDefault="00EE7211" w:rsidP="00E56BB7">
      <w:pPr>
        <w:pStyle w:val="a7"/>
        <w:jc w:val="both"/>
        <w:rPr>
          <w:rFonts w:ascii="Times New Roman" w:hAnsi="Times New Roman" w:cs="Times New Roman"/>
        </w:rPr>
      </w:pPr>
      <w:r>
        <w:rPr>
          <w:rFonts w:ascii="Times New Roman" w:hAnsi="Times New Roman" w:cs="Times New Roman"/>
        </w:rPr>
        <w:t>Регулирование отношений, возникающих в связи с осуществлением юридическими лицами внутреннего контроля, предусмотрено на законодательном уровне (см., например, статью 87 Федерального закона от 26.12.1995 № 208-ФЗ «Об акционерных обществах», статью 10</w:t>
      </w:r>
      <w:r>
        <w:rPr>
          <w:rFonts w:ascii="Times New Roman" w:hAnsi="Times New Roman" w:cs="Times New Roman"/>
          <w:vertAlign w:val="superscript"/>
        </w:rPr>
        <w:t>1-1</w:t>
      </w:r>
      <w:r>
        <w:rPr>
          <w:rFonts w:ascii="Times New Roman" w:hAnsi="Times New Roman" w:cs="Times New Roman"/>
        </w:rPr>
        <w:t xml:space="preserve"> Федерального закона от 22.04.1996 № 39-ФЗ «О рынке ценных бумаг»).</w:t>
      </w:r>
    </w:p>
  </w:footnote>
  <w:footnote w:id="15">
    <w:p w:rsidR="000C590F" w:rsidRPr="000C590F" w:rsidRDefault="000C590F">
      <w:pPr>
        <w:pStyle w:val="a7"/>
        <w:rPr>
          <w:rFonts w:ascii="Times New Roman" w:hAnsi="Times New Roman" w:cs="Times New Roman"/>
        </w:rPr>
      </w:pPr>
      <w:r w:rsidRPr="000C590F">
        <w:rPr>
          <w:rStyle w:val="a6"/>
          <w:rFonts w:ascii="Times New Roman" w:hAnsi="Times New Roman" w:cs="Times New Roman"/>
        </w:rPr>
        <w:footnoteRef/>
      </w:r>
      <w:r w:rsidRPr="000C590F">
        <w:rPr>
          <w:rFonts w:ascii="Times New Roman" w:hAnsi="Times New Roman" w:cs="Times New Roman"/>
        </w:rPr>
        <w:t xml:space="preserve"> государственной корпорации «Аг</w:t>
      </w:r>
      <w:r>
        <w:rPr>
          <w:rFonts w:ascii="Times New Roman" w:hAnsi="Times New Roman" w:cs="Times New Roman"/>
        </w:rPr>
        <w:t>ентство по страхованию вкладов».</w:t>
      </w:r>
    </w:p>
  </w:footnote>
  <w:footnote w:id="16">
    <w:p w:rsidR="00EE7211" w:rsidRPr="003E286E" w:rsidRDefault="00EE7211" w:rsidP="00E56BB7">
      <w:pPr>
        <w:pStyle w:val="a7"/>
      </w:pPr>
      <w:r w:rsidRPr="003E286E">
        <w:rPr>
          <w:rStyle w:val="a6"/>
        </w:rPr>
        <w:footnoteRef/>
      </w:r>
      <w:r w:rsidRPr="003E286E">
        <w:t xml:space="preserve"> </w:t>
      </w:r>
      <w:r w:rsidRPr="003E286E">
        <w:rPr>
          <w:rFonts w:ascii="Times New Roman" w:hAnsi="Times New Roman" w:cs="Times New Roman"/>
        </w:rPr>
        <w:t>Указание Банка России от 17 сентября 2015 г. № 3801-У «О признании финансового положения банка соответствующим критериям для уплаты повышенной дополнительной ставки страховых взносов»</w:t>
      </w:r>
    </w:p>
  </w:footnote>
  <w:footnote w:id="17">
    <w:p w:rsidR="00EE7211" w:rsidRPr="00E24EFF" w:rsidRDefault="00EE7211" w:rsidP="00E56BB7">
      <w:pPr>
        <w:pStyle w:val="a7"/>
        <w:rPr>
          <w:rFonts w:ascii="Times New Roman" w:hAnsi="Times New Roman" w:cs="Times New Roman"/>
        </w:rPr>
      </w:pPr>
      <w:r w:rsidRPr="003E286E">
        <w:rPr>
          <w:rStyle w:val="a6"/>
          <w:rFonts w:ascii="Times New Roman" w:hAnsi="Times New Roman" w:cs="Times New Roman"/>
        </w:rPr>
        <w:footnoteRef/>
      </w:r>
      <w:r w:rsidRPr="003E286E">
        <w:rPr>
          <w:rFonts w:ascii="Times New Roman" w:hAnsi="Times New Roman" w:cs="Times New Roman"/>
        </w:rPr>
        <w:t xml:space="preserve"> Размещен 01.07.2019 на официальном сайте Банка России в информационно-телекоммуникационной сети «Интернет».</w:t>
      </w:r>
    </w:p>
  </w:footnote>
  <w:footnote w:id="18">
    <w:p w:rsidR="00EE7211" w:rsidRDefault="00EE7211" w:rsidP="00E56BB7">
      <w:pPr>
        <w:pStyle w:val="a7"/>
      </w:pPr>
      <w:r w:rsidRPr="00E24EFF">
        <w:rPr>
          <w:rStyle w:val="a6"/>
          <w:rFonts w:ascii="Times New Roman" w:hAnsi="Times New Roman" w:cs="Times New Roman"/>
        </w:rPr>
        <w:footnoteRef/>
      </w:r>
      <w:r w:rsidRPr="00E24EFF">
        <w:rPr>
          <w:rFonts w:ascii="Times New Roman" w:hAnsi="Times New Roman" w:cs="Times New Roman"/>
        </w:rPr>
        <w:t xml:space="preserve"> Снижение базовой ставки с</w:t>
      </w:r>
      <w:r>
        <w:rPr>
          <w:rFonts w:ascii="Times New Roman" w:hAnsi="Times New Roman" w:cs="Times New Roman"/>
        </w:rPr>
        <w:t xml:space="preserve">траховых взносов банков в ФОСВ </w:t>
      </w:r>
      <w:r w:rsidRPr="00E24EFF">
        <w:rPr>
          <w:rFonts w:ascii="Times New Roman" w:hAnsi="Times New Roman" w:cs="Times New Roman"/>
        </w:rPr>
        <w:t>с 0,15 до 0,1% расчетной базы, дополнительной и повышенной дополнительной ставок страховых взносов – с 50% до 25% и с 500% до 300</w:t>
      </w:r>
      <w:r>
        <w:rPr>
          <w:rFonts w:ascii="Times New Roman" w:hAnsi="Times New Roman" w:cs="Times New Roman"/>
        </w:rPr>
        <w:t>% базовой ставки соответственно</w:t>
      </w:r>
      <w:r w:rsidRPr="00E24EF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65C10"/>
    <w:rsid w:val="000C590F"/>
    <w:rsid w:val="000D7803"/>
    <w:rsid w:val="000E365E"/>
    <w:rsid w:val="000E440E"/>
    <w:rsid w:val="000F2962"/>
    <w:rsid w:val="00101F09"/>
    <w:rsid w:val="001111EB"/>
    <w:rsid w:val="00114DCF"/>
    <w:rsid w:val="00123D06"/>
    <w:rsid w:val="0016040C"/>
    <w:rsid w:val="0016208A"/>
    <w:rsid w:val="00177242"/>
    <w:rsid w:val="00206F8F"/>
    <w:rsid w:val="00235822"/>
    <w:rsid w:val="00253A16"/>
    <w:rsid w:val="00283449"/>
    <w:rsid w:val="00296936"/>
    <w:rsid w:val="002A7BC4"/>
    <w:rsid w:val="002D545B"/>
    <w:rsid w:val="002E4491"/>
    <w:rsid w:val="002E5A9D"/>
    <w:rsid w:val="00304F02"/>
    <w:rsid w:val="0032720C"/>
    <w:rsid w:val="00345F42"/>
    <w:rsid w:val="00356399"/>
    <w:rsid w:val="00381DA9"/>
    <w:rsid w:val="00384D24"/>
    <w:rsid w:val="00390057"/>
    <w:rsid w:val="003A27FF"/>
    <w:rsid w:val="003B6C60"/>
    <w:rsid w:val="003D56F5"/>
    <w:rsid w:val="003E286E"/>
    <w:rsid w:val="003F36F3"/>
    <w:rsid w:val="00402014"/>
    <w:rsid w:val="00430593"/>
    <w:rsid w:val="00430CCD"/>
    <w:rsid w:val="00430E21"/>
    <w:rsid w:val="004357EF"/>
    <w:rsid w:val="00442619"/>
    <w:rsid w:val="0045286A"/>
    <w:rsid w:val="004568B4"/>
    <w:rsid w:val="00466246"/>
    <w:rsid w:val="00481F10"/>
    <w:rsid w:val="004A6B83"/>
    <w:rsid w:val="00514A95"/>
    <w:rsid w:val="00540FF6"/>
    <w:rsid w:val="00542233"/>
    <w:rsid w:val="00554F60"/>
    <w:rsid w:val="00566CB8"/>
    <w:rsid w:val="0058790B"/>
    <w:rsid w:val="00597614"/>
    <w:rsid w:val="005A40E8"/>
    <w:rsid w:val="005B497B"/>
    <w:rsid w:val="005C3FE1"/>
    <w:rsid w:val="005C6A7F"/>
    <w:rsid w:val="005D755E"/>
    <w:rsid w:val="005E2D70"/>
    <w:rsid w:val="005F4BEF"/>
    <w:rsid w:val="00600195"/>
    <w:rsid w:val="00604FAB"/>
    <w:rsid w:val="00606F00"/>
    <w:rsid w:val="006462B1"/>
    <w:rsid w:val="00660E39"/>
    <w:rsid w:val="006870FD"/>
    <w:rsid w:val="006B7942"/>
    <w:rsid w:val="006C202B"/>
    <w:rsid w:val="006D2EA2"/>
    <w:rsid w:val="006D2FE6"/>
    <w:rsid w:val="006E63F2"/>
    <w:rsid w:val="007004D9"/>
    <w:rsid w:val="00712644"/>
    <w:rsid w:val="0072354E"/>
    <w:rsid w:val="007320A5"/>
    <w:rsid w:val="00764099"/>
    <w:rsid w:val="00765826"/>
    <w:rsid w:val="00785B29"/>
    <w:rsid w:val="007A6C38"/>
    <w:rsid w:val="007B6C0B"/>
    <w:rsid w:val="007C7DBC"/>
    <w:rsid w:val="007E112D"/>
    <w:rsid w:val="0081189D"/>
    <w:rsid w:val="0084738E"/>
    <w:rsid w:val="00860FDE"/>
    <w:rsid w:val="008619C0"/>
    <w:rsid w:val="0088633D"/>
    <w:rsid w:val="00891552"/>
    <w:rsid w:val="008B2214"/>
    <w:rsid w:val="008C2946"/>
    <w:rsid w:val="008D3537"/>
    <w:rsid w:val="008F0DE0"/>
    <w:rsid w:val="008F7D69"/>
    <w:rsid w:val="00941DF1"/>
    <w:rsid w:val="00953DA3"/>
    <w:rsid w:val="009620FF"/>
    <w:rsid w:val="009A2159"/>
    <w:rsid w:val="009B6A1A"/>
    <w:rsid w:val="009D54E3"/>
    <w:rsid w:val="009E6309"/>
    <w:rsid w:val="00A17D0B"/>
    <w:rsid w:val="00A26B61"/>
    <w:rsid w:val="00A524F7"/>
    <w:rsid w:val="00A5763F"/>
    <w:rsid w:val="00A6023C"/>
    <w:rsid w:val="00A6271B"/>
    <w:rsid w:val="00A64FE7"/>
    <w:rsid w:val="00A67B8C"/>
    <w:rsid w:val="00AA0E30"/>
    <w:rsid w:val="00AA518A"/>
    <w:rsid w:val="00AB0F19"/>
    <w:rsid w:val="00AD4CA4"/>
    <w:rsid w:val="00AE1036"/>
    <w:rsid w:val="00AE4ED5"/>
    <w:rsid w:val="00B02631"/>
    <w:rsid w:val="00B2125C"/>
    <w:rsid w:val="00B37181"/>
    <w:rsid w:val="00B3775C"/>
    <w:rsid w:val="00B5350F"/>
    <w:rsid w:val="00B71868"/>
    <w:rsid w:val="00B7634D"/>
    <w:rsid w:val="00B9138D"/>
    <w:rsid w:val="00BA0D18"/>
    <w:rsid w:val="00BB0D5B"/>
    <w:rsid w:val="00BC4DA1"/>
    <w:rsid w:val="00BF1B66"/>
    <w:rsid w:val="00C1662E"/>
    <w:rsid w:val="00C16BB9"/>
    <w:rsid w:val="00C26ABB"/>
    <w:rsid w:val="00C3050F"/>
    <w:rsid w:val="00C434CB"/>
    <w:rsid w:val="00C52EB7"/>
    <w:rsid w:val="00C91669"/>
    <w:rsid w:val="00CB415A"/>
    <w:rsid w:val="00CD5E86"/>
    <w:rsid w:val="00CE03A2"/>
    <w:rsid w:val="00D132A4"/>
    <w:rsid w:val="00D155E9"/>
    <w:rsid w:val="00D23BB2"/>
    <w:rsid w:val="00D274E9"/>
    <w:rsid w:val="00D3193F"/>
    <w:rsid w:val="00D412E3"/>
    <w:rsid w:val="00D42013"/>
    <w:rsid w:val="00D470F7"/>
    <w:rsid w:val="00D72306"/>
    <w:rsid w:val="00DA5E60"/>
    <w:rsid w:val="00DB4808"/>
    <w:rsid w:val="00DD3D29"/>
    <w:rsid w:val="00DF14AB"/>
    <w:rsid w:val="00E1040F"/>
    <w:rsid w:val="00E14B8D"/>
    <w:rsid w:val="00E56BB7"/>
    <w:rsid w:val="00E7164A"/>
    <w:rsid w:val="00E8004F"/>
    <w:rsid w:val="00EB4F62"/>
    <w:rsid w:val="00EC1DB6"/>
    <w:rsid w:val="00EE7211"/>
    <w:rsid w:val="00F01962"/>
    <w:rsid w:val="00F048C7"/>
    <w:rsid w:val="00F15700"/>
    <w:rsid w:val="00F164CD"/>
    <w:rsid w:val="00F32E4D"/>
    <w:rsid w:val="00F543DC"/>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440615821">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950237647">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743524043">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A939E279AFD60B881D0017BE278222BCCCA278246EB3E8E6A438D96045C0BCD08B645E8A9BF3F61AE7F34C87B6E0F687E36B812D41354Cq0I%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64F8-ECC2-459C-A8B1-B28A1532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8319</Words>
  <Characters>47422</Characters>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2021-03-25T15:13:00Z</dcterms:created>
  <dcterms:modified xsi:type="dcterms:W3CDTF">2021-03-26T08:30:00Z</dcterms:modified>
</cp:coreProperties>
</file>