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F0" w:rsidRPr="00161DBD" w:rsidRDefault="00D9264B" w:rsidP="001B4DF0">
      <w:pPr>
        <w:ind w:left="-284" w:right="-285" w:firstLine="141"/>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82.85pt;margin-top:-1.45pt;width:413.5pt;height:98.25pt;z-index:251658240" stroked="f">
            <v:textbox style="mso-next-textbox:#_x0000_s1026">
              <w:txbxContent>
                <w:p w:rsidR="00055B56" w:rsidRPr="00EC1C7E" w:rsidRDefault="00055B56" w:rsidP="001B4DF0">
                  <w:pPr>
                    <w:tabs>
                      <w:tab w:val="left" w:pos="7938"/>
                    </w:tabs>
                    <w:adjustRightInd w:val="0"/>
                    <w:ind w:left="0" w:right="174" w:firstLine="0"/>
                    <w:jc w:val="center"/>
                    <w:rPr>
                      <w:b/>
                      <w:bCs/>
                      <w:sz w:val="26"/>
                      <w:szCs w:val="26"/>
                    </w:rPr>
                  </w:pPr>
                  <w:r>
                    <w:rPr>
                      <w:b/>
                      <w:sz w:val="26"/>
                      <w:szCs w:val="26"/>
                    </w:rPr>
                    <w:t>Ответы, предоставленные</w:t>
                  </w:r>
                  <w:r w:rsidRPr="00EC1C7E">
                    <w:rPr>
                      <w:b/>
                      <w:sz w:val="26"/>
                      <w:szCs w:val="26"/>
                    </w:rPr>
                    <w:t xml:space="preserve"> </w:t>
                  </w:r>
                  <w:r>
                    <w:rPr>
                      <w:b/>
                      <w:sz w:val="26"/>
                      <w:szCs w:val="26"/>
                    </w:rPr>
                    <w:t>Департаментом банковского регулирования Банка</w:t>
                  </w:r>
                  <w:r w:rsidRPr="00BA3DBD">
                    <w:rPr>
                      <w:b/>
                      <w:sz w:val="26"/>
                      <w:szCs w:val="26"/>
                    </w:rPr>
                    <w:t xml:space="preserve"> России</w:t>
                  </w:r>
                  <w:r>
                    <w:rPr>
                      <w:b/>
                      <w:sz w:val="26"/>
                      <w:szCs w:val="26"/>
                    </w:rPr>
                    <w:t>,</w:t>
                  </w:r>
                  <w:r w:rsidRPr="00BA3DBD">
                    <w:rPr>
                      <w:b/>
                      <w:sz w:val="26"/>
                      <w:szCs w:val="26"/>
                    </w:rPr>
                    <w:t xml:space="preserve"> </w:t>
                  </w:r>
                  <w:r w:rsidRPr="00EC1C7E">
                    <w:rPr>
                      <w:b/>
                      <w:sz w:val="26"/>
                      <w:szCs w:val="26"/>
                    </w:rPr>
                    <w:t>на вопрос</w:t>
                  </w:r>
                  <w:r>
                    <w:rPr>
                      <w:b/>
                      <w:sz w:val="26"/>
                      <w:szCs w:val="26"/>
                    </w:rPr>
                    <w:t>ы,</w:t>
                  </w:r>
                  <w:r w:rsidRPr="00EC1C7E">
                    <w:rPr>
                      <w:b/>
                      <w:sz w:val="26"/>
                      <w:szCs w:val="26"/>
                    </w:rPr>
                    <w:t xml:space="preserve"> </w:t>
                  </w:r>
                  <w:r w:rsidRPr="00EC1C7E">
                    <w:rPr>
                      <w:b/>
                      <w:bCs/>
                      <w:sz w:val="26"/>
                      <w:szCs w:val="26"/>
                    </w:rPr>
                    <w:t>поступивши</w:t>
                  </w:r>
                  <w:r>
                    <w:rPr>
                      <w:b/>
                      <w:bCs/>
                      <w:sz w:val="26"/>
                      <w:szCs w:val="26"/>
                    </w:rPr>
                    <w:t>е</w:t>
                  </w:r>
                  <w:r w:rsidRPr="00EC1C7E">
                    <w:rPr>
                      <w:b/>
                      <w:bCs/>
                      <w:sz w:val="26"/>
                      <w:szCs w:val="26"/>
                    </w:rPr>
                    <w:t xml:space="preserve"> в Оргкомитет от участнико</w:t>
                  </w:r>
                  <w:proofErr w:type="gramStart"/>
                  <w:r w:rsidRPr="00EC1C7E">
                    <w:rPr>
                      <w:b/>
                      <w:bCs/>
                      <w:sz w:val="26"/>
                      <w:szCs w:val="26"/>
                    </w:rPr>
                    <w:t xml:space="preserve">в к </w:t>
                  </w:r>
                  <w:r w:rsidRPr="00EC1C7E">
                    <w:rPr>
                      <w:b/>
                      <w:sz w:val="26"/>
                      <w:szCs w:val="26"/>
                    </w:rPr>
                    <w:t>встр</w:t>
                  </w:r>
                  <w:proofErr w:type="gramEnd"/>
                  <w:r w:rsidRPr="00EC1C7E">
                    <w:rPr>
                      <w:b/>
                      <w:sz w:val="26"/>
                      <w:szCs w:val="26"/>
                    </w:rPr>
                    <w:t xml:space="preserve">ече </w:t>
                  </w:r>
                  <w:r w:rsidRPr="00EC1C7E">
                    <w:rPr>
                      <w:b/>
                      <w:bCs/>
                      <w:sz w:val="26"/>
                      <w:szCs w:val="26"/>
                    </w:rPr>
                    <w:t>руководителей Банка России</w:t>
                  </w:r>
                  <w:r w:rsidRPr="00EC1C7E">
                    <w:rPr>
                      <w:b/>
                      <w:sz w:val="26"/>
                      <w:szCs w:val="26"/>
                    </w:rPr>
                    <w:t xml:space="preserve"> </w:t>
                  </w:r>
                  <w:r w:rsidRPr="00EC1C7E">
                    <w:rPr>
                      <w:b/>
                      <w:bCs/>
                      <w:sz w:val="26"/>
                      <w:szCs w:val="26"/>
                    </w:rPr>
                    <w:t>с руководителями коммерческих банков 1</w:t>
                  </w:r>
                  <w:r>
                    <w:rPr>
                      <w:b/>
                      <w:bCs/>
                      <w:sz w:val="26"/>
                      <w:szCs w:val="26"/>
                    </w:rPr>
                    <w:t>1</w:t>
                  </w:r>
                  <w:r w:rsidRPr="00EC1C7E">
                    <w:rPr>
                      <w:b/>
                      <w:bCs/>
                      <w:sz w:val="26"/>
                      <w:szCs w:val="26"/>
                    </w:rPr>
                    <w:t xml:space="preserve"> - 1</w:t>
                  </w:r>
                  <w:r>
                    <w:rPr>
                      <w:b/>
                      <w:bCs/>
                      <w:sz w:val="26"/>
                      <w:szCs w:val="26"/>
                    </w:rPr>
                    <w:t>2</w:t>
                  </w:r>
                  <w:r w:rsidRPr="00EC1C7E">
                    <w:rPr>
                      <w:b/>
                      <w:bCs/>
                      <w:sz w:val="26"/>
                      <w:szCs w:val="26"/>
                    </w:rPr>
                    <w:t xml:space="preserve"> февраля 201</w:t>
                  </w:r>
                  <w:r>
                    <w:rPr>
                      <w:b/>
                      <w:bCs/>
                      <w:sz w:val="26"/>
                      <w:szCs w:val="26"/>
                    </w:rPr>
                    <w:t>6</w:t>
                  </w:r>
                  <w:r w:rsidRPr="00EC1C7E">
                    <w:rPr>
                      <w:b/>
                      <w:bCs/>
                      <w:sz w:val="26"/>
                      <w:szCs w:val="26"/>
                    </w:rPr>
                    <w:t>г. в ОПК «БОР»</w:t>
                  </w:r>
                </w:p>
              </w:txbxContent>
            </v:textbox>
          </v:shape>
        </w:pict>
      </w:r>
      <w:r w:rsidR="001B4DF0">
        <w:rPr>
          <w:noProof/>
          <w:lang w:eastAsia="ru-RU"/>
        </w:rPr>
        <w:drawing>
          <wp:inline distT="0" distB="0" distL="0" distR="0">
            <wp:extent cx="119062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90625" cy="1133475"/>
                    </a:xfrm>
                    <a:prstGeom prst="rect">
                      <a:avLst/>
                    </a:prstGeom>
                    <a:noFill/>
                    <a:ln w="9525">
                      <a:noFill/>
                      <a:miter lim="800000"/>
                      <a:headEnd/>
                      <a:tailEnd/>
                    </a:ln>
                  </pic:spPr>
                </pic:pic>
              </a:graphicData>
            </a:graphic>
          </wp:inline>
        </w:drawing>
      </w:r>
    </w:p>
    <w:p w:rsidR="00C4510E" w:rsidRPr="00E90D7D" w:rsidRDefault="00C4510E" w:rsidP="00E90D7D">
      <w:pPr>
        <w:shd w:val="clear" w:color="auto" w:fill="FFFFFF"/>
        <w:spacing w:after="0"/>
        <w:ind w:left="1181"/>
        <w:jc w:val="center"/>
        <w:rPr>
          <w:rFonts w:eastAsia="Times New Roman" w:cs="Times New Roman"/>
          <w:i/>
          <w:iCs/>
          <w:sz w:val="26"/>
          <w:szCs w:val="26"/>
          <w:u w:val="single"/>
        </w:rPr>
      </w:pPr>
      <w:r w:rsidRPr="00E90D7D">
        <w:rPr>
          <w:rFonts w:eastAsia="Times New Roman" w:cs="Times New Roman"/>
          <w:i/>
          <w:iCs/>
          <w:sz w:val="26"/>
          <w:szCs w:val="26"/>
          <w:u w:val="single"/>
        </w:rPr>
        <w:t xml:space="preserve">Раздел II: </w:t>
      </w:r>
      <w:proofErr w:type="gramStart"/>
      <w:r w:rsidRPr="00E90D7D">
        <w:rPr>
          <w:rFonts w:eastAsia="Times New Roman" w:cs="Times New Roman"/>
          <w:i/>
          <w:iCs/>
          <w:sz w:val="26"/>
          <w:szCs w:val="26"/>
          <w:u w:val="single"/>
        </w:rPr>
        <w:t>Вопросы, касающиеся положений Инструкции Банка России от 03.12.2012 № 139-И «Об обязательных нормативах банков» (далее -</w:t>
      </w:r>
      <w:proofErr w:type="gramEnd"/>
    </w:p>
    <w:p w:rsidR="00C4510E" w:rsidRPr="00E90D7D" w:rsidRDefault="00C4510E" w:rsidP="00E90D7D">
      <w:pPr>
        <w:shd w:val="clear" w:color="auto" w:fill="FFFFFF"/>
        <w:spacing w:after="0"/>
        <w:ind w:left="1181"/>
        <w:jc w:val="center"/>
        <w:rPr>
          <w:rFonts w:eastAsia="Times New Roman" w:cs="Times New Roman"/>
          <w:i/>
          <w:iCs/>
          <w:sz w:val="26"/>
          <w:szCs w:val="26"/>
          <w:u w:val="single"/>
        </w:rPr>
      </w:pPr>
      <w:proofErr w:type="gramStart"/>
      <w:r w:rsidRPr="00E90D7D">
        <w:rPr>
          <w:rFonts w:eastAsia="Times New Roman" w:cs="Times New Roman"/>
          <w:i/>
          <w:iCs/>
          <w:sz w:val="26"/>
          <w:szCs w:val="26"/>
          <w:u w:val="single"/>
        </w:rPr>
        <w:t>Инструкция № 139-И).</w:t>
      </w:r>
      <w:proofErr w:type="gramEnd"/>
    </w:p>
    <w:p w:rsidR="00C4510E" w:rsidRPr="00C4510E" w:rsidRDefault="00C4510E" w:rsidP="00C4510E">
      <w:pPr>
        <w:shd w:val="clear" w:color="auto" w:fill="FFFFFF"/>
        <w:spacing w:after="0"/>
        <w:ind w:left="24" w:right="5" w:firstLine="706"/>
        <w:rPr>
          <w:rFonts w:eastAsia="Times New Roman" w:cs="Times New Roman"/>
          <w:b/>
          <w:bCs/>
          <w:sz w:val="26"/>
          <w:szCs w:val="26"/>
        </w:rPr>
      </w:pPr>
      <w:r w:rsidRPr="00C4510E">
        <w:rPr>
          <w:rFonts w:eastAsia="Times New Roman" w:cs="Times New Roman"/>
          <w:b/>
          <w:bCs/>
          <w:sz w:val="26"/>
          <w:szCs w:val="26"/>
        </w:rPr>
        <w:t>Вопрос 1. Принятые изменения в Инструкцию № 139-И о снижении требований к достаточности капитала касаются базового и совокупного капитала. Требование к достаточности основного капитала (Н</w:t>
      </w:r>
      <w:proofErr w:type="gramStart"/>
      <w:r w:rsidRPr="00C4510E">
        <w:rPr>
          <w:rFonts w:eastAsia="Times New Roman" w:cs="Times New Roman"/>
          <w:b/>
          <w:bCs/>
          <w:sz w:val="26"/>
          <w:szCs w:val="26"/>
        </w:rPr>
        <w:t>1</w:t>
      </w:r>
      <w:proofErr w:type="gramEnd"/>
      <w:r w:rsidRPr="00C4510E">
        <w:rPr>
          <w:rFonts w:eastAsia="Times New Roman" w:cs="Times New Roman"/>
          <w:b/>
          <w:bCs/>
          <w:sz w:val="26"/>
          <w:szCs w:val="26"/>
        </w:rPr>
        <w:t>.2) не изменяется, но добавляется обязательство банка по поддержанию минимального значения надбавок достаточности капитала применительно к базовому капиталу, входящему в состав основного капитала. Таким образом, дефицит основного капитала становится существенным ограничением роста банковского бизнеса, особенно в условиях дефицита капитала на банковском рынке. Рассматривает ли Банк России возможность снижения требований к достаточности основного капитала?</w:t>
      </w:r>
    </w:p>
    <w:p w:rsidR="00160FC2" w:rsidRPr="00160FC2" w:rsidRDefault="006C0C22" w:rsidP="00160FC2">
      <w:pPr>
        <w:shd w:val="clear" w:color="auto" w:fill="FFFFFF"/>
        <w:spacing w:after="0"/>
        <w:ind w:left="5"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160FC2" w:rsidRPr="00160FC2">
        <w:rPr>
          <w:rFonts w:eastAsia="Times New Roman" w:cs="Times New Roman"/>
          <w:sz w:val="26"/>
          <w:szCs w:val="26"/>
        </w:rPr>
        <w:t xml:space="preserve">В целях компенсации возможного негативного влияния на показатели деятельности кредитных организаций изменений, связанных с приведением банковского регулирования в соответствие с </w:t>
      </w:r>
      <w:proofErr w:type="spellStart"/>
      <w:r w:rsidR="00160FC2" w:rsidRPr="00160FC2">
        <w:rPr>
          <w:rFonts w:eastAsia="Times New Roman" w:cs="Times New Roman"/>
          <w:sz w:val="26"/>
          <w:szCs w:val="26"/>
        </w:rPr>
        <w:t>базельскими</w:t>
      </w:r>
      <w:proofErr w:type="spellEnd"/>
      <w:r w:rsidR="00160FC2" w:rsidRPr="00160FC2">
        <w:rPr>
          <w:rFonts w:eastAsia="Times New Roman" w:cs="Times New Roman"/>
          <w:sz w:val="26"/>
          <w:szCs w:val="26"/>
        </w:rPr>
        <w:t xml:space="preserve"> стандартами, Банк России предусмотрел снижение минимальных требований по значению нормативов достаточности базового капитала (Н 1.1) и достаточности собственных средств (капитала) (Н</w:t>
      </w:r>
      <w:proofErr w:type="gramStart"/>
      <w:r w:rsidR="00160FC2" w:rsidRPr="00160FC2">
        <w:rPr>
          <w:rFonts w:eastAsia="Times New Roman" w:cs="Times New Roman"/>
          <w:sz w:val="26"/>
          <w:szCs w:val="26"/>
        </w:rPr>
        <w:t>1</w:t>
      </w:r>
      <w:proofErr w:type="gramEnd"/>
      <w:r w:rsidR="00160FC2" w:rsidRPr="00160FC2">
        <w:rPr>
          <w:rFonts w:eastAsia="Times New Roman" w:cs="Times New Roman"/>
          <w:sz w:val="26"/>
          <w:szCs w:val="26"/>
        </w:rPr>
        <w:t>.0) до минимально установленных Базелем III значений (4,5% и 8% соответственно).</w:t>
      </w:r>
    </w:p>
    <w:p w:rsidR="00160FC2" w:rsidRPr="00160FC2" w:rsidRDefault="00160FC2" w:rsidP="00160FC2">
      <w:pPr>
        <w:shd w:val="clear" w:color="auto" w:fill="FFFFFF"/>
        <w:spacing w:after="0"/>
        <w:ind w:left="5" w:right="10" w:firstLine="538"/>
        <w:rPr>
          <w:rFonts w:eastAsia="Times New Roman" w:cs="Times New Roman"/>
          <w:sz w:val="26"/>
          <w:szCs w:val="26"/>
        </w:rPr>
      </w:pPr>
      <w:r w:rsidRPr="00160FC2">
        <w:rPr>
          <w:rFonts w:eastAsia="Times New Roman" w:cs="Times New Roman"/>
          <w:sz w:val="26"/>
          <w:szCs w:val="26"/>
        </w:rPr>
        <w:t>Значение норматива достаточности основного капитала банка Н</w:t>
      </w:r>
      <w:proofErr w:type="gramStart"/>
      <w:r w:rsidRPr="00160FC2">
        <w:rPr>
          <w:rFonts w:eastAsia="Times New Roman" w:cs="Times New Roman"/>
          <w:sz w:val="26"/>
          <w:szCs w:val="26"/>
        </w:rPr>
        <w:t>1</w:t>
      </w:r>
      <w:proofErr w:type="gramEnd"/>
      <w:r w:rsidRPr="00160FC2">
        <w:rPr>
          <w:rFonts w:eastAsia="Times New Roman" w:cs="Times New Roman"/>
          <w:sz w:val="26"/>
          <w:szCs w:val="26"/>
        </w:rPr>
        <w:t>.2 (в размере не менее 6%) соответствует требованиям Базеля III (параграф 50).</w:t>
      </w:r>
    </w:p>
    <w:p w:rsidR="00C4510E" w:rsidRPr="00160FC2" w:rsidRDefault="00C4510E" w:rsidP="00160FC2">
      <w:pPr>
        <w:shd w:val="clear" w:color="auto" w:fill="FFFFFF"/>
        <w:spacing w:after="0"/>
        <w:ind w:left="5" w:right="10" w:firstLine="538"/>
        <w:rPr>
          <w:rFonts w:eastAsia="Times New Roman" w:cs="Times New Roman"/>
          <w:sz w:val="26"/>
          <w:szCs w:val="26"/>
        </w:rPr>
      </w:pPr>
    </w:p>
    <w:p w:rsidR="00160FC2" w:rsidRPr="00160FC2" w:rsidRDefault="00160FC2" w:rsidP="00160FC2">
      <w:pPr>
        <w:shd w:val="clear" w:color="auto" w:fill="FFFFFF"/>
        <w:spacing w:after="0"/>
        <w:ind w:left="24" w:right="5" w:firstLine="706"/>
        <w:rPr>
          <w:rFonts w:eastAsia="Times New Roman" w:cs="Times New Roman"/>
          <w:b/>
          <w:bCs/>
          <w:sz w:val="26"/>
          <w:szCs w:val="26"/>
        </w:rPr>
      </w:pPr>
      <w:r w:rsidRPr="00160FC2">
        <w:rPr>
          <w:rFonts w:eastAsia="Times New Roman" w:cs="Times New Roman"/>
          <w:b/>
          <w:bCs/>
          <w:sz w:val="26"/>
          <w:szCs w:val="26"/>
        </w:rPr>
        <w:t xml:space="preserve">Вопрос 2. Банк России ранее информировал, что основополагающими критериями связанности заемщиков будут выступать стандарты международной отчетности, а также о том, что связанными будут считаться стороны, имеющие общего гаранта (поручителя) и предоставляющие займы за счет кредитных средств. Планируются ли эти изменения? Планируется ли приводить критерии, определенные в законодательстве в соответствие с МСФО? Например, согласно п.2 ст.9135-ФЗ "О защите конкуренции" единоличный исполнительный орган юридического лица и юридическое лицо образуют группу, то есть являются связанными лицами, но согласно МСФО, это не так. Наличие размытых критериев и отличный от </w:t>
      </w:r>
      <w:proofErr w:type="gramStart"/>
      <w:r w:rsidRPr="00160FC2">
        <w:rPr>
          <w:rFonts w:eastAsia="Times New Roman" w:cs="Times New Roman"/>
          <w:b/>
          <w:bCs/>
          <w:sz w:val="26"/>
          <w:szCs w:val="26"/>
        </w:rPr>
        <w:t>принятого</w:t>
      </w:r>
      <w:proofErr w:type="gramEnd"/>
      <w:r w:rsidRPr="00160FC2">
        <w:rPr>
          <w:rFonts w:eastAsia="Times New Roman" w:cs="Times New Roman"/>
          <w:b/>
          <w:bCs/>
          <w:sz w:val="26"/>
          <w:szCs w:val="26"/>
        </w:rPr>
        <w:t xml:space="preserve"> в России деловой язык значительно затрудняют для банков правильную классификацию связанности заемщиков и создают множество спорных ситуаций?</w:t>
      </w:r>
    </w:p>
    <w:p w:rsidR="00160FC2" w:rsidRPr="00160FC2" w:rsidRDefault="006C0C22" w:rsidP="00160FC2">
      <w:pPr>
        <w:shd w:val="clear" w:color="auto" w:fill="FFFFFF"/>
        <w:spacing w:after="0"/>
        <w:ind w:left="5" w:right="10" w:firstLine="538"/>
        <w:rPr>
          <w:rFonts w:eastAsia="Times New Roman" w:cs="Times New Roman"/>
          <w:sz w:val="26"/>
          <w:szCs w:val="26"/>
        </w:rPr>
      </w:pPr>
      <w:r w:rsidRPr="002E247D">
        <w:rPr>
          <w:rFonts w:eastAsia="Times New Roman" w:cs="Times New Roman"/>
          <w:b/>
          <w:sz w:val="26"/>
          <w:szCs w:val="26"/>
        </w:rPr>
        <w:lastRenderedPageBreak/>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00160FC2" w:rsidRPr="00160FC2">
        <w:rPr>
          <w:rFonts w:eastAsia="Times New Roman" w:cs="Times New Roman"/>
          <w:sz w:val="26"/>
          <w:szCs w:val="26"/>
        </w:rPr>
        <w:t>В соответствии с новой редакцией статьи 64 Федерального закона от 10.07.2002 № 86-ФЗ «О Центральном банке Российской Федерации (Банке России)» (далее - Федеральный закон № 86-ФЗ) определение группы связанных заемщиков будет осуществляться с 01.01.2017 на основании наличия контроля и значительного влияния, определяемых в соответствии с Международными стандартами финансовой отчетности, признанными на территории Российской Федерации.</w:t>
      </w:r>
      <w:proofErr w:type="gramEnd"/>
    </w:p>
    <w:p w:rsidR="00160FC2" w:rsidRPr="00160FC2" w:rsidRDefault="00160FC2" w:rsidP="00160FC2">
      <w:pPr>
        <w:shd w:val="clear" w:color="auto" w:fill="FFFFFF"/>
        <w:spacing w:after="0"/>
        <w:ind w:left="5" w:right="10" w:firstLine="538"/>
        <w:rPr>
          <w:rFonts w:eastAsia="Times New Roman" w:cs="Times New Roman"/>
          <w:sz w:val="26"/>
          <w:szCs w:val="26"/>
        </w:rPr>
      </w:pPr>
      <w:r w:rsidRPr="00160FC2">
        <w:rPr>
          <w:rFonts w:eastAsia="Times New Roman" w:cs="Times New Roman"/>
          <w:sz w:val="26"/>
          <w:szCs w:val="26"/>
        </w:rPr>
        <w:t>В дополнение к указанным выше группам на основании критериев статьи 9 Федерального закона № 135-ФЗ «О защите конкуренции» формируются «группы лиц» в целях расчета норматива максимального размера риска на связанное с банком лицо (группу связанных с банком лиц) Н25.</w:t>
      </w:r>
    </w:p>
    <w:p w:rsidR="00160FC2" w:rsidRPr="00160FC2" w:rsidRDefault="00160FC2" w:rsidP="00160FC2">
      <w:pPr>
        <w:shd w:val="clear" w:color="auto" w:fill="FFFFFF"/>
        <w:spacing w:after="0"/>
        <w:ind w:left="5" w:right="10" w:firstLine="538"/>
        <w:rPr>
          <w:rFonts w:eastAsia="Times New Roman" w:cs="Times New Roman"/>
          <w:sz w:val="26"/>
          <w:szCs w:val="26"/>
        </w:rPr>
      </w:pPr>
      <w:r w:rsidRPr="00160FC2">
        <w:rPr>
          <w:rFonts w:eastAsia="Times New Roman" w:cs="Times New Roman"/>
          <w:sz w:val="26"/>
          <w:szCs w:val="26"/>
        </w:rPr>
        <w:t>Таким образом, единоличный исполнительный орган и предприятие будут включаться в группу связанных с банком лиц в целях расчета норматива Н25.</w:t>
      </w:r>
    </w:p>
    <w:p w:rsidR="00160FC2" w:rsidRDefault="00160FC2" w:rsidP="00160FC2">
      <w:pPr>
        <w:shd w:val="clear" w:color="auto" w:fill="FFFFFF"/>
        <w:spacing w:after="0"/>
        <w:ind w:left="5" w:right="10" w:firstLine="538"/>
        <w:rPr>
          <w:rFonts w:eastAsia="Times New Roman" w:cs="Times New Roman"/>
          <w:sz w:val="26"/>
          <w:szCs w:val="26"/>
        </w:rPr>
      </w:pPr>
    </w:p>
    <w:p w:rsidR="004068EB" w:rsidRPr="004068EB" w:rsidRDefault="004068EB" w:rsidP="004068EB">
      <w:pPr>
        <w:shd w:val="clear" w:color="auto" w:fill="FFFFFF"/>
        <w:spacing w:after="0"/>
        <w:ind w:left="24" w:right="5" w:firstLine="706"/>
        <w:rPr>
          <w:rFonts w:eastAsia="Times New Roman" w:cs="Times New Roman"/>
          <w:b/>
          <w:bCs/>
          <w:sz w:val="26"/>
          <w:szCs w:val="26"/>
        </w:rPr>
      </w:pPr>
      <w:r w:rsidRPr="004068EB">
        <w:rPr>
          <w:rFonts w:eastAsia="Times New Roman" w:cs="Times New Roman"/>
          <w:b/>
          <w:bCs/>
          <w:sz w:val="26"/>
          <w:szCs w:val="26"/>
        </w:rPr>
        <w:t>Вопрос 3. В соответствии со статьей 64.1 проекта изменений в Федеральный закон от 10.07.2012 года №86-ФЗ «О Центральном банке Российской Федерации (Банке России)» под связанным с кредитной организацией юридическим лицом понимается юридическое лицо, которое контролирует кредитную организацию или оказывает на нее значительное влияние. В структуре собственности банка отсутствуют мажоритарные акционеры с долей 20% и выше, которые, в соответствии со стандартами МСФО, осуществляют контроль или оказывают значительное влияние в силу своего участия в капитале Банка. Какова позиция Банка России в отношении включения в расчет максимального размера риска на связанное с кредитной организацией лицо (норматив Н25) требований к акционерам банка с долей менее 20%, а также в отношении критерия существенности доли немажоритарного акционера?</w:t>
      </w:r>
    </w:p>
    <w:p w:rsidR="004068EB" w:rsidRPr="004068EB" w:rsidRDefault="006C0C22" w:rsidP="004068EB">
      <w:pPr>
        <w:shd w:val="clear" w:color="auto" w:fill="FFFFFF"/>
        <w:spacing w:after="0"/>
        <w:ind w:left="5"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4068EB" w:rsidRPr="004068EB">
        <w:rPr>
          <w:rFonts w:eastAsia="Times New Roman" w:cs="Times New Roman"/>
          <w:sz w:val="26"/>
          <w:szCs w:val="26"/>
        </w:rPr>
        <w:t>В соответствии с МСФО (</w:t>
      </w:r>
      <w:r>
        <w:rPr>
          <w:rFonts w:eastAsia="Times New Roman" w:cs="Times New Roman"/>
          <w:sz w:val="26"/>
          <w:szCs w:val="26"/>
          <w:lang w:val="en-US"/>
        </w:rPr>
        <w:t>IAS</w:t>
      </w:r>
      <w:r w:rsidR="004068EB" w:rsidRPr="004068EB">
        <w:rPr>
          <w:rFonts w:eastAsia="Times New Roman" w:cs="Times New Roman"/>
          <w:sz w:val="26"/>
          <w:szCs w:val="26"/>
        </w:rPr>
        <w:t>) 28 «Инвестиции в ассоциированные и совместные предприятия» под значительным влиянием понимается правомочность участвовать в принятии решений по финансовой и операционной политике объекта инвестиций. Пункт 5 МСФО (</w:t>
      </w:r>
      <w:r>
        <w:rPr>
          <w:rFonts w:eastAsia="Times New Roman" w:cs="Times New Roman"/>
          <w:sz w:val="26"/>
          <w:szCs w:val="26"/>
          <w:lang w:val="en-US"/>
        </w:rPr>
        <w:t>IAS</w:t>
      </w:r>
      <w:r w:rsidR="004068EB" w:rsidRPr="004068EB">
        <w:rPr>
          <w:rFonts w:eastAsia="Times New Roman" w:cs="Times New Roman"/>
          <w:sz w:val="26"/>
          <w:szCs w:val="26"/>
        </w:rPr>
        <w:t>) 28 раскрывает значительное влияние как обладание 20% и более прав голоса в отношении объекта инвестиций или как наличие признаков, подтверждающих такое значительное влияние.</w:t>
      </w:r>
    </w:p>
    <w:p w:rsidR="004068EB" w:rsidRPr="004068EB" w:rsidRDefault="004068EB" w:rsidP="004068EB">
      <w:pPr>
        <w:shd w:val="clear" w:color="auto" w:fill="FFFFFF"/>
        <w:spacing w:after="0"/>
        <w:ind w:left="5" w:right="10" w:firstLine="538"/>
        <w:rPr>
          <w:rFonts w:eastAsia="Times New Roman" w:cs="Times New Roman"/>
          <w:sz w:val="26"/>
          <w:szCs w:val="26"/>
        </w:rPr>
      </w:pPr>
      <w:r w:rsidRPr="004068EB">
        <w:rPr>
          <w:rFonts w:eastAsia="Times New Roman" w:cs="Times New Roman"/>
          <w:sz w:val="26"/>
          <w:szCs w:val="26"/>
        </w:rPr>
        <w:t>При этом МСФО (</w:t>
      </w:r>
      <w:r w:rsidR="006C0C22">
        <w:rPr>
          <w:rFonts w:eastAsia="Times New Roman" w:cs="Times New Roman"/>
          <w:sz w:val="26"/>
          <w:szCs w:val="26"/>
          <w:lang w:val="en-US"/>
        </w:rPr>
        <w:t>IAS</w:t>
      </w:r>
      <w:r w:rsidRPr="004068EB">
        <w:rPr>
          <w:rFonts w:eastAsia="Times New Roman" w:cs="Times New Roman"/>
          <w:sz w:val="26"/>
          <w:szCs w:val="26"/>
        </w:rPr>
        <w:t>) 28 не устанавливает каких-либо точных критериев или количественных показателей для фактов, подтверждающих наличие значительного влияния. Кроме того, указанный стандарт не устанавливает приоритетность одних критериев значительного влияния по сравнению с другими критериями.</w:t>
      </w:r>
    </w:p>
    <w:p w:rsidR="004068EB" w:rsidRPr="004068EB" w:rsidRDefault="004068EB" w:rsidP="004068EB">
      <w:pPr>
        <w:shd w:val="clear" w:color="auto" w:fill="FFFFFF"/>
        <w:spacing w:after="0"/>
        <w:ind w:left="5" w:right="10" w:firstLine="538"/>
        <w:rPr>
          <w:rFonts w:eastAsia="Times New Roman" w:cs="Times New Roman"/>
          <w:sz w:val="26"/>
          <w:szCs w:val="26"/>
        </w:rPr>
      </w:pPr>
      <w:r w:rsidRPr="004068EB">
        <w:rPr>
          <w:rFonts w:eastAsia="Times New Roman" w:cs="Times New Roman"/>
          <w:sz w:val="26"/>
          <w:szCs w:val="26"/>
        </w:rPr>
        <w:t xml:space="preserve">В связи с этим полагаем, что критерии значительного влияния необходимо рассматривать на предмет наличия хотя бы одного из признаков в правоотношениях между акционером и объектом инвестиций, в том числе фактом </w:t>
      </w:r>
      <w:r w:rsidRPr="004068EB">
        <w:rPr>
          <w:rFonts w:eastAsia="Times New Roman" w:cs="Times New Roman"/>
          <w:sz w:val="26"/>
          <w:szCs w:val="26"/>
        </w:rPr>
        <w:lastRenderedPageBreak/>
        <w:t>наличия представительства в совете директоров или аналогичном органе управления объектом инвестиций (пункт 6а).</w:t>
      </w:r>
    </w:p>
    <w:p w:rsidR="004068EB" w:rsidRPr="004068EB" w:rsidRDefault="004068EB" w:rsidP="004068EB">
      <w:pPr>
        <w:shd w:val="clear" w:color="auto" w:fill="FFFFFF"/>
        <w:spacing w:after="0"/>
        <w:ind w:left="5" w:right="10" w:firstLine="538"/>
        <w:rPr>
          <w:rFonts w:eastAsia="Times New Roman" w:cs="Times New Roman"/>
          <w:sz w:val="26"/>
          <w:szCs w:val="26"/>
        </w:rPr>
      </w:pPr>
      <w:r w:rsidRPr="004068EB">
        <w:rPr>
          <w:rFonts w:eastAsia="Times New Roman" w:cs="Times New Roman"/>
          <w:sz w:val="26"/>
          <w:szCs w:val="26"/>
        </w:rPr>
        <w:t>При этом</w:t>
      </w:r>
      <w:proofErr w:type="gramStart"/>
      <w:r w:rsidRPr="004068EB">
        <w:rPr>
          <w:rFonts w:eastAsia="Times New Roman" w:cs="Times New Roman"/>
          <w:sz w:val="26"/>
          <w:szCs w:val="26"/>
        </w:rPr>
        <w:t>,</w:t>
      </w:r>
      <w:proofErr w:type="gramEnd"/>
      <w:r w:rsidRPr="004068EB">
        <w:rPr>
          <w:rFonts w:eastAsia="Times New Roman" w:cs="Times New Roman"/>
          <w:sz w:val="26"/>
          <w:szCs w:val="26"/>
        </w:rPr>
        <w:t xml:space="preserve"> по нашему мнению, данные нормы должны применяться с учетом анализа фактических возможностей акционера оказывать влияние на решения, принимаемые органом управления предприятия, т.е. оценки того, приводят ли потенциальные права голоса к наличию значительного влияния.</w:t>
      </w:r>
    </w:p>
    <w:p w:rsidR="004068EB" w:rsidRPr="004068EB" w:rsidRDefault="004068EB" w:rsidP="004068EB">
      <w:pPr>
        <w:shd w:val="clear" w:color="auto" w:fill="FFFFFF"/>
        <w:spacing w:after="0"/>
        <w:ind w:left="5" w:right="10" w:firstLine="538"/>
        <w:rPr>
          <w:rFonts w:eastAsia="Times New Roman" w:cs="Times New Roman"/>
          <w:sz w:val="26"/>
          <w:szCs w:val="26"/>
        </w:rPr>
      </w:pPr>
      <w:r w:rsidRPr="004068EB">
        <w:rPr>
          <w:rFonts w:eastAsia="Times New Roman" w:cs="Times New Roman"/>
          <w:sz w:val="26"/>
          <w:szCs w:val="26"/>
        </w:rPr>
        <w:t>Учитывая изложенное, полагаем, что при опр</w:t>
      </w:r>
      <w:r w:rsidR="006C0C22">
        <w:rPr>
          <w:rFonts w:eastAsia="Times New Roman" w:cs="Times New Roman"/>
          <w:sz w:val="26"/>
          <w:szCs w:val="26"/>
        </w:rPr>
        <w:t>еделении перечисленных в МСФО (</w:t>
      </w:r>
      <w:r w:rsidR="006C0C22">
        <w:rPr>
          <w:rFonts w:eastAsia="Times New Roman" w:cs="Times New Roman"/>
          <w:sz w:val="26"/>
          <w:szCs w:val="26"/>
          <w:lang w:val="en-US"/>
        </w:rPr>
        <w:t>IAS</w:t>
      </w:r>
      <w:r w:rsidRPr="004068EB">
        <w:rPr>
          <w:rFonts w:eastAsia="Times New Roman" w:cs="Times New Roman"/>
          <w:sz w:val="26"/>
          <w:szCs w:val="26"/>
        </w:rPr>
        <w:t>) 28 факторов следует применять профессиональное суждение.</w:t>
      </w:r>
    </w:p>
    <w:p w:rsidR="004068EB" w:rsidRPr="004068EB" w:rsidRDefault="004068EB" w:rsidP="004068EB">
      <w:pPr>
        <w:shd w:val="clear" w:color="auto" w:fill="FFFFFF"/>
        <w:spacing w:after="0"/>
        <w:ind w:left="5" w:right="10" w:firstLine="538"/>
        <w:rPr>
          <w:rFonts w:eastAsia="Times New Roman" w:cs="Times New Roman"/>
          <w:sz w:val="26"/>
          <w:szCs w:val="26"/>
        </w:rPr>
      </w:pPr>
    </w:p>
    <w:p w:rsidR="004068EB" w:rsidRPr="004068EB" w:rsidRDefault="004068EB" w:rsidP="004068EB">
      <w:pPr>
        <w:shd w:val="clear" w:color="auto" w:fill="FFFFFF"/>
        <w:spacing w:after="0"/>
        <w:ind w:left="24" w:right="5" w:firstLine="706"/>
        <w:rPr>
          <w:rFonts w:eastAsia="Times New Roman" w:cs="Times New Roman"/>
          <w:b/>
          <w:bCs/>
          <w:sz w:val="26"/>
          <w:szCs w:val="26"/>
        </w:rPr>
      </w:pPr>
      <w:r w:rsidRPr="004068EB">
        <w:rPr>
          <w:rFonts w:eastAsia="Times New Roman" w:cs="Times New Roman"/>
          <w:b/>
          <w:bCs/>
          <w:sz w:val="26"/>
          <w:szCs w:val="26"/>
        </w:rPr>
        <w:t xml:space="preserve">Вопрос 4. </w:t>
      </w:r>
      <w:proofErr w:type="gramStart"/>
      <w:r w:rsidRPr="004068EB">
        <w:rPr>
          <w:rFonts w:eastAsia="Times New Roman" w:cs="Times New Roman"/>
          <w:b/>
          <w:bCs/>
          <w:sz w:val="26"/>
          <w:szCs w:val="26"/>
        </w:rPr>
        <w:t>В связи с переносом вступления в силу (вступает в силу с 1 января 2017 года) главы 6.1 «Максимальный размер риска на связанное с банком лицо (группу связанных с банком лиц) (Н25)» Инструкции № 139-И, будут ли вноситься изменения в ранее опубликованный на сайте Банка России проект Указания «О признаках возможной связанности лица (лиц) с кредитной организацией»?</w:t>
      </w:r>
      <w:proofErr w:type="gramEnd"/>
      <w:r w:rsidRPr="004068EB">
        <w:rPr>
          <w:rFonts w:eastAsia="Times New Roman" w:cs="Times New Roman"/>
          <w:b/>
          <w:bCs/>
          <w:sz w:val="26"/>
          <w:szCs w:val="26"/>
        </w:rPr>
        <w:t xml:space="preserve"> Следует ли руководствоваться данным проектом для отнесения физических и юридических лиц (группы лиц) к связанным с банком лицам (группе связанных с банком лиц), либо руководствоваться только статьями 64 и 64.1 Федерального закона от 10 июля 2002 года № 86-ФЗ "О Центральном банке Российской Федерации (Банке России)"?</w:t>
      </w:r>
    </w:p>
    <w:p w:rsidR="004068EB" w:rsidRPr="004068EB" w:rsidRDefault="006C0C22" w:rsidP="004068EB">
      <w:pPr>
        <w:shd w:val="clear" w:color="auto" w:fill="FFFFFF"/>
        <w:spacing w:after="0"/>
        <w:ind w:left="5"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4068EB" w:rsidRPr="004068EB">
        <w:rPr>
          <w:rFonts w:eastAsia="Times New Roman" w:cs="Times New Roman"/>
          <w:sz w:val="26"/>
          <w:szCs w:val="26"/>
        </w:rPr>
        <w:t>Критерии связанности кредитной организации с юридическими и физическими лицами установлены статьей 64 Федерального закона «О Центральном банке Российской Федерации (Банке России)», которая вступает в действие с 1 января 2017 года.</w:t>
      </w:r>
    </w:p>
    <w:p w:rsidR="004068EB" w:rsidRPr="004068EB" w:rsidRDefault="004068EB" w:rsidP="004068EB">
      <w:pPr>
        <w:shd w:val="clear" w:color="auto" w:fill="FFFFFF"/>
        <w:spacing w:after="0"/>
        <w:ind w:left="5" w:right="10" w:firstLine="538"/>
        <w:rPr>
          <w:rFonts w:eastAsia="Times New Roman" w:cs="Times New Roman"/>
          <w:sz w:val="26"/>
          <w:szCs w:val="26"/>
        </w:rPr>
      </w:pPr>
      <w:r w:rsidRPr="004068EB">
        <w:rPr>
          <w:rFonts w:eastAsia="Times New Roman" w:cs="Times New Roman"/>
          <w:sz w:val="26"/>
          <w:szCs w:val="26"/>
        </w:rPr>
        <w:t>Банком России ведется работа над проектом указания Банка России, устанавливающим в соответствии со статьей 64.1 вышеуказанного федерального закона признаки возможной связанности лица (лиц) с кредитной организацией, прямо не вытекающие из имеющихся у кредитной организации полномочий по управлению их деятельностью, на основании применения Банком России мотивированного суждения. Проект указания разрабатывается в целях принятия Комитетом банковского надзора Банка России решения о признании лица лицом, связанным с кредитной организацией (входящим в группу связанных с кредитной организацией лиц), для определения максимального размера риска на связанное с кредитной организацией лицо (группу связанных с кредитной организацией лиц).</w:t>
      </w:r>
    </w:p>
    <w:p w:rsidR="004068EB" w:rsidRPr="004068EB" w:rsidRDefault="004068EB" w:rsidP="004068EB">
      <w:pPr>
        <w:shd w:val="clear" w:color="auto" w:fill="FFFFFF"/>
        <w:spacing w:after="0"/>
        <w:ind w:left="5" w:right="10" w:firstLine="538"/>
        <w:rPr>
          <w:rFonts w:eastAsia="Times New Roman" w:cs="Times New Roman"/>
          <w:sz w:val="26"/>
          <w:szCs w:val="26"/>
        </w:rPr>
      </w:pPr>
      <w:r w:rsidRPr="004068EB">
        <w:rPr>
          <w:rFonts w:eastAsia="Times New Roman" w:cs="Times New Roman"/>
          <w:sz w:val="26"/>
          <w:szCs w:val="26"/>
        </w:rPr>
        <w:t>Планируемый срок вступления в силу указанной статьи и, соответственно, данного нормативного акта Банка России - 1 января 2017 года.</w:t>
      </w:r>
    </w:p>
    <w:p w:rsidR="001252E6" w:rsidRDefault="001252E6" w:rsidP="004068EB">
      <w:pPr>
        <w:shd w:val="clear" w:color="auto" w:fill="FFFFFF"/>
        <w:spacing w:after="0"/>
        <w:ind w:left="5" w:right="10" w:firstLine="538"/>
        <w:rPr>
          <w:rFonts w:eastAsia="Times New Roman" w:cs="Times New Roman"/>
          <w:sz w:val="26"/>
          <w:szCs w:val="26"/>
        </w:rPr>
      </w:pPr>
    </w:p>
    <w:p w:rsidR="004068EB" w:rsidRPr="004068EB" w:rsidRDefault="004068EB" w:rsidP="004068EB">
      <w:pPr>
        <w:shd w:val="clear" w:color="auto" w:fill="FFFFFF"/>
        <w:spacing w:after="0"/>
        <w:ind w:left="24" w:right="5" w:firstLine="706"/>
        <w:rPr>
          <w:rFonts w:eastAsia="Times New Roman" w:cs="Times New Roman"/>
          <w:b/>
          <w:bCs/>
          <w:sz w:val="26"/>
          <w:szCs w:val="26"/>
        </w:rPr>
      </w:pPr>
      <w:r w:rsidRPr="004068EB">
        <w:rPr>
          <w:rFonts w:eastAsia="Times New Roman" w:cs="Times New Roman"/>
          <w:b/>
          <w:bCs/>
          <w:sz w:val="26"/>
          <w:szCs w:val="26"/>
        </w:rPr>
        <w:t>Вопрос 5. Для системно значимых кредитных организаций с 01.01.2016г. вводится новый обязательный норматив краткосрочной ликвидности (Н27). Планируется ли введение данного норматива для кредитных организаций, не являющихся системно значимыми? Если да, то с какой даты?</w:t>
      </w:r>
    </w:p>
    <w:p w:rsidR="004068EB" w:rsidRPr="004068EB" w:rsidRDefault="006C0C22" w:rsidP="004068EB">
      <w:pPr>
        <w:shd w:val="clear" w:color="auto" w:fill="FFFFFF"/>
        <w:spacing w:after="0"/>
        <w:ind w:left="5"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4068EB" w:rsidRPr="004068EB">
        <w:rPr>
          <w:rFonts w:eastAsia="Times New Roman" w:cs="Times New Roman"/>
          <w:sz w:val="26"/>
          <w:szCs w:val="26"/>
        </w:rPr>
        <w:t xml:space="preserve">В настоящее время Банк России не планирует распространять обязательное требование о соблюдении норматива краткосрочной </w:t>
      </w:r>
      <w:r w:rsidR="004068EB" w:rsidRPr="004068EB">
        <w:rPr>
          <w:rFonts w:eastAsia="Times New Roman" w:cs="Times New Roman"/>
          <w:sz w:val="26"/>
          <w:szCs w:val="26"/>
        </w:rPr>
        <w:lastRenderedPageBreak/>
        <w:t xml:space="preserve">ликвидности (Н26 (Н27)) на кредитные организации, не включенные в перечень системно значимых кредитных организаций. Вместе с тем Банк России продолжит мониторинг расчета крупными кредитными организациями (размер активов кредитной организации составляет 50 и более </w:t>
      </w:r>
      <w:proofErr w:type="spellStart"/>
      <w:proofErr w:type="gramStart"/>
      <w:r w:rsidR="004068EB" w:rsidRPr="004068EB">
        <w:rPr>
          <w:rFonts w:eastAsia="Times New Roman" w:cs="Times New Roman"/>
          <w:sz w:val="26"/>
          <w:szCs w:val="26"/>
        </w:rPr>
        <w:t>млрд</w:t>
      </w:r>
      <w:proofErr w:type="spellEnd"/>
      <w:proofErr w:type="gramEnd"/>
      <w:r w:rsidR="004068EB" w:rsidRPr="004068EB">
        <w:rPr>
          <w:rFonts w:eastAsia="Times New Roman" w:cs="Times New Roman"/>
          <w:sz w:val="26"/>
          <w:szCs w:val="26"/>
        </w:rPr>
        <w:t xml:space="preserve"> руб. и (или) размер средств, привлеченных от физических лиц на основании договоров банковского вклада и договоров банковского счета, составляет 10 и более </w:t>
      </w:r>
      <w:proofErr w:type="spellStart"/>
      <w:r w:rsidR="004068EB" w:rsidRPr="004068EB">
        <w:rPr>
          <w:rFonts w:eastAsia="Times New Roman" w:cs="Times New Roman"/>
          <w:sz w:val="26"/>
          <w:szCs w:val="26"/>
        </w:rPr>
        <w:t>млрд</w:t>
      </w:r>
      <w:proofErr w:type="spellEnd"/>
      <w:r w:rsidR="004068EB" w:rsidRPr="004068EB">
        <w:rPr>
          <w:rFonts w:eastAsia="Times New Roman" w:cs="Times New Roman"/>
          <w:sz w:val="26"/>
          <w:szCs w:val="26"/>
        </w:rPr>
        <w:t xml:space="preserve"> руб.) показателя краткосрочной ликвидности в соответствии с Положением Банка России от 30.05.2014 № 421-П.</w:t>
      </w:r>
    </w:p>
    <w:p w:rsidR="004068EB" w:rsidRDefault="004068EB" w:rsidP="004068EB">
      <w:pPr>
        <w:shd w:val="clear" w:color="auto" w:fill="FFFFFF"/>
        <w:spacing w:after="0"/>
        <w:ind w:left="5" w:right="10" w:firstLine="538"/>
        <w:rPr>
          <w:rFonts w:eastAsia="Times New Roman" w:cs="Times New Roman"/>
          <w:sz w:val="26"/>
          <w:szCs w:val="26"/>
        </w:rPr>
      </w:pPr>
    </w:p>
    <w:p w:rsidR="004167F7" w:rsidRPr="004167F7" w:rsidRDefault="004167F7" w:rsidP="004167F7">
      <w:pPr>
        <w:shd w:val="clear" w:color="auto" w:fill="FFFFFF"/>
        <w:spacing w:after="0"/>
        <w:ind w:left="24" w:right="5" w:firstLine="706"/>
        <w:rPr>
          <w:rFonts w:eastAsia="Times New Roman" w:cs="Times New Roman"/>
          <w:b/>
          <w:bCs/>
          <w:sz w:val="26"/>
          <w:szCs w:val="26"/>
        </w:rPr>
      </w:pPr>
      <w:r w:rsidRPr="004167F7">
        <w:rPr>
          <w:rFonts w:eastAsia="Times New Roman" w:cs="Times New Roman"/>
          <w:b/>
          <w:bCs/>
          <w:sz w:val="26"/>
          <w:szCs w:val="26"/>
        </w:rPr>
        <w:t>Вопрос 6. Планирует ли Банк России предпринимать дополнительные меры по поддержке системно значимых банков, в отношении которых введены дополнительные надбавки к нормативу достаточности капитала (за системную значимость), а также НКЛ?</w:t>
      </w:r>
    </w:p>
    <w:p w:rsidR="006C0C22" w:rsidRDefault="006C0C22" w:rsidP="004167F7">
      <w:pPr>
        <w:shd w:val="clear" w:color="auto" w:fill="FFFFFF"/>
        <w:spacing w:after="0"/>
        <w:ind w:left="5" w:right="10" w:firstLine="538"/>
        <w:rPr>
          <w:rFonts w:eastAsia="Times New Roman" w:cs="Times New Roman"/>
          <w:sz w:val="26"/>
          <w:szCs w:val="26"/>
          <w:u w:val="single"/>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p>
    <w:p w:rsidR="004167F7" w:rsidRPr="004167F7" w:rsidRDefault="004167F7" w:rsidP="004167F7">
      <w:pPr>
        <w:shd w:val="clear" w:color="auto" w:fill="FFFFFF"/>
        <w:spacing w:after="0"/>
        <w:ind w:left="5" w:right="10" w:firstLine="538"/>
        <w:rPr>
          <w:rFonts w:eastAsia="Times New Roman" w:cs="Times New Roman"/>
          <w:sz w:val="26"/>
          <w:szCs w:val="26"/>
          <w:u w:val="single"/>
        </w:rPr>
      </w:pPr>
      <w:r w:rsidRPr="004167F7">
        <w:rPr>
          <w:rFonts w:eastAsia="Times New Roman" w:cs="Times New Roman"/>
          <w:sz w:val="26"/>
          <w:szCs w:val="26"/>
          <w:u w:val="single"/>
        </w:rPr>
        <w:t>В части НКЛ:</w:t>
      </w:r>
    </w:p>
    <w:p w:rsidR="004167F7" w:rsidRPr="004167F7" w:rsidRDefault="004167F7" w:rsidP="004167F7">
      <w:pPr>
        <w:shd w:val="clear" w:color="auto" w:fill="FFFFFF"/>
        <w:spacing w:after="0"/>
        <w:ind w:left="0" w:right="10" w:firstLine="538"/>
        <w:rPr>
          <w:rFonts w:eastAsia="Times New Roman" w:cs="Times New Roman"/>
          <w:sz w:val="26"/>
          <w:szCs w:val="26"/>
        </w:rPr>
      </w:pPr>
      <w:r w:rsidRPr="004167F7">
        <w:rPr>
          <w:rFonts w:eastAsia="Times New Roman" w:cs="Times New Roman"/>
          <w:sz w:val="26"/>
          <w:szCs w:val="26"/>
        </w:rPr>
        <w:t xml:space="preserve">В рамках внедрения норматива краткосрочной ликвидности (далее </w:t>
      </w:r>
      <w:proofErr w:type="gramStart"/>
      <w:r w:rsidRPr="004167F7">
        <w:rPr>
          <w:rFonts w:eastAsia="Times New Roman" w:cs="Times New Roman"/>
          <w:sz w:val="26"/>
          <w:szCs w:val="26"/>
        </w:rPr>
        <w:t>-Н</w:t>
      </w:r>
      <w:proofErr w:type="gramEnd"/>
      <w:r w:rsidRPr="004167F7">
        <w:rPr>
          <w:rFonts w:eastAsia="Times New Roman" w:cs="Times New Roman"/>
          <w:sz w:val="26"/>
          <w:szCs w:val="26"/>
        </w:rPr>
        <w:t>КЛ) Банк России предоставил в соответствии с предусмотренными Базелем III альтернативными (дополнительными) вариантами расчета норматива возможность включения в расчет числителя НКЛ величин лимитов открываемых Банком России безотзывных кредитных линий и дополнительных высоколиквидных активов в отдельных иностранных валютах в части, превышающей потребности в этой валюте. В рамках реализации решения о возможности включения в расчет числителя НКЛ</w:t>
      </w:r>
      <w:r>
        <w:rPr>
          <w:rFonts w:eastAsia="Times New Roman" w:cs="Times New Roman"/>
          <w:sz w:val="26"/>
          <w:szCs w:val="26"/>
        </w:rPr>
        <w:t xml:space="preserve"> </w:t>
      </w:r>
      <w:r w:rsidRPr="004167F7">
        <w:rPr>
          <w:rFonts w:eastAsia="Times New Roman" w:cs="Times New Roman"/>
          <w:sz w:val="26"/>
          <w:szCs w:val="26"/>
        </w:rPr>
        <w:t>величин лимитов открываемых Банком России безотзывных кредитных линий Банк России предоставляет кредитным организациям возможность заключить договоры об открытии безотзывной кредитной линии.</w:t>
      </w:r>
    </w:p>
    <w:p w:rsidR="004068EB" w:rsidRDefault="004068EB" w:rsidP="004167F7">
      <w:pPr>
        <w:shd w:val="clear" w:color="auto" w:fill="FFFFFF"/>
        <w:spacing w:after="0"/>
        <w:ind w:left="5" w:right="10" w:firstLine="538"/>
        <w:rPr>
          <w:rFonts w:eastAsia="Times New Roman" w:cs="Times New Roman"/>
          <w:sz w:val="26"/>
          <w:szCs w:val="26"/>
        </w:rPr>
      </w:pPr>
    </w:p>
    <w:p w:rsidR="008339A0" w:rsidRPr="008339A0" w:rsidRDefault="008339A0" w:rsidP="008339A0">
      <w:pPr>
        <w:shd w:val="clear" w:color="auto" w:fill="FFFFFF"/>
        <w:spacing w:after="0"/>
        <w:ind w:left="24" w:right="5" w:firstLine="706"/>
        <w:rPr>
          <w:rFonts w:eastAsia="Times New Roman" w:cs="Times New Roman"/>
          <w:b/>
          <w:bCs/>
          <w:sz w:val="26"/>
          <w:szCs w:val="26"/>
        </w:rPr>
      </w:pPr>
      <w:r w:rsidRPr="008339A0">
        <w:rPr>
          <w:rFonts w:eastAsia="Times New Roman" w:cs="Times New Roman"/>
          <w:b/>
          <w:bCs/>
          <w:sz w:val="26"/>
          <w:szCs w:val="26"/>
        </w:rPr>
        <w:t>Вопрос 7. Рассматривается ли возможность временно (до 01.07.2016 г.) не применять Указание от 18.12.2014 № 3497-У о не включении в расчет нормативов ликвидности вложения в не обремененные обязательствами облигации, включенные в Ломбардный список Банка России и относящиеся к категории "удерживаемые до погашения", независимо от срока, оставшегося до их погашения?</w:t>
      </w:r>
    </w:p>
    <w:p w:rsidR="008339A0" w:rsidRPr="00055B56" w:rsidRDefault="006C0C22" w:rsidP="008339A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008339A0" w:rsidRPr="008339A0">
        <w:rPr>
          <w:rFonts w:eastAsia="Times New Roman" w:cs="Times New Roman"/>
          <w:sz w:val="26"/>
          <w:szCs w:val="26"/>
        </w:rPr>
        <w:t>Указание Банка России от 18 декабря 2014 № 3497-У «О внесении изменений в Инструкцию Банка России от 3 декабря 2012 года № 139-И» позволяло в период с момента вступления в силу (31.12.2014) по 31 декабря 2015 года включать в расчет ликвидных активов вложения в не обремененные обязательствами облигации, входящие в Ломбардный список Банка России и относящиеся к категории "удерживаемые до погашения", независимо</w:t>
      </w:r>
      <w:proofErr w:type="gramEnd"/>
      <w:r w:rsidR="008339A0" w:rsidRPr="008339A0">
        <w:rPr>
          <w:rFonts w:eastAsia="Times New Roman" w:cs="Times New Roman"/>
          <w:sz w:val="26"/>
          <w:szCs w:val="26"/>
        </w:rPr>
        <w:t xml:space="preserve"> от срока, оставшегося до их погашения. Продление данного исключения в целях расчета нормативов ликвидности в 2016 году Банком России не планируется.</w:t>
      </w:r>
    </w:p>
    <w:p w:rsidR="006C0C22" w:rsidRPr="00055B56" w:rsidRDefault="006C0C22" w:rsidP="008339A0">
      <w:pPr>
        <w:shd w:val="clear" w:color="auto" w:fill="FFFFFF"/>
        <w:spacing w:after="0"/>
        <w:ind w:left="0" w:right="10" w:firstLine="538"/>
        <w:rPr>
          <w:rFonts w:eastAsia="Times New Roman" w:cs="Times New Roman"/>
          <w:sz w:val="26"/>
          <w:szCs w:val="26"/>
        </w:rPr>
      </w:pPr>
    </w:p>
    <w:p w:rsidR="006968F8" w:rsidRPr="006968F8" w:rsidRDefault="006968F8" w:rsidP="006968F8">
      <w:pPr>
        <w:shd w:val="clear" w:color="auto" w:fill="FFFFFF"/>
        <w:spacing w:after="0"/>
        <w:ind w:left="24" w:right="5" w:firstLine="706"/>
        <w:rPr>
          <w:rFonts w:eastAsia="Times New Roman" w:cs="Times New Roman"/>
          <w:b/>
          <w:bCs/>
          <w:sz w:val="26"/>
          <w:szCs w:val="26"/>
        </w:rPr>
      </w:pPr>
      <w:r w:rsidRPr="006968F8">
        <w:rPr>
          <w:rFonts w:eastAsia="Times New Roman" w:cs="Times New Roman"/>
          <w:b/>
          <w:bCs/>
          <w:sz w:val="26"/>
          <w:szCs w:val="26"/>
        </w:rPr>
        <w:lastRenderedPageBreak/>
        <w:t>Вопрос 8. Действующее законодательство Российской Федерации, регламентирующее порядок открытия банковских счетов, не предусматривает критериев отнесения юридического лица, зарегистрированного по законодательству иностранного государства, к финансовой организации.</w:t>
      </w:r>
    </w:p>
    <w:p w:rsidR="006968F8" w:rsidRPr="006968F8" w:rsidRDefault="006968F8" w:rsidP="006968F8">
      <w:pPr>
        <w:shd w:val="clear" w:color="auto" w:fill="FFFFFF"/>
        <w:spacing w:after="0"/>
        <w:ind w:left="24" w:right="5" w:firstLine="706"/>
        <w:rPr>
          <w:rFonts w:eastAsia="Times New Roman" w:cs="Times New Roman"/>
          <w:b/>
          <w:bCs/>
          <w:sz w:val="26"/>
          <w:szCs w:val="26"/>
        </w:rPr>
      </w:pPr>
      <w:r w:rsidRPr="006968F8">
        <w:rPr>
          <w:rFonts w:eastAsia="Times New Roman" w:cs="Times New Roman"/>
          <w:b/>
          <w:bCs/>
          <w:sz w:val="26"/>
          <w:szCs w:val="26"/>
        </w:rPr>
        <w:t>В соответствии с п. 2.2. Положения № 421-П под финансовыми организациями понимаются финансовые организации, определенные в соответствии с пунктом 6 статьи 4 Федерального закона от 26 июля 2006</w:t>
      </w:r>
      <w:r>
        <w:rPr>
          <w:rFonts w:eastAsia="Times New Roman" w:cs="Times New Roman"/>
          <w:b/>
          <w:bCs/>
          <w:sz w:val="26"/>
          <w:szCs w:val="26"/>
        </w:rPr>
        <w:t xml:space="preserve"> </w:t>
      </w:r>
      <w:r w:rsidRPr="006968F8">
        <w:rPr>
          <w:rFonts w:eastAsia="Times New Roman" w:cs="Times New Roman"/>
          <w:b/>
          <w:bCs/>
          <w:sz w:val="26"/>
          <w:szCs w:val="26"/>
        </w:rPr>
        <w:t xml:space="preserve">года № 135-ФЗ "О защите конкуренции" (далее - Закон о защите конкуренции). </w:t>
      </w:r>
      <w:proofErr w:type="gramStart"/>
      <w:r w:rsidRPr="006968F8">
        <w:rPr>
          <w:rFonts w:eastAsia="Times New Roman" w:cs="Times New Roman"/>
          <w:b/>
          <w:bCs/>
          <w:sz w:val="26"/>
          <w:szCs w:val="26"/>
        </w:rPr>
        <w:t>В связи с тем, что действующее законодательство Российской Федерации (включая Закон о защите конкуренции и Положение 421-П) в настоящий момент прямо не предусматривает, что содержащееся в Законе о защите конкуренции определение финансовой организации, в контексте открытия банковских счетов, а также для целей Положения № 421-П следует применять, в том числе, по отношению к юридическим лицам, зарегистрированным по законодательству иностранного государства, просим</w:t>
      </w:r>
      <w:proofErr w:type="gramEnd"/>
      <w:r w:rsidRPr="006968F8">
        <w:rPr>
          <w:rFonts w:eastAsia="Times New Roman" w:cs="Times New Roman"/>
          <w:b/>
          <w:bCs/>
          <w:sz w:val="26"/>
          <w:szCs w:val="26"/>
        </w:rPr>
        <w:t xml:space="preserve"> пояснить какими критериями следует руководствоваться кредитной организации при отнесении указанных юридических лиц к финансовым организациям?</w:t>
      </w:r>
    </w:p>
    <w:p w:rsidR="006968F8" w:rsidRPr="006968F8" w:rsidRDefault="006C0C22" w:rsidP="006968F8">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6968F8" w:rsidRPr="006968F8">
        <w:rPr>
          <w:rFonts w:eastAsia="Times New Roman" w:cs="Times New Roman"/>
          <w:sz w:val="26"/>
          <w:szCs w:val="26"/>
        </w:rPr>
        <w:t>В рамках Положения Банка России № 421-П при классификации юридических лиц, зарегистрированных на территории иностранного государства, понятие «финансовой организации» используется в значении, определенном в пункте 6 статьи 4 Федерального закона от 26 июля 2006 года № 135-ФЗ «О защите конкуренции».</w:t>
      </w:r>
    </w:p>
    <w:p w:rsidR="008339A0" w:rsidRDefault="008339A0" w:rsidP="006968F8">
      <w:pPr>
        <w:shd w:val="clear" w:color="auto" w:fill="FFFFFF"/>
        <w:spacing w:after="0"/>
        <w:ind w:left="24" w:right="5" w:firstLine="706"/>
        <w:rPr>
          <w:rFonts w:eastAsia="Times New Roman" w:cs="Times New Roman"/>
          <w:b/>
          <w:bCs/>
          <w:sz w:val="26"/>
          <w:szCs w:val="26"/>
        </w:rPr>
      </w:pPr>
    </w:p>
    <w:p w:rsidR="0099103D" w:rsidRPr="0099103D" w:rsidRDefault="0099103D" w:rsidP="0099103D">
      <w:pPr>
        <w:shd w:val="clear" w:color="auto" w:fill="FFFFFF"/>
        <w:spacing w:after="0"/>
        <w:ind w:left="24" w:right="5" w:firstLine="706"/>
        <w:rPr>
          <w:rFonts w:eastAsia="Times New Roman" w:cs="Times New Roman"/>
          <w:b/>
          <w:bCs/>
          <w:sz w:val="26"/>
          <w:szCs w:val="26"/>
        </w:rPr>
      </w:pPr>
      <w:r w:rsidRPr="0099103D">
        <w:rPr>
          <w:rFonts w:eastAsia="Times New Roman" w:cs="Times New Roman"/>
          <w:b/>
          <w:bCs/>
          <w:sz w:val="26"/>
          <w:szCs w:val="26"/>
        </w:rPr>
        <w:t>Вопрос 9. В связи с вступлением в действие Указания БР № 3855-У от 30 ноября 2015г. просим разъяснить следующие вопросы касательно коэффициента взвешивания актива, обеспеченного страховкой ЭКСАР:</w:t>
      </w:r>
    </w:p>
    <w:p w:rsidR="0099103D" w:rsidRPr="0099103D" w:rsidRDefault="008F222B" w:rsidP="0099103D">
      <w:pPr>
        <w:shd w:val="clear" w:color="auto" w:fill="FFFFFF"/>
        <w:spacing w:after="0"/>
        <w:ind w:left="24" w:right="5" w:firstLine="706"/>
        <w:rPr>
          <w:rFonts w:eastAsia="Times New Roman" w:cs="Times New Roman"/>
          <w:b/>
          <w:bCs/>
          <w:sz w:val="26"/>
          <w:szCs w:val="26"/>
        </w:rPr>
      </w:pPr>
      <w:r>
        <w:rPr>
          <w:rFonts w:eastAsia="Times New Roman" w:cs="Times New Roman"/>
          <w:b/>
          <w:bCs/>
          <w:sz w:val="26"/>
          <w:szCs w:val="26"/>
        </w:rPr>
        <w:t>9.1.</w:t>
      </w:r>
      <w:r w:rsidRPr="008F222B">
        <w:rPr>
          <w:rFonts w:eastAsia="Times New Roman" w:cs="Times New Roman"/>
          <w:b/>
          <w:bCs/>
          <w:sz w:val="26"/>
          <w:szCs w:val="26"/>
        </w:rPr>
        <w:t xml:space="preserve"> </w:t>
      </w:r>
      <w:r w:rsidR="0099103D" w:rsidRPr="0099103D">
        <w:rPr>
          <w:rFonts w:eastAsia="Times New Roman" w:cs="Times New Roman"/>
          <w:b/>
          <w:bCs/>
          <w:sz w:val="26"/>
          <w:szCs w:val="26"/>
        </w:rPr>
        <w:t>Кредит выдан в валюте Российской Федераци</w:t>
      </w:r>
      <w:proofErr w:type="gramStart"/>
      <w:r w:rsidR="0099103D" w:rsidRPr="0099103D">
        <w:rPr>
          <w:rFonts w:eastAsia="Times New Roman" w:cs="Times New Roman"/>
          <w:b/>
          <w:bCs/>
          <w:sz w:val="26"/>
          <w:szCs w:val="26"/>
        </w:rPr>
        <w:t>и(</w:t>
      </w:r>
      <w:proofErr w:type="gramEnd"/>
      <w:r w:rsidR="0099103D" w:rsidRPr="0099103D">
        <w:rPr>
          <w:rFonts w:eastAsia="Times New Roman" w:cs="Times New Roman"/>
          <w:b/>
          <w:bCs/>
          <w:sz w:val="26"/>
          <w:szCs w:val="26"/>
        </w:rPr>
        <w:t>рубли),</w:t>
      </w:r>
      <w:r w:rsidR="0099103D">
        <w:rPr>
          <w:rFonts w:eastAsia="Times New Roman" w:cs="Times New Roman"/>
          <w:b/>
          <w:bCs/>
          <w:sz w:val="26"/>
          <w:szCs w:val="26"/>
        </w:rPr>
        <w:t xml:space="preserve"> </w:t>
      </w:r>
      <w:r w:rsidR="0099103D" w:rsidRPr="0099103D">
        <w:rPr>
          <w:rFonts w:eastAsia="Times New Roman" w:cs="Times New Roman"/>
          <w:b/>
          <w:bCs/>
          <w:sz w:val="26"/>
          <w:szCs w:val="26"/>
        </w:rPr>
        <w:t>обеспечение страховка ЭКСАР в валюте Российской Федерации (рубли)</w:t>
      </w:r>
      <w:r w:rsidR="0099103D">
        <w:rPr>
          <w:rFonts w:eastAsia="Times New Roman" w:cs="Times New Roman"/>
          <w:b/>
          <w:bCs/>
          <w:sz w:val="26"/>
          <w:szCs w:val="26"/>
        </w:rPr>
        <w:t xml:space="preserve"> </w:t>
      </w:r>
      <w:r w:rsidR="0099103D" w:rsidRPr="0099103D">
        <w:rPr>
          <w:rFonts w:eastAsia="Times New Roman" w:cs="Times New Roman"/>
          <w:b/>
          <w:bCs/>
          <w:sz w:val="26"/>
          <w:szCs w:val="26"/>
        </w:rPr>
        <w:t>- коэффициент взвешивания актива для расчета норматива</w:t>
      </w:r>
      <w:r w:rsidR="0099103D">
        <w:rPr>
          <w:rFonts w:eastAsia="Times New Roman" w:cs="Times New Roman"/>
          <w:b/>
          <w:bCs/>
          <w:sz w:val="26"/>
          <w:szCs w:val="26"/>
        </w:rPr>
        <w:t xml:space="preserve"> </w:t>
      </w:r>
      <w:r w:rsidR="0099103D" w:rsidRPr="0099103D">
        <w:rPr>
          <w:rFonts w:eastAsia="Times New Roman" w:cs="Times New Roman"/>
          <w:b/>
          <w:bCs/>
          <w:sz w:val="26"/>
          <w:szCs w:val="26"/>
        </w:rPr>
        <w:t>достаточности Капитала составляет 100% - 4 группа активов в</w:t>
      </w:r>
      <w:r w:rsidR="0099103D">
        <w:rPr>
          <w:rFonts w:eastAsia="Times New Roman" w:cs="Times New Roman"/>
          <w:b/>
          <w:bCs/>
          <w:sz w:val="26"/>
          <w:szCs w:val="26"/>
        </w:rPr>
        <w:t xml:space="preserve"> </w:t>
      </w:r>
      <w:r w:rsidR="0099103D" w:rsidRPr="0099103D">
        <w:rPr>
          <w:rFonts w:eastAsia="Times New Roman" w:cs="Times New Roman"/>
          <w:b/>
          <w:bCs/>
          <w:sz w:val="26"/>
          <w:szCs w:val="26"/>
        </w:rPr>
        <w:t>соответствии с п. 2.3.6 Инструкции 139-И?</w:t>
      </w:r>
    </w:p>
    <w:p w:rsidR="0099103D" w:rsidRPr="0099103D" w:rsidRDefault="008F222B" w:rsidP="0099103D">
      <w:pPr>
        <w:shd w:val="clear" w:color="auto" w:fill="FFFFFF"/>
        <w:spacing w:after="0"/>
        <w:ind w:left="24" w:right="5" w:firstLine="706"/>
        <w:rPr>
          <w:rFonts w:eastAsia="Times New Roman" w:cs="Times New Roman"/>
          <w:b/>
          <w:bCs/>
          <w:sz w:val="26"/>
          <w:szCs w:val="26"/>
        </w:rPr>
      </w:pPr>
      <w:r>
        <w:rPr>
          <w:rFonts w:eastAsia="Times New Roman" w:cs="Times New Roman"/>
          <w:b/>
          <w:bCs/>
          <w:sz w:val="26"/>
          <w:szCs w:val="26"/>
        </w:rPr>
        <w:t>9.2.</w:t>
      </w:r>
      <w:r w:rsidRPr="008F222B">
        <w:rPr>
          <w:rFonts w:eastAsia="Times New Roman" w:cs="Times New Roman"/>
          <w:b/>
          <w:bCs/>
          <w:sz w:val="26"/>
          <w:szCs w:val="26"/>
        </w:rPr>
        <w:t xml:space="preserve"> </w:t>
      </w:r>
      <w:r w:rsidR="0099103D" w:rsidRPr="0099103D">
        <w:rPr>
          <w:rFonts w:eastAsia="Times New Roman" w:cs="Times New Roman"/>
          <w:b/>
          <w:bCs/>
          <w:sz w:val="26"/>
          <w:szCs w:val="26"/>
        </w:rPr>
        <w:t>Кредит выдан в иностранной валюте, обеспечение страховка</w:t>
      </w:r>
      <w:r w:rsidR="0099103D">
        <w:rPr>
          <w:rFonts w:eastAsia="Times New Roman" w:cs="Times New Roman"/>
          <w:b/>
          <w:bCs/>
          <w:sz w:val="26"/>
          <w:szCs w:val="26"/>
        </w:rPr>
        <w:t xml:space="preserve"> </w:t>
      </w:r>
      <w:r w:rsidR="0099103D" w:rsidRPr="0099103D">
        <w:rPr>
          <w:rFonts w:eastAsia="Times New Roman" w:cs="Times New Roman"/>
          <w:b/>
          <w:bCs/>
          <w:sz w:val="26"/>
          <w:szCs w:val="26"/>
        </w:rPr>
        <w:t>ЭКСАР в иностранной валюте - коэффициент взвешивания актива для</w:t>
      </w:r>
      <w:r w:rsidR="0099103D">
        <w:rPr>
          <w:rFonts w:eastAsia="Times New Roman" w:cs="Times New Roman"/>
          <w:b/>
          <w:bCs/>
          <w:sz w:val="26"/>
          <w:szCs w:val="26"/>
        </w:rPr>
        <w:t xml:space="preserve"> </w:t>
      </w:r>
      <w:r w:rsidR="0099103D" w:rsidRPr="0099103D">
        <w:rPr>
          <w:rFonts w:eastAsia="Times New Roman" w:cs="Times New Roman"/>
          <w:b/>
          <w:bCs/>
          <w:sz w:val="26"/>
          <w:szCs w:val="26"/>
        </w:rPr>
        <w:t>расчета норматива достаточности Капитала составляет 100% - 4 группа</w:t>
      </w:r>
      <w:r w:rsidR="0099103D">
        <w:rPr>
          <w:rFonts w:eastAsia="Times New Roman" w:cs="Times New Roman"/>
          <w:b/>
          <w:bCs/>
          <w:sz w:val="26"/>
          <w:szCs w:val="26"/>
        </w:rPr>
        <w:t xml:space="preserve"> </w:t>
      </w:r>
      <w:r w:rsidR="0099103D" w:rsidRPr="0099103D">
        <w:rPr>
          <w:rFonts w:eastAsia="Times New Roman" w:cs="Times New Roman"/>
          <w:b/>
          <w:bCs/>
          <w:sz w:val="26"/>
          <w:szCs w:val="26"/>
        </w:rPr>
        <w:t>активов в соответствии с п. 2.3.6 Инструкции № 139-И?</w:t>
      </w:r>
    </w:p>
    <w:p w:rsidR="0099103D" w:rsidRPr="0099103D" w:rsidRDefault="0099103D" w:rsidP="0099103D">
      <w:pPr>
        <w:shd w:val="clear" w:color="auto" w:fill="FFFFFF"/>
        <w:spacing w:after="0"/>
        <w:ind w:left="24" w:right="5" w:firstLine="706"/>
        <w:rPr>
          <w:rFonts w:eastAsia="Times New Roman" w:cs="Times New Roman"/>
          <w:b/>
          <w:bCs/>
          <w:sz w:val="26"/>
          <w:szCs w:val="26"/>
        </w:rPr>
      </w:pPr>
      <w:r w:rsidRPr="0099103D">
        <w:rPr>
          <w:rFonts w:eastAsia="Times New Roman" w:cs="Times New Roman"/>
          <w:b/>
          <w:bCs/>
          <w:sz w:val="26"/>
          <w:szCs w:val="26"/>
        </w:rPr>
        <w:t xml:space="preserve">9.3. </w:t>
      </w:r>
      <w:r>
        <w:rPr>
          <w:rFonts w:eastAsia="Times New Roman" w:cs="Times New Roman"/>
          <w:b/>
          <w:bCs/>
          <w:sz w:val="26"/>
          <w:szCs w:val="26"/>
        </w:rPr>
        <w:t xml:space="preserve">В случае если </w:t>
      </w:r>
      <w:proofErr w:type="spellStart"/>
      <w:r>
        <w:rPr>
          <w:rFonts w:eastAsia="Times New Roman" w:cs="Times New Roman"/>
          <w:b/>
          <w:bCs/>
          <w:sz w:val="26"/>
          <w:szCs w:val="26"/>
        </w:rPr>
        <w:t>страновая</w:t>
      </w:r>
      <w:proofErr w:type="spellEnd"/>
      <w:r>
        <w:rPr>
          <w:rFonts w:eastAsia="Times New Roman" w:cs="Times New Roman"/>
          <w:b/>
          <w:bCs/>
          <w:sz w:val="26"/>
          <w:szCs w:val="26"/>
        </w:rPr>
        <w:t xml:space="preserve"> оценка России будет 3, то банк сможет применять коды нормативов 8871, 8966?</w:t>
      </w:r>
    </w:p>
    <w:p w:rsidR="0099103D" w:rsidRPr="0099103D" w:rsidRDefault="006C0C22" w:rsidP="0099103D">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99103D">
        <w:rPr>
          <w:rFonts w:eastAsia="Times New Roman" w:cs="Times New Roman"/>
          <w:sz w:val="26"/>
          <w:szCs w:val="26"/>
        </w:rPr>
        <w:t xml:space="preserve">Изменения, предусмотренные Указанием № 3855-У, направлены на устранение несоответствий банковского регулирования стандартам, установленным документами БКБН, выявленным проверкой, проводимой </w:t>
      </w:r>
      <w:proofErr w:type="spellStart"/>
      <w:r w:rsidR="0099103D">
        <w:rPr>
          <w:rFonts w:eastAsia="Times New Roman" w:cs="Times New Roman"/>
          <w:sz w:val="26"/>
          <w:szCs w:val="26"/>
        </w:rPr>
        <w:lastRenderedPageBreak/>
        <w:t>Базельским</w:t>
      </w:r>
      <w:proofErr w:type="spellEnd"/>
      <w:r w:rsidR="0099103D">
        <w:rPr>
          <w:rFonts w:eastAsia="Times New Roman" w:cs="Times New Roman"/>
          <w:sz w:val="26"/>
          <w:szCs w:val="26"/>
        </w:rPr>
        <w:t xml:space="preserve"> комитетом по банковскому надзору проверки Российской Федерации в рамках программы «Базель </w:t>
      </w:r>
      <w:r w:rsidR="0099103D" w:rsidRPr="0099103D">
        <w:rPr>
          <w:rFonts w:eastAsia="Times New Roman" w:cs="Times New Roman"/>
          <w:sz w:val="26"/>
          <w:szCs w:val="26"/>
        </w:rPr>
        <w:t>III</w:t>
      </w:r>
      <w:r w:rsidR="0099103D" w:rsidRPr="00396803">
        <w:rPr>
          <w:rFonts w:eastAsia="Times New Roman" w:cs="Times New Roman"/>
          <w:sz w:val="26"/>
          <w:szCs w:val="26"/>
        </w:rPr>
        <w:t xml:space="preserve">: </w:t>
      </w:r>
      <w:r w:rsidR="0099103D">
        <w:rPr>
          <w:rFonts w:eastAsia="Times New Roman" w:cs="Times New Roman"/>
          <w:sz w:val="26"/>
          <w:szCs w:val="26"/>
        </w:rPr>
        <w:t>Программа оценки соответствия регулирования».</w:t>
      </w:r>
    </w:p>
    <w:p w:rsidR="0099103D" w:rsidRPr="000B7992" w:rsidRDefault="0099103D" w:rsidP="000B7992">
      <w:pPr>
        <w:shd w:val="clear" w:color="auto" w:fill="FFFFFF"/>
        <w:spacing w:after="0"/>
        <w:ind w:left="0" w:right="10" w:firstLine="538"/>
        <w:rPr>
          <w:rFonts w:eastAsia="Times New Roman" w:cs="Times New Roman"/>
          <w:i/>
          <w:sz w:val="26"/>
          <w:szCs w:val="26"/>
        </w:rPr>
      </w:pPr>
      <w:proofErr w:type="spellStart"/>
      <w:r w:rsidRPr="000B7992">
        <w:rPr>
          <w:rFonts w:eastAsia="Times New Roman" w:cs="Times New Roman"/>
          <w:i/>
          <w:sz w:val="26"/>
          <w:szCs w:val="26"/>
        </w:rPr>
        <w:t>Справочно</w:t>
      </w:r>
      <w:proofErr w:type="spellEnd"/>
      <w:r w:rsidRPr="000B7992">
        <w:rPr>
          <w:rFonts w:eastAsia="Times New Roman" w:cs="Times New Roman"/>
          <w:i/>
          <w:sz w:val="26"/>
          <w:szCs w:val="26"/>
        </w:rPr>
        <w:t xml:space="preserve">: В Инструкции № 139-И реализован упрощенный стандартизированный подход (УСП) к оценке кредитного риска, предусмотренный Приложением 11 к документу </w:t>
      </w:r>
      <w:proofErr w:type="spellStart"/>
      <w:r w:rsidRPr="000B7992">
        <w:rPr>
          <w:rFonts w:eastAsia="Times New Roman" w:cs="Times New Roman"/>
          <w:i/>
          <w:sz w:val="26"/>
          <w:szCs w:val="26"/>
        </w:rPr>
        <w:t>Базелъского</w:t>
      </w:r>
      <w:proofErr w:type="spellEnd"/>
      <w:r w:rsidRPr="000B7992">
        <w:rPr>
          <w:rFonts w:eastAsia="Times New Roman" w:cs="Times New Roman"/>
          <w:i/>
          <w:sz w:val="26"/>
          <w:szCs w:val="26"/>
        </w:rPr>
        <w:t xml:space="preserve"> комитета по банковскому надзору (БКБН) «</w:t>
      </w:r>
      <w:r w:rsidR="000B7992">
        <w:rPr>
          <w:rFonts w:eastAsia="Times New Roman" w:cs="Times New Roman"/>
          <w:i/>
          <w:sz w:val="26"/>
          <w:szCs w:val="26"/>
          <w:lang w:val="en-US"/>
        </w:rPr>
        <w:t>International</w:t>
      </w:r>
      <w:r w:rsidR="000B7992" w:rsidRPr="000B7992">
        <w:rPr>
          <w:rFonts w:eastAsia="Times New Roman" w:cs="Times New Roman"/>
          <w:i/>
          <w:sz w:val="26"/>
          <w:szCs w:val="26"/>
        </w:rPr>
        <w:t xml:space="preserve"> </w:t>
      </w:r>
      <w:r w:rsidR="000B7992">
        <w:rPr>
          <w:rFonts w:eastAsia="Times New Roman" w:cs="Times New Roman"/>
          <w:i/>
          <w:sz w:val="26"/>
          <w:szCs w:val="26"/>
          <w:lang w:val="en-US"/>
        </w:rPr>
        <w:t>Convergence</w:t>
      </w:r>
      <w:r w:rsidR="000B7992" w:rsidRPr="000B7992">
        <w:rPr>
          <w:rFonts w:eastAsia="Times New Roman" w:cs="Times New Roman"/>
          <w:i/>
          <w:sz w:val="26"/>
          <w:szCs w:val="26"/>
        </w:rPr>
        <w:t xml:space="preserve"> </w:t>
      </w:r>
      <w:r w:rsidR="000B7992">
        <w:rPr>
          <w:rFonts w:eastAsia="Times New Roman" w:cs="Times New Roman"/>
          <w:i/>
          <w:sz w:val="26"/>
          <w:szCs w:val="26"/>
          <w:lang w:val="en-US"/>
        </w:rPr>
        <w:t>of</w:t>
      </w:r>
      <w:r w:rsidR="000B7992" w:rsidRPr="000B7992">
        <w:rPr>
          <w:rFonts w:eastAsia="Times New Roman" w:cs="Times New Roman"/>
          <w:i/>
          <w:sz w:val="26"/>
          <w:szCs w:val="26"/>
        </w:rPr>
        <w:t xml:space="preserve"> </w:t>
      </w:r>
      <w:r w:rsidR="000B7992">
        <w:rPr>
          <w:rFonts w:eastAsia="Times New Roman" w:cs="Times New Roman"/>
          <w:i/>
          <w:sz w:val="26"/>
          <w:szCs w:val="26"/>
          <w:lang w:val="en-US"/>
        </w:rPr>
        <w:t>Capital</w:t>
      </w:r>
      <w:r w:rsidR="000B7992" w:rsidRPr="000B7992">
        <w:rPr>
          <w:rFonts w:eastAsia="Times New Roman" w:cs="Times New Roman"/>
          <w:i/>
          <w:sz w:val="26"/>
          <w:szCs w:val="26"/>
        </w:rPr>
        <w:t xml:space="preserve"> </w:t>
      </w:r>
      <w:r w:rsidR="000B7992">
        <w:rPr>
          <w:rFonts w:eastAsia="Times New Roman" w:cs="Times New Roman"/>
          <w:i/>
          <w:sz w:val="26"/>
          <w:szCs w:val="26"/>
          <w:lang w:val="en-US"/>
        </w:rPr>
        <w:t>Measurement</w:t>
      </w:r>
      <w:r w:rsidR="000B7992" w:rsidRPr="000B7992">
        <w:rPr>
          <w:rFonts w:eastAsia="Times New Roman" w:cs="Times New Roman"/>
          <w:i/>
          <w:sz w:val="26"/>
          <w:szCs w:val="26"/>
        </w:rPr>
        <w:t xml:space="preserve"> </w:t>
      </w:r>
      <w:r w:rsidR="000B7992">
        <w:rPr>
          <w:rFonts w:eastAsia="Times New Roman" w:cs="Times New Roman"/>
          <w:i/>
          <w:sz w:val="26"/>
          <w:szCs w:val="26"/>
          <w:lang w:val="en-US"/>
        </w:rPr>
        <w:t>and</w:t>
      </w:r>
      <w:r w:rsidR="000B7992" w:rsidRPr="000B7992">
        <w:rPr>
          <w:rFonts w:eastAsia="Times New Roman" w:cs="Times New Roman"/>
          <w:i/>
          <w:sz w:val="26"/>
          <w:szCs w:val="26"/>
        </w:rPr>
        <w:t xml:space="preserve"> </w:t>
      </w:r>
      <w:r w:rsidR="000B7992">
        <w:rPr>
          <w:rFonts w:eastAsia="Times New Roman" w:cs="Times New Roman"/>
          <w:i/>
          <w:sz w:val="26"/>
          <w:szCs w:val="26"/>
          <w:lang w:val="en-US"/>
        </w:rPr>
        <w:t>Capital</w:t>
      </w:r>
      <w:r w:rsidR="000B7992" w:rsidRPr="000B7992">
        <w:rPr>
          <w:rFonts w:eastAsia="Times New Roman" w:cs="Times New Roman"/>
          <w:i/>
          <w:sz w:val="26"/>
          <w:szCs w:val="26"/>
        </w:rPr>
        <w:t xml:space="preserve"> </w:t>
      </w:r>
      <w:r w:rsidR="000B7992">
        <w:rPr>
          <w:rFonts w:eastAsia="Times New Roman" w:cs="Times New Roman"/>
          <w:i/>
          <w:sz w:val="26"/>
          <w:szCs w:val="26"/>
          <w:lang w:val="en-US"/>
        </w:rPr>
        <w:t>Standards</w:t>
      </w:r>
      <w:r w:rsidRPr="000B7992">
        <w:rPr>
          <w:rFonts w:eastAsia="Times New Roman" w:cs="Times New Roman"/>
          <w:i/>
          <w:sz w:val="26"/>
          <w:szCs w:val="26"/>
        </w:rPr>
        <w:t>» («</w:t>
      </w:r>
      <w:r w:rsidR="000B7992">
        <w:rPr>
          <w:rFonts w:eastAsia="Times New Roman" w:cs="Times New Roman"/>
          <w:i/>
          <w:sz w:val="26"/>
          <w:szCs w:val="26"/>
          <w:lang w:val="en-US"/>
        </w:rPr>
        <w:t>Basel</w:t>
      </w:r>
      <w:r w:rsidRPr="000B7992">
        <w:rPr>
          <w:rFonts w:eastAsia="Times New Roman" w:cs="Times New Roman"/>
          <w:i/>
          <w:sz w:val="26"/>
          <w:szCs w:val="26"/>
        </w:rPr>
        <w:t xml:space="preserve"> II») (</w:t>
      </w:r>
      <w:r w:rsidR="000B7992">
        <w:rPr>
          <w:rFonts w:eastAsia="Times New Roman" w:cs="Times New Roman"/>
          <w:i/>
          <w:sz w:val="26"/>
          <w:szCs w:val="26"/>
          <w:lang w:val="en-US"/>
        </w:rPr>
        <w:t>June</w:t>
      </w:r>
      <w:r w:rsidRPr="000B7992">
        <w:rPr>
          <w:rFonts w:eastAsia="Times New Roman" w:cs="Times New Roman"/>
          <w:i/>
          <w:sz w:val="26"/>
          <w:szCs w:val="26"/>
        </w:rPr>
        <w:t xml:space="preserve"> 2006).</w:t>
      </w:r>
    </w:p>
    <w:p w:rsidR="0099103D" w:rsidRPr="000B7992" w:rsidRDefault="0099103D" w:rsidP="000B7992">
      <w:pPr>
        <w:shd w:val="clear" w:color="auto" w:fill="FFFFFF"/>
        <w:spacing w:after="0"/>
        <w:ind w:left="0" w:right="10" w:firstLine="538"/>
        <w:rPr>
          <w:rFonts w:eastAsia="Times New Roman" w:cs="Times New Roman"/>
          <w:i/>
          <w:sz w:val="26"/>
          <w:szCs w:val="26"/>
        </w:rPr>
      </w:pPr>
      <w:r w:rsidRPr="000B7992">
        <w:rPr>
          <w:rFonts w:eastAsia="Times New Roman" w:cs="Times New Roman"/>
          <w:i/>
          <w:sz w:val="26"/>
          <w:szCs w:val="26"/>
        </w:rPr>
        <w:t xml:space="preserve">Инструкцией № 139-И предусматривается применение при оценке кредитного риска по кредитным требованиям к суверенным заемщикам </w:t>
      </w:r>
      <w:proofErr w:type="spellStart"/>
      <w:r w:rsidRPr="000B7992">
        <w:rPr>
          <w:rFonts w:eastAsia="Times New Roman" w:cs="Times New Roman"/>
          <w:i/>
          <w:sz w:val="26"/>
          <w:szCs w:val="26"/>
        </w:rPr>
        <w:t>страновых</w:t>
      </w:r>
      <w:proofErr w:type="spellEnd"/>
      <w:r w:rsidRPr="000B7992">
        <w:rPr>
          <w:rFonts w:eastAsia="Times New Roman" w:cs="Times New Roman"/>
          <w:i/>
          <w:sz w:val="26"/>
          <w:szCs w:val="26"/>
        </w:rPr>
        <w:t xml:space="preserve"> оценок по классификации экспортных кредитных агентств (ЭКА), участвующих в Соглашении стран - членов ОЭСР «Об основных принципах предоставления и использования экспортных кредитов, имеющих официальную поддержку», что соответствует УСП (параграф 2 Приложения 11 Базеля II).</w:t>
      </w:r>
    </w:p>
    <w:p w:rsidR="0099103D" w:rsidRPr="000B7992" w:rsidRDefault="0099103D" w:rsidP="000B7992">
      <w:pPr>
        <w:shd w:val="clear" w:color="auto" w:fill="FFFFFF"/>
        <w:spacing w:after="0"/>
        <w:ind w:left="0" w:right="10" w:firstLine="538"/>
        <w:rPr>
          <w:rFonts w:eastAsia="Times New Roman" w:cs="Times New Roman"/>
          <w:i/>
          <w:sz w:val="26"/>
          <w:szCs w:val="26"/>
        </w:rPr>
      </w:pPr>
      <w:r w:rsidRPr="000B7992">
        <w:rPr>
          <w:rFonts w:eastAsia="Times New Roman" w:cs="Times New Roman"/>
          <w:i/>
          <w:sz w:val="26"/>
          <w:szCs w:val="26"/>
        </w:rPr>
        <w:t xml:space="preserve">Согласно УСП по кредитным требованиям к правительствам, центральным банкам стран со </w:t>
      </w:r>
      <w:proofErr w:type="spellStart"/>
      <w:r w:rsidRPr="000B7992">
        <w:rPr>
          <w:rFonts w:eastAsia="Times New Roman" w:cs="Times New Roman"/>
          <w:i/>
          <w:sz w:val="26"/>
          <w:szCs w:val="26"/>
        </w:rPr>
        <w:t>страновой</w:t>
      </w:r>
      <w:proofErr w:type="spellEnd"/>
      <w:r w:rsidRPr="000B7992">
        <w:rPr>
          <w:rFonts w:eastAsia="Times New Roman" w:cs="Times New Roman"/>
          <w:i/>
          <w:sz w:val="26"/>
          <w:szCs w:val="26"/>
        </w:rPr>
        <w:t xml:space="preserve"> оценкой «3» применяется коэффициент риска 50%, с оценкой «4» - 100%.</w:t>
      </w:r>
    </w:p>
    <w:p w:rsidR="0099103D" w:rsidRPr="000B7992" w:rsidRDefault="0099103D" w:rsidP="000B7992">
      <w:pPr>
        <w:shd w:val="clear" w:color="auto" w:fill="FFFFFF"/>
        <w:spacing w:after="0"/>
        <w:ind w:left="0" w:right="10" w:firstLine="538"/>
        <w:rPr>
          <w:rFonts w:eastAsia="Times New Roman" w:cs="Times New Roman"/>
          <w:i/>
          <w:sz w:val="26"/>
          <w:szCs w:val="26"/>
        </w:rPr>
      </w:pPr>
      <w:r w:rsidRPr="000B7992">
        <w:rPr>
          <w:rFonts w:eastAsia="Times New Roman" w:cs="Times New Roman"/>
          <w:i/>
          <w:sz w:val="26"/>
          <w:szCs w:val="26"/>
        </w:rPr>
        <w:t xml:space="preserve">Согласно параграфу 3 УСП, по усмотрению национальных органов надзора более низкий весовой коэффициент риска может применяться к требованиям к государствам или центральным банкам страны происхождения банка, </w:t>
      </w:r>
      <w:r w:rsidRPr="000B7992">
        <w:rPr>
          <w:rFonts w:eastAsia="Times New Roman" w:cs="Times New Roman"/>
          <w:i/>
          <w:sz w:val="26"/>
          <w:szCs w:val="26"/>
          <w:u w:val="single"/>
        </w:rPr>
        <w:t>номинированным и фондированным в местной валюте</w:t>
      </w:r>
      <w:r w:rsidRPr="000B7992">
        <w:rPr>
          <w:rFonts w:eastAsia="Times New Roman" w:cs="Times New Roman"/>
          <w:i/>
          <w:sz w:val="26"/>
          <w:szCs w:val="26"/>
        </w:rPr>
        <w:t>.</w:t>
      </w:r>
    </w:p>
    <w:p w:rsidR="000B7992" w:rsidRPr="000B7992" w:rsidRDefault="000B7992" w:rsidP="000B7992">
      <w:pPr>
        <w:shd w:val="clear" w:color="auto" w:fill="FFFFFF"/>
        <w:spacing w:after="0"/>
        <w:ind w:left="0" w:right="10" w:firstLine="538"/>
        <w:rPr>
          <w:rFonts w:eastAsia="Times New Roman" w:cs="Times New Roman"/>
          <w:sz w:val="26"/>
          <w:szCs w:val="26"/>
        </w:rPr>
      </w:pPr>
      <w:proofErr w:type="gramStart"/>
      <w:r w:rsidRPr="000B7992">
        <w:rPr>
          <w:rFonts w:eastAsia="Times New Roman" w:cs="Times New Roman"/>
          <w:sz w:val="26"/>
          <w:szCs w:val="26"/>
        </w:rPr>
        <w:t xml:space="preserve">К кредитным требованиям, номинированным и фондированным в рублях, обеспеченным рублевыми </w:t>
      </w:r>
      <w:proofErr w:type="spellStart"/>
      <w:r w:rsidRPr="000B7992">
        <w:rPr>
          <w:rFonts w:eastAsia="Times New Roman" w:cs="Times New Roman"/>
          <w:sz w:val="26"/>
          <w:szCs w:val="26"/>
        </w:rPr>
        <w:t>контргарантиями</w:t>
      </w:r>
      <w:proofErr w:type="spellEnd"/>
      <w:r w:rsidRPr="000B7992">
        <w:rPr>
          <w:rFonts w:eastAsia="Times New Roman" w:cs="Times New Roman"/>
          <w:sz w:val="26"/>
          <w:szCs w:val="26"/>
        </w:rPr>
        <w:t xml:space="preserve"> Российской Федерации, как в случае со страховкой ЭКСАР, пониженный коэффициент взвешивания (20%) может применять </w:t>
      </w:r>
      <w:r w:rsidRPr="000B7992">
        <w:rPr>
          <w:rFonts w:eastAsia="Times New Roman" w:cs="Times New Roman"/>
          <w:sz w:val="26"/>
          <w:szCs w:val="26"/>
          <w:u w:val="single"/>
        </w:rPr>
        <w:t xml:space="preserve">независимо от </w:t>
      </w:r>
      <w:proofErr w:type="spellStart"/>
      <w:r w:rsidRPr="000B7992">
        <w:rPr>
          <w:rFonts w:eastAsia="Times New Roman" w:cs="Times New Roman"/>
          <w:sz w:val="26"/>
          <w:szCs w:val="26"/>
          <w:u w:val="single"/>
        </w:rPr>
        <w:t>страновой</w:t>
      </w:r>
      <w:proofErr w:type="spellEnd"/>
      <w:r w:rsidRPr="000B7992">
        <w:rPr>
          <w:rFonts w:eastAsia="Times New Roman" w:cs="Times New Roman"/>
          <w:sz w:val="26"/>
          <w:szCs w:val="26"/>
          <w:u w:val="single"/>
        </w:rPr>
        <w:t xml:space="preserve"> оценки Российской Федерации</w:t>
      </w:r>
      <w:r w:rsidRPr="000B7992">
        <w:rPr>
          <w:rFonts w:eastAsia="Times New Roman" w:cs="Times New Roman"/>
          <w:sz w:val="26"/>
          <w:szCs w:val="26"/>
        </w:rPr>
        <w:t>, при условии, что все гарантии (страховки), являющиеся промежуточными между гарантируемым кредитным требованием и гарантией Российской Федерации номинированы в рублях.</w:t>
      </w:r>
      <w:proofErr w:type="gramEnd"/>
      <w:r w:rsidRPr="000B7992">
        <w:rPr>
          <w:rFonts w:eastAsia="Times New Roman" w:cs="Times New Roman"/>
          <w:sz w:val="26"/>
          <w:szCs w:val="26"/>
        </w:rPr>
        <w:t xml:space="preserve"> Данный подход предусмотрен кодом 8871 Инструкции № 139-И.</w:t>
      </w:r>
    </w:p>
    <w:p w:rsidR="0052022D" w:rsidRPr="0052022D" w:rsidRDefault="0052022D" w:rsidP="0052022D">
      <w:pPr>
        <w:shd w:val="clear" w:color="auto" w:fill="FFFFFF"/>
        <w:spacing w:after="0"/>
        <w:ind w:left="0" w:right="10" w:firstLine="538"/>
        <w:rPr>
          <w:rFonts w:eastAsia="Times New Roman" w:cs="Times New Roman"/>
          <w:i/>
          <w:sz w:val="26"/>
          <w:szCs w:val="26"/>
        </w:rPr>
      </w:pPr>
      <w:proofErr w:type="spellStart"/>
      <w:proofErr w:type="gramStart"/>
      <w:r w:rsidRPr="0052022D">
        <w:rPr>
          <w:rFonts w:eastAsia="Times New Roman" w:cs="Times New Roman"/>
          <w:i/>
          <w:sz w:val="26"/>
          <w:szCs w:val="26"/>
        </w:rPr>
        <w:t>Справочно</w:t>
      </w:r>
      <w:proofErr w:type="spellEnd"/>
      <w:r w:rsidRPr="0052022D">
        <w:rPr>
          <w:rFonts w:eastAsia="Times New Roman" w:cs="Times New Roman"/>
          <w:i/>
          <w:sz w:val="26"/>
          <w:szCs w:val="26"/>
        </w:rPr>
        <w:t>: кредитные</w:t>
      </w:r>
      <w:proofErr w:type="gramEnd"/>
      <w:r w:rsidRPr="0052022D">
        <w:rPr>
          <w:rFonts w:eastAsia="Times New Roman" w:cs="Times New Roman"/>
          <w:i/>
          <w:sz w:val="26"/>
          <w:szCs w:val="26"/>
        </w:rPr>
        <w:t xml:space="preserve"> требования и требования по получению начисленных (накопленных) процентов, </w:t>
      </w:r>
      <w:r w:rsidRPr="0052022D">
        <w:rPr>
          <w:rFonts w:eastAsia="Times New Roman" w:cs="Times New Roman"/>
          <w:b/>
          <w:i/>
          <w:sz w:val="26"/>
          <w:szCs w:val="26"/>
        </w:rPr>
        <w:t>номинированные и (или) фондированные в рублях</w:t>
      </w:r>
      <w:r w:rsidRPr="0052022D">
        <w:rPr>
          <w:rFonts w:eastAsia="Times New Roman" w:cs="Times New Roman"/>
          <w:i/>
          <w:sz w:val="26"/>
          <w:szCs w:val="26"/>
        </w:rPr>
        <w:t>, при наличии договора с</w:t>
      </w:r>
      <w:r>
        <w:rPr>
          <w:rFonts w:eastAsia="Times New Roman" w:cs="Times New Roman"/>
          <w:i/>
          <w:sz w:val="26"/>
          <w:szCs w:val="26"/>
        </w:rPr>
        <w:t>трахования экспортных кредитов и инвестиций, обеспеченного</w:t>
      </w:r>
      <w:r w:rsidRPr="0052022D">
        <w:rPr>
          <w:rFonts w:eastAsia="Times New Roman" w:cs="Times New Roman"/>
          <w:i/>
          <w:sz w:val="26"/>
          <w:szCs w:val="26"/>
        </w:rPr>
        <w:t xml:space="preserve"> </w:t>
      </w:r>
      <w:r w:rsidRPr="0052022D">
        <w:rPr>
          <w:rFonts w:eastAsia="Times New Roman" w:cs="Times New Roman"/>
          <w:b/>
          <w:i/>
          <w:sz w:val="26"/>
          <w:szCs w:val="26"/>
        </w:rPr>
        <w:t>номинированными в рублях</w:t>
      </w:r>
      <w:r w:rsidRPr="0052022D">
        <w:rPr>
          <w:rFonts w:eastAsia="Times New Roman" w:cs="Times New Roman"/>
          <w:i/>
          <w:sz w:val="26"/>
          <w:szCs w:val="26"/>
        </w:rPr>
        <w:t xml:space="preserve"> гарантиями </w:t>
      </w:r>
      <w:r>
        <w:rPr>
          <w:rFonts w:eastAsia="Times New Roman" w:cs="Times New Roman"/>
          <w:i/>
          <w:sz w:val="26"/>
          <w:szCs w:val="26"/>
        </w:rPr>
        <w:t xml:space="preserve">Внешэкономбанка, выданными в соответствии </w:t>
      </w:r>
      <w:r w:rsidRPr="0052022D">
        <w:rPr>
          <w:rFonts w:eastAsia="Times New Roman" w:cs="Times New Roman"/>
          <w:i/>
          <w:sz w:val="26"/>
          <w:szCs w:val="26"/>
        </w:rPr>
        <w:t xml:space="preserve">с Постановлением Правительства Российской Федерации от 22 ноября 2011 года № 964 «О порядке осуществления деятельности по страхованию экспортных кредитов и инвестиций от предпринимательских и политических рисков»), исполнение </w:t>
      </w:r>
      <w:proofErr w:type="gramStart"/>
      <w:r w:rsidRPr="0052022D">
        <w:rPr>
          <w:rFonts w:eastAsia="Times New Roman" w:cs="Times New Roman"/>
          <w:i/>
          <w:sz w:val="26"/>
          <w:szCs w:val="26"/>
        </w:rPr>
        <w:t>обязательств</w:t>
      </w:r>
      <w:proofErr w:type="gramEnd"/>
      <w:r w:rsidRPr="0052022D">
        <w:rPr>
          <w:rFonts w:eastAsia="Times New Roman" w:cs="Times New Roman"/>
          <w:i/>
          <w:sz w:val="26"/>
          <w:szCs w:val="26"/>
        </w:rPr>
        <w:t xml:space="preserve"> по которым обеспечено </w:t>
      </w:r>
      <w:r w:rsidRPr="0052022D">
        <w:rPr>
          <w:rFonts w:eastAsia="Times New Roman" w:cs="Times New Roman"/>
          <w:b/>
          <w:i/>
          <w:sz w:val="26"/>
          <w:szCs w:val="26"/>
        </w:rPr>
        <w:t xml:space="preserve">номинированными в рублях </w:t>
      </w:r>
      <w:r w:rsidRPr="0052022D">
        <w:rPr>
          <w:rFonts w:eastAsia="Times New Roman" w:cs="Times New Roman"/>
          <w:i/>
          <w:sz w:val="26"/>
          <w:szCs w:val="26"/>
        </w:rPr>
        <w:t>государственными гарантиями, выданными в соответствии с бюджетным законодательством Российской Федерации оцениваются с коэффициентом риска 20% (код 8871).</w:t>
      </w:r>
    </w:p>
    <w:p w:rsidR="0052022D" w:rsidRPr="0052022D" w:rsidRDefault="0052022D" w:rsidP="0052022D">
      <w:pPr>
        <w:shd w:val="clear" w:color="auto" w:fill="FFFFFF"/>
        <w:spacing w:after="0"/>
        <w:ind w:left="0" w:right="10" w:firstLine="538"/>
        <w:rPr>
          <w:rFonts w:eastAsia="Times New Roman" w:cs="Times New Roman"/>
          <w:sz w:val="26"/>
          <w:szCs w:val="26"/>
        </w:rPr>
      </w:pPr>
      <w:r w:rsidRPr="0052022D">
        <w:rPr>
          <w:rFonts w:eastAsia="Times New Roman" w:cs="Times New Roman"/>
          <w:sz w:val="26"/>
          <w:szCs w:val="26"/>
        </w:rPr>
        <w:t xml:space="preserve">В иных случаях уровень риска будет определяться исходя из </w:t>
      </w:r>
      <w:proofErr w:type="spellStart"/>
      <w:r w:rsidRPr="0052022D">
        <w:rPr>
          <w:rFonts w:eastAsia="Times New Roman" w:cs="Times New Roman"/>
          <w:sz w:val="26"/>
          <w:szCs w:val="26"/>
        </w:rPr>
        <w:t>страновой</w:t>
      </w:r>
      <w:proofErr w:type="spellEnd"/>
      <w:r w:rsidRPr="0052022D">
        <w:rPr>
          <w:rFonts w:eastAsia="Times New Roman" w:cs="Times New Roman"/>
          <w:sz w:val="26"/>
          <w:szCs w:val="26"/>
        </w:rPr>
        <w:t xml:space="preserve"> оценки Российской Федерации. </w:t>
      </w:r>
      <w:proofErr w:type="gramStart"/>
      <w:r w:rsidRPr="0052022D">
        <w:rPr>
          <w:rFonts w:eastAsia="Times New Roman" w:cs="Times New Roman"/>
          <w:sz w:val="26"/>
          <w:szCs w:val="26"/>
        </w:rPr>
        <w:t xml:space="preserve">Текущая </w:t>
      </w:r>
      <w:proofErr w:type="spellStart"/>
      <w:r w:rsidRPr="0052022D">
        <w:rPr>
          <w:rFonts w:eastAsia="Times New Roman" w:cs="Times New Roman"/>
          <w:sz w:val="26"/>
          <w:szCs w:val="26"/>
        </w:rPr>
        <w:t>страновая</w:t>
      </w:r>
      <w:proofErr w:type="spellEnd"/>
      <w:r w:rsidRPr="0052022D">
        <w:rPr>
          <w:rFonts w:eastAsia="Times New Roman" w:cs="Times New Roman"/>
          <w:sz w:val="26"/>
          <w:szCs w:val="26"/>
        </w:rPr>
        <w:t xml:space="preserve"> оценка Российской Федерации «4», соответственно, уровень риска по кредитным требованиям, обеспеченным </w:t>
      </w:r>
      <w:proofErr w:type="spellStart"/>
      <w:r w:rsidRPr="0052022D">
        <w:rPr>
          <w:rFonts w:eastAsia="Times New Roman" w:cs="Times New Roman"/>
          <w:sz w:val="26"/>
          <w:szCs w:val="26"/>
        </w:rPr>
        <w:lastRenderedPageBreak/>
        <w:t>контргарантиями</w:t>
      </w:r>
      <w:proofErr w:type="spellEnd"/>
      <w:r w:rsidRPr="0052022D">
        <w:rPr>
          <w:rFonts w:eastAsia="Times New Roman" w:cs="Times New Roman"/>
          <w:sz w:val="26"/>
          <w:szCs w:val="26"/>
        </w:rPr>
        <w:t xml:space="preserve"> Российской Федерации в иностранной валюте, как в случае со страховкой ЭКСАР, будут оцениваться с риском 100%. При изменении страной оценки Российской Федерации до уровня «3» и лучше, уровень риска по данным кредитным требованиям снизится до 50%) (код 8966).</w:t>
      </w:r>
      <w:proofErr w:type="gramEnd"/>
    </w:p>
    <w:p w:rsidR="008F222B" w:rsidRPr="008F222B" w:rsidRDefault="008F222B" w:rsidP="008F222B">
      <w:pPr>
        <w:shd w:val="clear" w:color="auto" w:fill="FFFFFF"/>
        <w:spacing w:after="0"/>
        <w:ind w:left="24" w:right="5" w:firstLine="706"/>
        <w:rPr>
          <w:rFonts w:eastAsia="Times New Roman" w:cs="Times New Roman"/>
          <w:b/>
          <w:bCs/>
          <w:sz w:val="26"/>
          <w:szCs w:val="26"/>
        </w:rPr>
      </w:pPr>
      <w:r w:rsidRPr="008F222B">
        <w:rPr>
          <w:rFonts w:eastAsia="Times New Roman" w:cs="Times New Roman"/>
          <w:b/>
          <w:bCs/>
          <w:sz w:val="26"/>
          <w:szCs w:val="26"/>
        </w:rPr>
        <w:t>9.4. С какими коэффициентами должны браться в расчет кредитные требования и требования по получению начисленных процентов к Евразийскому банку развития (ЕАБР), к активам, обеспеченных гарантиями ЕАБР?</w:t>
      </w:r>
    </w:p>
    <w:p w:rsidR="008F222B" w:rsidRPr="008F222B" w:rsidRDefault="006C0C22" w:rsidP="008F222B">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008F222B" w:rsidRPr="008F222B">
        <w:rPr>
          <w:rFonts w:eastAsia="Times New Roman" w:cs="Times New Roman"/>
          <w:sz w:val="26"/>
          <w:szCs w:val="26"/>
        </w:rPr>
        <w:t>Действующие положения Инструкции № 139-И, приведены в соответствие со стандартами, установленным документами БКБН, по результатам проверки в рамках программы «Базель III:</w:t>
      </w:r>
      <w:proofErr w:type="gramEnd"/>
      <w:r w:rsidR="008F222B" w:rsidRPr="008F222B">
        <w:rPr>
          <w:rFonts w:eastAsia="Times New Roman" w:cs="Times New Roman"/>
          <w:sz w:val="26"/>
          <w:szCs w:val="26"/>
        </w:rPr>
        <w:t xml:space="preserve"> Программа оценки соответствия регулирования», и не предусматривают никаких преференций при оценке кредитных требований к Европейскому банку развития, которые оцениваются на общих основаниях со стандартным коэффициентом риска 100%.</w:t>
      </w:r>
    </w:p>
    <w:p w:rsidR="0099103D" w:rsidRPr="0052022D" w:rsidRDefault="0099103D" w:rsidP="000B7992">
      <w:pPr>
        <w:shd w:val="clear" w:color="auto" w:fill="FFFFFF"/>
        <w:spacing w:after="0"/>
        <w:ind w:left="0" w:right="10" w:firstLine="538"/>
        <w:rPr>
          <w:rFonts w:eastAsia="Times New Roman" w:cs="Times New Roman"/>
          <w:i/>
          <w:sz w:val="26"/>
          <w:szCs w:val="26"/>
        </w:rPr>
      </w:pPr>
    </w:p>
    <w:p w:rsidR="005B1EC2" w:rsidRPr="005B1EC2" w:rsidRDefault="005B1EC2" w:rsidP="005B1EC2">
      <w:pPr>
        <w:shd w:val="clear" w:color="auto" w:fill="FFFFFF"/>
        <w:spacing w:after="0"/>
        <w:ind w:left="24" w:right="5" w:firstLine="706"/>
        <w:rPr>
          <w:rFonts w:eastAsia="Times New Roman" w:cs="Times New Roman"/>
          <w:b/>
          <w:bCs/>
          <w:sz w:val="26"/>
          <w:szCs w:val="26"/>
        </w:rPr>
      </w:pPr>
      <w:r w:rsidRPr="005B1EC2">
        <w:rPr>
          <w:rFonts w:eastAsia="Times New Roman" w:cs="Times New Roman"/>
          <w:b/>
          <w:bCs/>
          <w:sz w:val="26"/>
          <w:szCs w:val="26"/>
        </w:rPr>
        <w:t>Вопрос 10. В настоящее время Инструкция № 139-И устанавливает пониженный коэффициент риска 0% в отношении требований по кредитам и гарантиям и требований по получению начисленных (накопленных) процентов к целому ряду международных банков развития, а также в отношении их долговых ценных бумаг. Аналогичных положений в отношении отечественных институтов в данной Инструкции не содержится.</w:t>
      </w:r>
    </w:p>
    <w:p w:rsidR="005B1EC2" w:rsidRPr="005B1EC2" w:rsidRDefault="005B1EC2" w:rsidP="005B1EC2">
      <w:pPr>
        <w:shd w:val="clear" w:color="auto" w:fill="FFFFFF"/>
        <w:spacing w:after="0"/>
        <w:ind w:left="24" w:right="5" w:firstLine="706"/>
        <w:rPr>
          <w:rFonts w:eastAsia="Times New Roman" w:cs="Times New Roman"/>
          <w:b/>
          <w:bCs/>
          <w:sz w:val="26"/>
          <w:szCs w:val="26"/>
        </w:rPr>
      </w:pPr>
      <w:proofErr w:type="gramStart"/>
      <w:r w:rsidRPr="005B1EC2">
        <w:rPr>
          <w:rFonts w:eastAsia="Times New Roman" w:cs="Times New Roman"/>
          <w:b/>
          <w:bCs/>
          <w:sz w:val="26"/>
          <w:szCs w:val="26"/>
        </w:rPr>
        <w:t>Планирует ли Банк России внести изменений в Инструкцию № 139-И в части включения в 1-ю группу активов при расчете нормативов достаточности капитала кредитных требований, обеспеченных гарантиями и (или) поручительствами отечественных институтов развития, учредителями (акционерами) которых является Российская Федерация, а именно: акционерного общества "Федеральная корпорация по развитию малого и среднего предпринимательства", государственной корпорации "Банк развития внешнеэкономической деятельности (Внешэкономбанк)" и АО «МСП Банк»?</w:t>
      </w:r>
      <w:proofErr w:type="gramEnd"/>
    </w:p>
    <w:p w:rsidR="005B1EC2" w:rsidRPr="005B1EC2" w:rsidRDefault="006C0C22" w:rsidP="005B1EC2">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5B1EC2" w:rsidRPr="005B1EC2">
        <w:rPr>
          <w:rFonts w:eastAsia="Times New Roman" w:cs="Times New Roman"/>
          <w:sz w:val="26"/>
          <w:szCs w:val="26"/>
        </w:rPr>
        <w:t>Указанием Банка России от 18.06.2015 № 3684-У «О внесении изменений в Инструкцию Банка России от 3 декабря 2012 года № 139-И» предусмотрен учет обеспечения в виде гарантий (поручительств) юридических лиц, в части, по которой исполнение обязательств обеспечено гарантиями Российской Федерации. Таким образом, предусмотрено применение пониженного коэффициента риска 20% к номинированным и фондированным в рублях кредитным требованиям, обеспеченным номинированными в рублях гарантиями (поручительствами) юридических лиц, в части, по которой исполнение обязательств обеспечено гарантиями Российской Федерации.</w:t>
      </w:r>
    </w:p>
    <w:p w:rsidR="005B1EC2" w:rsidRPr="005B1EC2" w:rsidRDefault="005B1EC2" w:rsidP="005B1EC2">
      <w:pPr>
        <w:shd w:val="clear" w:color="auto" w:fill="FFFFFF"/>
        <w:spacing w:after="0"/>
        <w:ind w:left="0" w:right="10" w:firstLine="538"/>
        <w:rPr>
          <w:rFonts w:eastAsia="Times New Roman" w:cs="Times New Roman"/>
          <w:sz w:val="26"/>
          <w:szCs w:val="26"/>
        </w:rPr>
      </w:pPr>
      <w:r w:rsidRPr="005B1EC2">
        <w:rPr>
          <w:rFonts w:eastAsia="Times New Roman" w:cs="Times New Roman"/>
          <w:sz w:val="26"/>
          <w:szCs w:val="26"/>
        </w:rPr>
        <w:t xml:space="preserve">Введение дополнительных пониженных коэффициентов в целях </w:t>
      </w:r>
      <w:proofErr w:type="gramStart"/>
      <w:r w:rsidRPr="005B1EC2">
        <w:rPr>
          <w:rFonts w:eastAsia="Times New Roman" w:cs="Times New Roman"/>
          <w:sz w:val="26"/>
          <w:szCs w:val="26"/>
        </w:rPr>
        <w:t>расчета нормативов достаточности капитала банка</w:t>
      </w:r>
      <w:proofErr w:type="gramEnd"/>
      <w:r w:rsidRPr="005B1EC2">
        <w:rPr>
          <w:rFonts w:eastAsia="Times New Roman" w:cs="Times New Roman"/>
          <w:sz w:val="26"/>
          <w:szCs w:val="26"/>
        </w:rPr>
        <w:t xml:space="preserve"> в настоящее время Банком России не планируется, поскольку будет противоречить </w:t>
      </w:r>
      <w:proofErr w:type="spellStart"/>
      <w:r w:rsidRPr="005B1EC2">
        <w:rPr>
          <w:rFonts w:eastAsia="Times New Roman" w:cs="Times New Roman"/>
          <w:sz w:val="26"/>
          <w:szCs w:val="26"/>
        </w:rPr>
        <w:t>базельским</w:t>
      </w:r>
      <w:proofErr w:type="spellEnd"/>
      <w:r w:rsidRPr="005B1EC2">
        <w:rPr>
          <w:rFonts w:eastAsia="Times New Roman" w:cs="Times New Roman"/>
          <w:sz w:val="26"/>
          <w:szCs w:val="26"/>
        </w:rPr>
        <w:t xml:space="preserve"> стандартам.</w:t>
      </w:r>
    </w:p>
    <w:p w:rsidR="0099103D" w:rsidRPr="000B7992" w:rsidRDefault="0099103D" w:rsidP="000B7992">
      <w:pPr>
        <w:shd w:val="clear" w:color="auto" w:fill="FFFFFF"/>
        <w:spacing w:after="0"/>
        <w:ind w:left="0" w:right="10" w:firstLine="538"/>
        <w:rPr>
          <w:rFonts w:eastAsia="Times New Roman" w:cs="Times New Roman"/>
          <w:sz w:val="26"/>
          <w:szCs w:val="26"/>
        </w:rPr>
      </w:pPr>
    </w:p>
    <w:p w:rsidR="005B1EC2" w:rsidRPr="005B1EC2" w:rsidRDefault="005B1EC2" w:rsidP="005B1EC2">
      <w:pPr>
        <w:shd w:val="clear" w:color="auto" w:fill="FFFFFF"/>
        <w:spacing w:after="0"/>
        <w:ind w:left="24" w:right="5" w:firstLine="706"/>
        <w:rPr>
          <w:rFonts w:eastAsia="Times New Roman" w:cs="Times New Roman"/>
          <w:b/>
          <w:bCs/>
          <w:sz w:val="26"/>
          <w:szCs w:val="26"/>
        </w:rPr>
      </w:pPr>
      <w:r w:rsidRPr="005B1EC2">
        <w:rPr>
          <w:rFonts w:eastAsia="Times New Roman" w:cs="Times New Roman"/>
          <w:b/>
          <w:bCs/>
          <w:sz w:val="26"/>
          <w:szCs w:val="26"/>
        </w:rPr>
        <w:t xml:space="preserve">Вопрос 11. Планирует ли Банк России вводить особый порядок расчета капитала и обязательных нормативов банковской группы головной кредитной организацией банковской группы при наличии в банковской группе участника - кредитной организации, имеющей согласованный с Банком России план мер по финансовому оздоровлению кредитной организации и </w:t>
      </w:r>
      <w:proofErr w:type="spellStart"/>
      <w:r w:rsidRPr="005B1EC2">
        <w:rPr>
          <w:rFonts w:eastAsia="Times New Roman" w:cs="Times New Roman"/>
          <w:b/>
          <w:bCs/>
          <w:sz w:val="26"/>
          <w:szCs w:val="26"/>
        </w:rPr>
        <w:t>невыполняющей</w:t>
      </w:r>
      <w:proofErr w:type="spellEnd"/>
      <w:r w:rsidRPr="005B1EC2">
        <w:rPr>
          <w:rFonts w:eastAsia="Times New Roman" w:cs="Times New Roman"/>
          <w:b/>
          <w:bCs/>
          <w:sz w:val="26"/>
          <w:szCs w:val="26"/>
        </w:rPr>
        <w:t xml:space="preserve"> обязательные нормативы?</w:t>
      </w:r>
    </w:p>
    <w:p w:rsidR="005B1EC2" w:rsidRPr="005B1EC2" w:rsidRDefault="006C0C22" w:rsidP="005B1EC2">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5B1EC2" w:rsidRPr="005B1EC2">
        <w:rPr>
          <w:rFonts w:eastAsia="Times New Roman" w:cs="Times New Roman"/>
          <w:sz w:val="26"/>
          <w:szCs w:val="26"/>
        </w:rPr>
        <w:t>Вопрос о порядке расчета капитала и обязательных нормативов банковской группы, в состав которой входит кредитная организация, осуществляющая мероприятия по плану финансового оздоровления, согласованному с Банком России, в настоящее время рассматривается Банком России.</w:t>
      </w:r>
    </w:p>
    <w:p w:rsidR="0099103D" w:rsidRPr="000F2666" w:rsidRDefault="0099103D" w:rsidP="000B7992">
      <w:pPr>
        <w:shd w:val="clear" w:color="auto" w:fill="FFFFFF"/>
        <w:spacing w:after="0"/>
        <w:ind w:left="0" w:right="10" w:firstLine="538"/>
        <w:rPr>
          <w:rFonts w:eastAsia="Times New Roman" w:cs="Times New Roman"/>
          <w:sz w:val="26"/>
          <w:szCs w:val="26"/>
        </w:rPr>
      </w:pPr>
    </w:p>
    <w:p w:rsidR="00BC78E4" w:rsidRDefault="00BC78E4" w:rsidP="00BC78E4">
      <w:pPr>
        <w:shd w:val="clear" w:color="auto" w:fill="FFFFFF"/>
        <w:spacing w:before="307"/>
        <w:ind w:left="293"/>
      </w:pPr>
      <w:r>
        <w:rPr>
          <w:rFonts w:eastAsia="Times New Roman" w:cs="Times New Roman"/>
          <w:i/>
          <w:iCs/>
          <w:sz w:val="28"/>
          <w:szCs w:val="28"/>
          <w:u w:val="single"/>
        </w:rPr>
        <w:t xml:space="preserve">Раздел </w:t>
      </w:r>
      <w:r>
        <w:rPr>
          <w:rFonts w:eastAsia="Times New Roman" w:cs="Times New Roman"/>
          <w:i/>
          <w:iCs/>
          <w:sz w:val="28"/>
          <w:szCs w:val="28"/>
          <w:u w:val="single"/>
          <w:lang w:val="en-US"/>
        </w:rPr>
        <w:t>III</w:t>
      </w:r>
      <w:r w:rsidRPr="00396803">
        <w:rPr>
          <w:rFonts w:eastAsia="Times New Roman" w:cs="Times New Roman"/>
          <w:i/>
          <w:iCs/>
          <w:sz w:val="28"/>
          <w:szCs w:val="28"/>
          <w:u w:val="single"/>
        </w:rPr>
        <w:t xml:space="preserve">: </w:t>
      </w:r>
      <w:r>
        <w:rPr>
          <w:rFonts w:eastAsia="Times New Roman" w:cs="Times New Roman"/>
          <w:i/>
          <w:iCs/>
          <w:sz w:val="28"/>
          <w:szCs w:val="28"/>
          <w:u w:val="single"/>
        </w:rPr>
        <w:t>Предложения по внесению изменений в Инструкцию № 139-И.</w:t>
      </w:r>
    </w:p>
    <w:p w:rsidR="008431FC" w:rsidRPr="008431FC" w:rsidRDefault="008431FC" w:rsidP="008431FC">
      <w:pPr>
        <w:shd w:val="clear" w:color="auto" w:fill="FFFFFF"/>
        <w:spacing w:after="0"/>
        <w:ind w:left="24" w:right="5" w:firstLine="706"/>
        <w:rPr>
          <w:rFonts w:eastAsia="Times New Roman" w:cs="Times New Roman"/>
          <w:b/>
          <w:bCs/>
          <w:sz w:val="26"/>
          <w:szCs w:val="26"/>
        </w:rPr>
      </w:pPr>
      <w:r w:rsidRPr="008431FC">
        <w:rPr>
          <w:rFonts w:eastAsia="Times New Roman" w:cs="Times New Roman"/>
          <w:b/>
          <w:bCs/>
          <w:sz w:val="26"/>
          <w:szCs w:val="26"/>
        </w:rPr>
        <w:t>Предложение 1. Об уточнении понятия «финансовой организации» применительно к SPV.</w:t>
      </w:r>
    </w:p>
    <w:p w:rsidR="008431FC" w:rsidRPr="008431FC" w:rsidRDefault="008431FC" w:rsidP="008431FC">
      <w:pPr>
        <w:shd w:val="clear" w:color="auto" w:fill="FFFFFF"/>
        <w:spacing w:after="0"/>
        <w:ind w:left="24" w:right="5" w:firstLine="706"/>
        <w:rPr>
          <w:rFonts w:eastAsia="Times New Roman" w:cs="Times New Roman"/>
          <w:b/>
          <w:bCs/>
          <w:sz w:val="26"/>
          <w:szCs w:val="26"/>
        </w:rPr>
      </w:pPr>
      <w:r w:rsidRPr="008431FC">
        <w:rPr>
          <w:rFonts w:eastAsia="Times New Roman" w:cs="Times New Roman"/>
          <w:b/>
          <w:bCs/>
          <w:sz w:val="26"/>
          <w:szCs w:val="26"/>
        </w:rPr>
        <w:t>В соответствии с требованиями Базель 2/3 национальный регулятор определяет то, какую организацию считать «финансовой организацией». Кредитные организации предлагают уточнить определение «финансовых организаций», в том числе применительно к SPV -резидентам и SPV -нерезидентам, так как в настоящий момент все облигации, выпущенные SPV, которые Банк России считает финансовыми организациями, не могут попадать в состав высоколиквидных активов при расчете показателя краткосрочной ликвидности. В случае</w:t>
      </w:r>
      <w:proofErr w:type="gramStart"/>
      <w:r w:rsidRPr="008431FC">
        <w:rPr>
          <w:rFonts w:eastAsia="Times New Roman" w:cs="Times New Roman"/>
          <w:b/>
          <w:bCs/>
          <w:sz w:val="26"/>
          <w:szCs w:val="26"/>
        </w:rPr>
        <w:t>,</w:t>
      </w:r>
      <w:proofErr w:type="gramEnd"/>
      <w:r w:rsidRPr="008431FC">
        <w:rPr>
          <w:rFonts w:eastAsia="Times New Roman" w:cs="Times New Roman"/>
          <w:b/>
          <w:bCs/>
          <w:sz w:val="26"/>
          <w:szCs w:val="26"/>
        </w:rPr>
        <w:t xml:space="preserve"> если материнская компания является нефинансовой организацией, то рассматривать консолидируемую в ее отчетности SPV в качестве финансовой организации представляется избыточно консервативным подходом, который не соответствует экономической логике.</w:t>
      </w:r>
    </w:p>
    <w:p w:rsidR="007B3018" w:rsidRPr="00055B56" w:rsidRDefault="007B3018" w:rsidP="008431FC">
      <w:pPr>
        <w:shd w:val="clear" w:color="auto" w:fill="FFFFFF"/>
        <w:spacing w:after="0"/>
        <w:ind w:left="0" w:right="10" w:firstLine="538"/>
        <w:rPr>
          <w:rFonts w:eastAsia="Times New Roman" w:cs="Times New Roman"/>
          <w:sz w:val="26"/>
          <w:szCs w:val="26"/>
          <w:u w:val="single"/>
        </w:rPr>
      </w:pPr>
      <w:r>
        <w:rPr>
          <w:rFonts w:eastAsia="Times New Roman" w:cs="Times New Roman"/>
          <w:b/>
          <w:sz w:val="26"/>
          <w:szCs w:val="26"/>
        </w:rPr>
        <w:t>КОММЕНТАРИЙ</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p>
    <w:p w:rsidR="008431FC" w:rsidRPr="008431FC" w:rsidRDefault="008431FC" w:rsidP="008431FC">
      <w:pPr>
        <w:shd w:val="clear" w:color="auto" w:fill="FFFFFF"/>
        <w:spacing w:after="0"/>
        <w:ind w:left="0" w:right="10" w:firstLine="538"/>
        <w:rPr>
          <w:rFonts w:eastAsia="Times New Roman" w:cs="Times New Roman"/>
          <w:sz w:val="26"/>
          <w:szCs w:val="26"/>
          <w:u w:val="single"/>
        </w:rPr>
      </w:pPr>
      <w:r w:rsidRPr="008431FC">
        <w:rPr>
          <w:rFonts w:eastAsia="Times New Roman" w:cs="Times New Roman"/>
          <w:sz w:val="26"/>
          <w:szCs w:val="26"/>
          <w:u w:val="single"/>
        </w:rPr>
        <w:t>В части расчета НКЛ в соответствии с Базелем III:</w:t>
      </w:r>
    </w:p>
    <w:p w:rsidR="008431FC" w:rsidRPr="008431FC" w:rsidRDefault="008431FC" w:rsidP="008431FC">
      <w:pPr>
        <w:shd w:val="clear" w:color="auto" w:fill="FFFFFF"/>
        <w:spacing w:after="0"/>
        <w:ind w:left="0" w:right="10" w:firstLine="538"/>
        <w:rPr>
          <w:rFonts w:eastAsia="Times New Roman" w:cs="Times New Roman"/>
          <w:sz w:val="26"/>
          <w:szCs w:val="26"/>
        </w:rPr>
      </w:pPr>
      <w:r w:rsidRPr="008431FC">
        <w:rPr>
          <w:rFonts w:eastAsia="Times New Roman" w:cs="Times New Roman"/>
          <w:sz w:val="26"/>
          <w:szCs w:val="26"/>
        </w:rPr>
        <w:t>В соответствии с Базелем III не предусмотрено включение в состав высоколиквидных активов ценных бумаг, эмитентами которых являются финансовые организации (</w:t>
      </w:r>
      <w:proofErr w:type="gramStart"/>
      <w:r w:rsidRPr="008431FC">
        <w:rPr>
          <w:rFonts w:eastAsia="Times New Roman" w:cs="Times New Roman"/>
          <w:sz w:val="26"/>
          <w:szCs w:val="26"/>
        </w:rPr>
        <w:t>за</w:t>
      </w:r>
      <w:proofErr w:type="gramEnd"/>
      <w:r w:rsidRPr="008431FC">
        <w:rPr>
          <w:rFonts w:eastAsia="Times New Roman" w:cs="Times New Roman"/>
          <w:sz w:val="26"/>
          <w:szCs w:val="26"/>
        </w:rPr>
        <w:t xml:space="preserve"> рядом исключений, указанных в Положении Банка России № 421-П).</w:t>
      </w:r>
    </w:p>
    <w:p w:rsidR="008431FC" w:rsidRPr="008431FC" w:rsidRDefault="008431FC" w:rsidP="008431FC">
      <w:pPr>
        <w:shd w:val="clear" w:color="auto" w:fill="FFFFFF"/>
        <w:spacing w:after="0"/>
        <w:ind w:left="0" w:right="10" w:firstLine="538"/>
        <w:rPr>
          <w:rFonts w:eastAsia="Times New Roman" w:cs="Times New Roman"/>
          <w:sz w:val="26"/>
          <w:szCs w:val="26"/>
        </w:rPr>
      </w:pPr>
      <w:r w:rsidRPr="008431FC">
        <w:rPr>
          <w:rFonts w:eastAsia="Times New Roman" w:cs="Times New Roman"/>
          <w:sz w:val="26"/>
          <w:szCs w:val="26"/>
        </w:rPr>
        <w:t>Согласно коду 67.12.4 «Эмиссионная деятельность» ОКВЭД или коду 66.12.3 «Деятельность эмиссионная» ОКВЭД</w:t>
      </w:r>
      <w:proofErr w:type="gramStart"/>
      <w:r w:rsidRPr="008431FC">
        <w:rPr>
          <w:rFonts w:eastAsia="Times New Roman" w:cs="Times New Roman"/>
          <w:sz w:val="26"/>
          <w:szCs w:val="26"/>
        </w:rPr>
        <w:t>2</w:t>
      </w:r>
      <w:proofErr w:type="gramEnd"/>
      <w:r w:rsidRPr="008431FC">
        <w:rPr>
          <w:rFonts w:eastAsia="Times New Roman" w:cs="Times New Roman"/>
          <w:sz w:val="26"/>
          <w:szCs w:val="26"/>
        </w:rPr>
        <w:t xml:space="preserve"> (если организация осуществила досрочный переход) деятельность специализированных финансовых обществ (8РУ) является финансовой деятельностью.</w:t>
      </w:r>
    </w:p>
    <w:p w:rsidR="005B1EC2" w:rsidRPr="008431FC" w:rsidRDefault="008431FC" w:rsidP="008431FC">
      <w:pPr>
        <w:shd w:val="clear" w:color="auto" w:fill="FFFFFF"/>
        <w:spacing w:after="0"/>
        <w:ind w:left="0" w:right="10" w:firstLine="538"/>
        <w:rPr>
          <w:rFonts w:eastAsia="Times New Roman" w:cs="Times New Roman"/>
          <w:sz w:val="26"/>
          <w:szCs w:val="26"/>
        </w:rPr>
      </w:pPr>
      <w:r w:rsidRPr="008431FC">
        <w:rPr>
          <w:rFonts w:eastAsia="Times New Roman" w:cs="Times New Roman"/>
          <w:sz w:val="26"/>
          <w:szCs w:val="26"/>
        </w:rPr>
        <w:t xml:space="preserve">Одновременно отмечаем, что в настоящий момент </w:t>
      </w:r>
      <w:proofErr w:type="spellStart"/>
      <w:r w:rsidRPr="008431FC">
        <w:rPr>
          <w:rFonts w:eastAsia="Times New Roman" w:cs="Times New Roman"/>
          <w:sz w:val="26"/>
          <w:szCs w:val="26"/>
        </w:rPr>
        <w:t>Базельский</w:t>
      </w:r>
      <w:proofErr w:type="spellEnd"/>
      <w:r w:rsidRPr="008431FC">
        <w:rPr>
          <w:rFonts w:eastAsia="Times New Roman" w:cs="Times New Roman"/>
          <w:sz w:val="26"/>
          <w:szCs w:val="26"/>
        </w:rPr>
        <w:t xml:space="preserve"> комитет по банковскому надзору рассматривает возможность включения в высоколиквидные </w:t>
      </w:r>
      <w:r w:rsidRPr="008431FC">
        <w:rPr>
          <w:rFonts w:eastAsia="Times New Roman" w:cs="Times New Roman"/>
          <w:sz w:val="26"/>
          <w:szCs w:val="26"/>
        </w:rPr>
        <w:lastRenderedPageBreak/>
        <w:t>активы ценных бумаг, эмитированных специализированными финансовыми обществами - у</w:t>
      </w:r>
      <w:r>
        <w:rPr>
          <w:rFonts w:eastAsia="Times New Roman" w:cs="Times New Roman"/>
          <w:sz w:val="26"/>
          <w:szCs w:val="26"/>
        </w:rPr>
        <w:t xml:space="preserve">частниками консолидированной группы, головная организация которой </w:t>
      </w:r>
      <w:r w:rsidRPr="008431FC">
        <w:rPr>
          <w:rFonts w:eastAsia="Times New Roman" w:cs="Times New Roman"/>
          <w:sz w:val="26"/>
          <w:szCs w:val="26"/>
        </w:rPr>
        <w:t>является нефинансовой организацией, выпущенных в интересах указанной нефинансовой организации. В случае принятия положительного решения Банком России будут внесены соответствующие изменения в порядок расчета показателя краткосрочной ликвидности и соответствующих нормативов Н26 (Н27).</w:t>
      </w:r>
    </w:p>
    <w:p w:rsidR="00BC78E4" w:rsidRPr="008431FC" w:rsidRDefault="00BC78E4" w:rsidP="000B7992">
      <w:pPr>
        <w:shd w:val="clear" w:color="auto" w:fill="FFFFFF"/>
        <w:spacing w:after="0"/>
        <w:ind w:left="0" w:right="10" w:firstLine="538"/>
        <w:rPr>
          <w:rFonts w:eastAsia="Times New Roman" w:cs="Times New Roman"/>
          <w:sz w:val="26"/>
          <w:szCs w:val="26"/>
        </w:rPr>
      </w:pPr>
    </w:p>
    <w:p w:rsidR="004519B8" w:rsidRPr="004519B8" w:rsidRDefault="004519B8" w:rsidP="004519B8">
      <w:pPr>
        <w:shd w:val="clear" w:color="auto" w:fill="FFFFFF"/>
        <w:spacing w:after="0"/>
        <w:ind w:left="24" w:right="5" w:firstLine="706"/>
        <w:rPr>
          <w:rFonts w:eastAsia="Times New Roman" w:cs="Times New Roman"/>
          <w:b/>
          <w:bCs/>
          <w:sz w:val="26"/>
          <w:szCs w:val="26"/>
        </w:rPr>
      </w:pPr>
      <w:r w:rsidRPr="004519B8">
        <w:rPr>
          <w:rFonts w:eastAsia="Times New Roman" w:cs="Times New Roman"/>
          <w:b/>
          <w:bCs/>
          <w:sz w:val="26"/>
          <w:szCs w:val="26"/>
        </w:rPr>
        <w:t xml:space="preserve">Предложение 2. Кредитные организации предлагают считать стабильными средства физических лиц в пределах застрахованных сумм вкладов (пп75-78 </w:t>
      </w:r>
      <w:proofErr w:type="spellStart"/>
      <w:r w:rsidRPr="004519B8">
        <w:rPr>
          <w:rFonts w:eastAsia="Times New Roman" w:cs="Times New Roman"/>
          <w:b/>
          <w:bCs/>
          <w:sz w:val="26"/>
          <w:szCs w:val="26"/>
        </w:rPr>
        <w:t>БазельЗ</w:t>
      </w:r>
      <w:proofErr w:type="spellEnd"/>
      <w:r w:rsidRPr="004519B8">
        <w:rPr>
          <w:rFonts w:eastAsia="Times New Roman" w:cs="Times New Roman"/>
          <w:b/>
          <w:bCs/>
          <w:sz w:val="26"/>
          <w:szCs w:val="26"/>
        </w:rPr>
        <w:t>) и не учитывать при этом факт лояльности клиента банку за весь период обслуживания в банке при определении ожидаемых оттоков денежных сре</w:t>
      </w:r>
      <w:proofErr w:type="gramStart"/>
      <w:r w:rsidRPr="004519B8">
        <w:rPr>
          <w:rFonts w:eastAsia="Times New Roman" w:cs="Times New Roman"/>
          <w:b/>
          <w:bCs/>
          <w:sz w:val="26"/>
          <w:szCs w:val="26"/>
        </w:rPr>
        <w:t>дств дл</w:t>
      </w:r>
      <w:proofErr w:type="gramEnd"/>
      <w:r w:rsidRPr="004519B8">
        <w:rPr>
          <w:rFonts w:eastAsia="Times New Roman" w:cs="Times New Roman"/>
          <w:b/>
          <w:bCs/>
          <w:sz w:val="26"/>
          <w:szCs w:val="26"/>
        </w:rPr>
        <w:t>я расчета показателя краткосрочной ликвидности. Крупная покупка клиента существенно увеличивает шанс снижения объема размещенных клиентом сре</w:t>
      </w:r>
      <w:proofErr w:type="gramStart"/>
      <w:r w:rsidRPr="004519B8">
        <w:rPr>
          <w:rFonts w:eastAsia="Times New Roman" w:cs="Times New Roman"/>
          <w:b/>
          <w:bCs/>
          <w:sz w:val="26"/>
          <w:szCs w:val="26"/>
        </w:rPr>
        <w:t>дств в б</w:t>
      </w:r>
      <w:proofErr w:type="gramEnd"/>
      <w:r w:rsidRPr="004519B8">
        <w:rPr>
          <w:rFonts w:eastAsia="Times New Roman" w:cs="Times New Roman"/>
          <w:b/>
          <w:bCs/>
          <w:sz w:val="26"/>
          <w:szCs w:val="26"/>
        </w:rPr>
        <w:t>анке на 20 %, что не позволяет считать данные средства стабильными ресурсами при расчете ожидаемых оттоков.</w:t>
      </w:r>
    </w:p>
    <w:p w:rsidR="004519B8" w:rsidRPr="004519B8" w:rsidRDefault="007B3018" w:rsidP="004519B8">
      <w:pPr>
        <w:shd w:val="clear" w:color="auto" w:fill="FFFFFF"/>
        <w:spacing w:after="0"/>
        <w:ind w:left="0" w:right="10" w:firstLine="538"/>
        <w:rPr>
          <w:rFonts w:eastAsia="Times New Roman" w:cs="Times New Roman"/>
          <w:sz w:val="26"/>
          <w:szCs w:val="26"/>
        </w:rPr>
      </w:pPr>
      <w:r>
        <w:rPr>
          <w:rFonts w:eastAsia="Times New Roman" w:cs="Times New Roman"/>
          <w:b/>
          <w:sz w:val="26"/>
          <w:szCs w:val="26"/>
        </w:rPr>
        <w:t>КОММЕНТАРИЙ</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b/>
          <w:sz w:val="26"/>
          <w:szCs w:val="26"/>
        </w:rPr>
        <w:t xml:space="preserve"> </w:t>
      </w:r>
      <w:proofErr w:type="gramStart"/>
      <w:r w:rsidR="004519B8" w:rsidRPr="004519B8">
        <w:rPr>
          <w:rFonts w:eastAsia="Times New Roman" w:cs="Times New Roman"/>
          <w:sz w:val="26"/>
          <w:szCs w:val="26"/>
        </w:rPr>
        <w:t>В соответствии с параграфом 75 Базеля III (LCR) для возможности отнесения привлеченных средств физических лиц к стабильным физическое лицо должно иметь установленные взаимоотношения с банком (как один из альтернативных критериев определения стабильных средств согласно подпункту 3.2.3 пункта 3.2 Положения № 421-П), что, в свою очередь, требует проведения анализа длительности взаимоотношений и их стабильности), приведенных в количественном выражении в подпункте 3.2.3 пункта</w:t>
      </w:r>
      <w:proofErr w:type="gramEnd"/>
      <w:r w:rsidR="004519B8" w:rsidRPr="004519B8">
        <w:rPr>
          <w:rFonts w:eastAsia="Times New Roman" w:cs="Times New Roman"/>
          <w:sz w:val="26"/>
          <w:szCs w:val="26"/>
        </w:rPr>
        <w:t xml:space="preserve"> </w:t>
      </w:r>
      <w:proofErr w:type="gramStart"/>
      <w:r w:rsidR="004519B8" w:rsidRPr="004519B8">
        <w:rPr>
          <w:rFonts w:eastAsia="Times New Roman" w:cs="Times New Roman"/>
          <w:sz w:val="26"/>
          <w:szCs w:val="26"/>
        </w:rPr>
        <w:t>3.2 Положения Банка России № 421-П (альтернативный критерий - использование клиентом банка иных различных видов банковских услуг (помимо вкладов и депозитов).</w:t>
      </w:r>
      <w:proofErr w:type="gramEnd"/>
      <w:r w:rsidR="004519B8" w:rsidRPr="004519B8">
        <w:rPr>
          <w:rFonts w:eastAsia="Times New Roman" w:cs="Times New Roman"/>
          <w:sz w:val="26"/>
          <w:szCs w:val="26"/>
        </w:rPr>
        <w:t xml:space="preserve"> Подход Базеля III заключается в том, что факты существенных оттоков в прошлые периоды могут свидетельствовать о потенциальных оттоках сре</w:t>
      </w:r>
      <w:proofErr w:type="gramStart"/>
      <w:r w:rsidR="004519B8" w:rsidRPr="004519B8">
        <w:rPr>
          <w:rFonts w:eastAsia="Times New Roman" w:cs="Times New Roman"/>
          <w:sz w:val="26"/>
          <w:szCs w:val="26"/>
        </w:rPr>
        <w:t>дств в б</w:t>
      </w:r>
      <w:proofErr w:type="gramEnd"/>
      <w:r w:rsidR="004519B8" w:rsidRPr="004519B8">
        <w:rPr>
          <w:rFonts w:eastAsia="Times New Roman" w:cs="Times New Roman"/>
          <w:sz w:val="26"/>
          <w:szCs w:val="26"/>
        </w:rPr>
        <w:t>удущем в стрессовые периоды, что не позволяет применять низкий (на уровне 5%) коэффициент оттока средств при расчете НКЛ.</w:t>
      </w:r>
    </w:p>
    <w:p w:rsidR="005B1EC2" w:rsidRPr="000F2666" w:rsidRDefault="005B1EC2" w:rsidP="004519B8">
      <w:pPr>
        <w:shd w:val="clear" w:color="auto" w:fill="FFFFFF"/>
        <w:spacing w:after="0"/>
        <w:ind w:left="24" w:right="5" w:firstLine="706"/>
        <w:rPr>
          <w:rFonts w:eastAsia="Times New Roman" w:cs="Times New Roman"/>
          <w:b/>
          <w:bCs/>
          <w:sz w:val="26"/>
          <w:szCs w:val="26"/>
        </w:rPr>
      </w:pPr>
    </w:p>
    <w:p w:rsidR="004519B8" w:rsidRPr="004519B8" w:rsidRDefault="004519B8" w:rsidP="004519B8">
      <w:pPr>
        <w:shd w:val="clear" w:color="auto" w:fill="FFFFFF"/>
        <w:spacing w:after="0"/>
        <w:ind w:left="24" w:right="5" w:firstLine="706"/>
        <w:rPr>
          <w:rFonts w:eastAsia="Times New Roman" w:cs="Times New Roman"/>
          <w:b/>
          <w:bCs/>
          <w:sz w:val="26"/>
          <w:szCs w:val="26"/>
        </w:rPr>
      </w:pPr>
      <w:r w:rsidRPr="004519B8">
        <w:rPr>
          <w:rFonts w:eastAsia="Times New Roman" w:cs="Times New Roman"/>
          <w:b/>
          <w:bCs/>
          <w:sz w:val="26"/>
          <w:szCs w:val="26"/>
        </w:rPr>
        <w:t xml:space="preserve">Предложение 3. </w:t>
      </w:r>
      <w:proofErr w:type="gramStart"/>
      <w:r w:rsidRPr="004519B8">
        <w:rPr>
          <w:rFonts w:eastAsia="Times New Roman" w:cs="Times New Roman"/>
          <w:b/>
          <w:bCs/>
          <w:sz w:val="26"/>
          <w:szCs w:val="26"/>
        </w:rPr>
        <w:t>Кредитные организации предлагают рассмотреть</w:t>
      </w:r>
      <w:r>
        <w:rPr>
          <w:rFonts w:eastAsia="Times New Roman" w:cs="Times New Roman"/>
          <w:b/>
          <w:bCs/>
          <w:sz w:val="28"/>
          <w:szCs w:val="28"/>
        </w:rPr>
        <w:t xml:space="preserve"> </w:t>
      </w:r>
      <w:r w:rsidRPr="004519B8">
        <w:rPr>
          <w:rFonts w:eastAsia="Times New Roman" w:cs="Times New Roman"/>
          <w:b/>
          <w:bCs/>
          <w:sz w:val="26"/>
          <w:szCs w:val="26"/>
        </w:rPr>
        <w:t>вопрос об установлении системы внесения изменений в методику расчета обязательных нормативов банка (Инструкцию № 139-И), в порядок составления и представления форм обязательной отчетности (Указание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 далее - Указание № 2332-У) с учетом следующего:</w:t>
      </w:r>
      <w:proofErr w:type="gramEnd"/>
    </w:p>
    <w:p w:rsidR="004519B8" w:rsidRPr="004519B8" w:rsidRDefault="004519B8" w:rsidP="004519B8">
      <w:pPr>
        <w:shd w:val="clear" w:color="auto" w:fill="FFFFFF"/>
        <w:spacing w:after="0"/>
        <w:ind w:left="24" w:right="5" w:firstLine="706"/>
        <w:rPr>
          <w:rFonts w:eastAsia="Times New Roman" w:cs="Times New Roman"/>
          <w:b/>
          <w:bCs/>
          <w:sz w:val="26"/>
          <w:szCs w:val="26"/>
        </w:rPr>
      </w:pPr>
      <w:r w:rsidRPr="004519B8">
        <w:rPr>
          <w:rFonts w:eastAsia="Times New Roman" w:cs="Times New Roman"/>
          <w:b/>
          <w:bCs/>
          <w:sz w:val="26"/>
          <w:szCs w:val="26"/>
        </w:rPr>
        <w:t>- изменения вносятся не чаще одного раза в год;</w:t>
      </w:r>
    </w:p>
    <w:p w:rsidR="004519B8" w:rsidRPr="004519B8" w:rsidRDefault="004519B8" w:rsidP="004519B8">
      <w:pPr>
        <w:shd w:val="clear" w:color="auto" w:fill="FFFFFF"/>
        <w:spacing w:after="0"/>
        <w:ind w:left="24" w:right="5" w:firstLine="706"/>
        <w:rPr>
          <w:rFonts w:eastAsia="Times New Roman" w:cs="Times New Roman"/>
          <w:b/>
          <w:bCs/>
          <w:sz w:val="26"/>
          <w:szCs w:val="26"/>
        </w:rPr>
      </w:pPr>
      <w:r w:rsidRPr="004519B8">
        <w:rPr>
          <w:rFonts w:eastAsia="Times New Roman" w:cs="Times New Roman"/>
          <w:b/>
          <w:bCs/>
          <w:sz w:val="26"/>
          <w:szCs w:val="26"/>
        </w:rPr>
        <w:t xml:space="preserve">-изменения вносятся, начиная с отчетности по состоянию на 01 октября, поскольку при формировании отчетности с учетом внесенных модификаций, до формирования отчетности на годовую отчетную дату, у кредитных </w:t>
      </w:r>
      <w:r w:rsidRPr="004519B8">
        <w:rPr>
          <w:rFonts w:eastAsia="Times New Roman" w:cs="Times New Roman"/>
          <w:b/>
          <w:bCs/>
          <w:sz w:val="26"/>
          <w:szCs w:val="26"/>
        </w:rPr>
        <w:lastRenderedPageBreak/>
        <w:t>организаций появится возможность решить спорные вопросы, требующие дополнительного разъяснения или уточнения;</w:t>
      </w:r>
    </w:p>
    <w:p w:rsidR="004519B8" w:rsidRPr="004519B8" w:rsidRDefault="004519B8" w:rsidP="004519B8">
      <w:pPr>
        <w:shd w:val="clear" w:color="auto" w:fill="FFFFFF"/>
        <w:spacing w:after="0"/>
        <w:ind w:left="24" w:right="5" w:firstLine="706"/>
        <w:rPr>
          <w:rFonts w:eastAsia="Times New Roman" w:cs="Times New Roman"/>
          <w:b/>
          <w:bCs/>
          <w:sz w:val="26"/>
          <w:szCs w:val="26"/>
        </w:rPr>
      </w:pPr>
      <w:r w:rsidRPr="004519B8">
        <w:rPr>
          <w:rFonts w:eastAsia="Times New Roman" w:cs="Times New Roman"/>
          <w:b/>
          <w:bCs/>
          <w:sz w:val="26"/>
          <w:szCs w:val="26"/>
        </w:rPr>
        <w:t>-осуществлять публикацию изменений в вышеуказанные нормативные акты в «Вестнике Банка России» не позднее, чем за 6-12 месяцев до вступления их в силу (в зависимости от степени сложности планируемых изменений).</w:t>
      </w:r>
    </w:p>
    <w:p w:rsidR="004519B8" w:rsidRPr="004519B8" w:rsidRDefault="007B3018" w:rsidP="004519B8">
      <w:pPr>
        <w:shd w:val="clear" w:color="auto" w:fill="FFFFFF"/>
        <w:spacing w:after="0"/>
        <w:ind w:left="0" w:right="10" w:firstLine="538"/>
        <w:rPr>
          <w:rFonts w:eastAsia="Times New Roman" w:cs="Times New Roman"/>
          <w:sz w:val="26"/>
          <w:szCs w:val="26"/>
        </w:rPr>
      </w:pPr>
      <w:r>
        <w:rPr>
          <w:rFonts w:eastAsia="Times New Roman" w:cs="Times New Roman"/>
          <w:b/>
          <w:sz w:val="26"/>
          <w:szCs w:val="26"/>
        </w:rPr>
        <w:t>КОММЕНТАРИЙ</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b/>
          <w:sz w:val="26"/>
          <w:szCs w:val="26"/>
        </w:rPr>
        <w:t xml:space="preserve"> </w:t>
      </w:r>
      <w:r w:rsidR="004519B8" w:rsidRPr="004519B8">
        <w:rPr>
          <w:rFonts w:eastAsia="Times New Roman" w:cs="Times New Roman"/>
          <w:sz w:val="26"/>
          <w:szCs w:val="26"/>
        </w:rPr>
        <w:t>Данные предложения не могут быть приняты к реализации по следующим основаниям.</w:t>
      </w:r>
    </w:p>
    <w:p w:rsidR="004519B8" w:rsidRPr="004519B8" w:rsidRDefault="004519B8" w:rsidP="004519B8">
      <w:pPr>
        <w:shd w:val="clear" w:color="auto" w:fill="FFFFFF"/>
        <w:spacing w:after="0"/>
        <w:ind w:left="0" w:right="10" w:firstLine="538"/>
        <w:rPr>
          <w:rFonts w:eastAsia="Times New Roman" w:cs="Times New Roman"/>
          <w:sz w:val="26"/>
          <w:szCs w:val="26"/>
        </w:rPr>
      </w:pPr>
      <w:r w:rsidRPr="004519B8">
        <w:rPr>
          <w:rFonts w:eastAsia="Times New Roman" w:cs="Times New Roman"/>
          <w:sz w:val="26"/>
          <w:szCs w:val="26"/>
        </w:rPr>
        <w:t>Изменения в Инструкцию № 139-И связаны не только с изменением (уточнением) методик расчета обязательных нормативов, а также являются следствием изменения положений федерального законодательства, бухгалтерского учета тех или иных операций, методик формирования резервов на возможные потери и капитала и пр., которые имеют самостоятельные установленные сроки вступления в силу.</w:t>
      </w:r>
    </w:p>
    <w:p w:rsidR="004519B8" w:rsidRPr="004519B8" w:rsidRDefault="004519B8" w:rsidP="004519B8">
      <w:pPr>
        <w:shd w:val="clear" w:color="auto" w:fill="FFFFFF"/>
        <w:spacing w:after="0"/>
        <w:ind w:left="0" w:right="10" w:firstLine="538"/>
        <w:rPr>
          <w:rFonts w:eastAsia="Times New Roman" w:cs="Times New Roman"/>
          <w:sz w:val="26"/>
          <w:szCs w:val="26"/>
        </w:rPr>
      </w:pPr>
      <w:r>
        <w:rPr>
          <w:rFonts w:eastAsia="Times New Roman" w:cs="Times New Roman"/>
          <w:sz w:val="26"/>
          <w:szCs w:val="26"/>
        </w:rPr>
        <w:t>Согласно положениям статьи</w:t>
      </w:r>
      <w:r w:rsidRPr="004519B8">
        <w:rPr>
          <w:rFonts w:eastAsia="Times New Roman" w:cs="Times New Roman"/>
          <w:sz w:val="26"/>
          <w:szCs w:val="26"/>
        </w:rPr>
        <w:t xml:space="preserve"> </w:t>
      </w:r>
      <w:r>
        <w:rPr>
          <w:rFonts w:eastAsia="Times New Roman" w:cs="Times New Roman"/>
          <w:sz w:val="26"/>
          <w:szCs w:val="26"/>
        </w:rPr>
        <w:t xml:space="preserve">72 Федерального закона № 86-ФЗ </w:t>
      </w:r>
      <w:r w:rsidRPr="004519B8">
        <w:rPr>
          <w:rFonts w:eastAsia="Times New Roman" w:cs="Times New Roman"/>
          <w:sz w:val="26"/>
          <w:szCs w:val="26"/>
        </w:rPr>
        <w:t xml:space="preserve">о предстоящем изменении нормативов и методик их расчета Банк России официально объявляет не </w:t>
      </w:r>
      <w:proofErr w:type="gramStart"/>
      <w:r w:rsidRPr="004519B8">
        <w:rPr>
          <w:rFonts w:eastAsia="Times New Roman" w:cs="Times New Roman"/>
          <w:sz w:val="26"/>
          <w:szCs w:val="26"/>
        </w:rPr>
        <w:t>позднее</w:t>
      </w:r>
      <w:proofErr w:type="gramEnd"/>
      <w:r w:rsidRPr="004519B8">
        <w:rPr>
          <w:rFonts w:eastAsia="Times New Roman" w:cs="Times New Roman"/>
          <w:sz w:val="26"/>
          <w:szCs w:val="26"/>
        </w:rPr>
        <w:t xml:space="preserve"> чем за один месяц до их введения в действие.</w:t>
      </w:r>
    </w:p>
    <w:p w:rsidR="004519B8" w:rsidRPr="000F2666" w:rsidRDefault="004519B8" w:rsidP="004519B8">
      <w:pPr>
        <w:shd w:val="clear" w:color="auto" w:fill="FFFFFF"/>
        <w:spacing w:after="0"/>
        <w:ind w:left="0" w:right="10" w:firstLine="538"/>
        <w:rPr>
          <w:rFonts w:eastAsia="Times New Roman" w:cs="Times New Roman"/>
          <w:sz w:val="26"/>
          <w:szCs w:val="26"/>
        </w:rPr>
      </w:pPr>
    </w:p>
    <w:p w:rsidR="00164CED" w:rsidRPr="00164CED" w:rsidRDefault="00164CED" w:rsidP="00164CED">
      <w:pPr>
        <w:shd w:val="clear" w:color="auto" w:fill="FFFFFF"/>
        <w:spacing w:after="0"/>
        <w:ind w:left="24" w:right="5" w:firstLine="706"/>
        <w:rPr>
          <w:rFonts w:eastAsia="Times New Roman" w:cs="Times New Roman"/>
          <w:b/>
          <w:bCs/>
          <w:sz w:val="26"/>
          <w:szCs w:val="26"/>
        </w:rPr>
      </w:pPr>
      <w:r w:rsidRPr="00164CED">
        <w:rPr>
          <w:rFonts w:eastAsia="Times New Roman" w:cs="Times New Roman"/>
          <w:b/>
          <w:bCs/>
          <w:sz w:val="26"/>
          <w:szCs w:val="26"/>
        </w:rPr>
        <w:t xml:space="preserve">Предложение 4. </w:t>
      </w:r>
      <w:proofErr w:type="gramStart"/>
      <w:r w:rsidRPr="00164CED">
        <w:rPr>
          <w:rFonts w:eastAsia="Times New Roman" w:cs="Times New Roman"/>
          <w:b/>
          <w:bCs/>
          <w:sz w:val="26"/>
          <w:szCs w:val="26"/>
        </w:rPr>
        <w:t>Ввиду того, что некоторые формулировки, используемые в Инструкции № 139-И и Указании № 2332-У, носят спорный характер, а на написание официальных запросов и получение ответов уходит определенное количество времени, в некоторых случаях превышающее сроки представления отчетности, кредитные организации просят организовать возможность консультирования у разработчиков (методологов) отчетности по возникающим вопросам в режиме on-line, с возможностью использования полученных ответов в качестве официальных разъяснений Банка</w:t>
      </w:r>
      <w:proofErr w:type="gramEnd"/>
      <w:r w:rsidRPr="00164CED">
        <w:rPr>
          <w:rFonts w:eastAsia="Times New Roman" w:cs="Times New Roman"/>
          <w:b/>
          <w:bCs/>
          <w:sz w:val="26"/>
          <w:szCs w:val="26"/>
        </w:rPr>
        <w:t xml:space="preserve"> России.</w:t>
      </w:r>
    </w:p>
    <w:p w:rsidR="00164CED" w:rsidRPr="00164CED" w:rsidRDefault="007B3018" w:rsidP="00164CED">
      <w:pPr>
        <w:shd w:val="clear" w:color="auto" w:fill="FFFFFF"/>
        <w:spacing w:after="0"/>
        <w:ind w:left="0" w:right="10" w:firstLine="538"/>
        <w:rPr>
          <w:rFonts w:eastAsia="Times New Roman" w:cs="Times New Roman"/>
          <w:sz w:val="26"/>
          <w:szCs w:val="26"/>
        </w:rPr>
      </w:pPr>
      <w:r>
        <w:rPr>
          <w:rFonts w:eastAsia="Times New Roman" w:cs="Times New Roman"/>
          <w:b/>
          <w:sz w:val="26"/>
          <w:szCs w:val="26"/>
        </w:rPr>
        <w:t>КОММЕНТАРИЙ</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b/>
          <w:sz w:val="26"/>
          <w:szCs w:val="26"/>
        </w:rPr>
        <w:t xml:space="preserve"> </w:t>
      </w:r>
      <w:r w:rsidR="00164CED" w:rsidRPr="00164CED">
        <w:rPr>
          <w:rFonts w:eastAsia="Times New Roman" w:cs="Times New Roman"/>
          <w:sz w:val="26"/>
          <w:szCs w:val="26"/>
        </w:rPr>
        <w:t>Предложение не может быть принято.</w:t>
      </w:r>
    </w:p>
    <w:p w:rsidR="00164CED" w:rsidRPr="00164CED" w:rsidRDefault="00164CED" w:rsidP="00164CED">
      <w:pPr>
        <w:shd w:val="clear" w:color="auto" w:fill="FFFFFF"/>
        <w:spacing w:after="0"/>
        <w:ind w:left="0" w:right="10" w:firstLine="538"/>
        <w:rPr>
          <w:rFonts w:eastAsia="Times New Roman" w:cs="Times New Roman"/>
          <w:sz w:val="26"/>
          <w:szCs w:val="26"/>
        </w:rPr>
      </w:pPr>
      <w:r w:rsidRPr="00164CED">
        <w:rPr>
          <w:rFonts w:eastAsia="Times New Roman" w:cs="Times New Roman"/>
          <w:sz w:val="26"/>
          <w:szCs w:val="26"/>
        </w:rPr>
        <w:t xml:space="preserve">В соответствии с нормами федерального законодательства о предстоящем изменении нормативов и методик их расчета Банк России должен официально объявлять не </w:t>
      </w:r>
      <w:proofErr w:type="gramStart"/>
      <w:r w:rsidRPr="00164CED">
        <w:rPr>
          <w:rFonts w:eastAsia="Times New Roman" w:cs="Times New Roman"/>
          <w:sz w:val="26"/>
          <w:szCs w:val="26"/>
        </w:rPr>
        <w:t>позднее</w:t>
      </w:r>
      <w:proofErr w:type="gramEnd"/>
      <w:r w:rsidRPr="00164CED">
        <w:rPr>
          <w:rFonts w:eastAsia="Times New Roman" w:cs="Times New Roman"/>
          <w:sz w:val="26"/>
          <w:szCs w:val="26"/>
        </w:rPr>
        <w:t xml:space="preserve"> чем за один месяц до их введения в действие.</w:t>
      </w:r>
    </w:p>
    <w:p w:rsidR="00164CED" w:rsidRPr="00164CED" w:rsidRDefault="00164CED" w:rsidP="00164CED">
      <w:pPr>
        <w:shd w:val="clear" w:color="auto" w:fill="FFFFFF"/>
        <w:spacing w:after="0"/>
        <w:ind w:left="0" w:right="10" w:firstLine="538"/>
        <w:rPr>
          <w:rFonts w:eastAsia="Times New Roman" w:cs="Times New Roman"/>
          <w:sz w:val="26"/>
          <w:szCs w:val="26"/>
        </w:rPr>
      </w:pPr>
      <w:r w:rsidRPr="00164CED">
        <w:rPr>
          <w:rFonts w:eastAsia="Times New Roman" w:cs="Times New Roman"/>
          <w:sz w:val="26"/>
          <w:szCs w:val="26"/>
        </w:rPr>
        <w:t xml:space="preserve">По факту размещение на сайте Банка России в сети Интернет проектов изменений в Инструкцию № 139-И для оценки регулирующего </w:t>
      </w:r>
      <w:proofErr w:type="gramStart"/>
      <w:r w:rsidRPr="00164CED">
        <w:rPr>
          <w:rFonts w:eastAsia="Times New Roman" w:cs="Times New Roman"/>
          <w:sz w:val="26"/>
          <w:szCs w:val="26"/>
        </w:rPr>
        <w:t>воздействия проектов нормативных актов Банка России</w:t>
      </w:r>
      <w:proofErr w:type="gramEnd"/>
      <w:r w:rsidRPr="00164CED">
        <w:rPr>
          <w:rFonts w:eastAsia="Times New Roman" w:cs="Times New Roman"/>
          <w:sz w:val="26"/>
          <w:szCs w:val="26"/>
        </w:rPr>
        <w:t xml:space="preserve"> осуществляется существенно раньше, чем это предусмотрено положениями федерального законодательства.</w:t>
      </w:r>
    </w:p>
    <w:p w:rsidR="00164CED" w:rsidRPr="00164CED" w:rsidRDefault="00164CED" w:rsidP="00164CED">
      <w:pPr>
        <w:shd w:val="clear" w:color="auto" w:fill="FFFFFF"/>
        <w:spacing w:after="0"/>
        <w:ind w:left="0" w:right="10" w:firstLine="538"/>
        <w:rPr>
          <w:rFonts w:eastAsia="Times New Roman" w:cs="Times New Roman"/>
          <w:sz w:val="26"/>
          <w:szCs w:val="26"/>
        </w:rPr>
      </w:pPr>
      <w:proofErr w:type="gramStart"/>
      <w:r w:rsidRPr="00164CED">
        <w:rPr>
          <w:rFonts w:eastAsia="Times New Roman" w:cs="Times New Roman"/>
          <w:sz w:val="26"/>
          <w:szCs w:val="26"/>
        </w:rPr>
        <w:t>Кредитные организации, в процессе изучения проектов нормативных актов Банка России имеют возможность ознакомится с планируемыми изменениями, в частности, в Инструкцию № 139-И, и при необходимости задать с письменном виде интересующие вопросы и получить на них ответы, также в письменной форме, так как согласно</w:t>
      </w:r>
      <w:r>
        <w:rPr>
          <w:rFonts w:eastAsia="Times New Roman" w:cs="Times New Roman"/>
          <w:sz w:val="26"/>
          <w:szCs w:val="26"/>
        </w:rPr>
        <w:t xml:space="preserve"> ст. 77 Федерального закона № 86-ФЗ ответы кредитным организациям даются Банком России </w:t>
      </w:r>
      <w:r w:rsidRPr="00164CED">
        <w:rPr>
          <w:rFonts w:eastAsia="Times New Roman" w:cs="Times New Roman"/>
          <w:sz w:val="26"/>
          <w:szCs w:val="26"/>
        </w:rPr>
        <w:t xml:space="preserve">в </w:t>
      </w:r>
      <w:r>
        <w:rPr>
          <w:rFonts w:eastAsia="Times New Roman" w:cs="Times New Roman"/>
          <w:sz w:val="26"/>
          <w:szCs w:val="26"/>
        </w:rPr>
        <w:t xml:space="preserve">письменной </w:t>
      </w:r>
      <w:r w:rsidRPr="00164CED">
        <w:rPr>
          <w:rFonts w:eastAsia="Times New Roman" w:cs="Times New Roman"/>
          <w:sz w:val="26"/>
          <w:szCs w:val="26"/>
        </w:rPr>
        <w:t>форме.</w:t>
      </w:r>
      <w:proofErr w:type="gramEnd"/>
      <w:r>
        <w:rPr>
          <w:rFonts w:eastAsia="Times New Roman" w:cs="Times New Roman"/>
          <w:sz w:val="26"/>
          <w:szCs w:val="26"/>
        </w:rPr>
        <w:t xml:space="preserve"> Только такие ответы могут рассматриваться</w:t>
      </w:r>
      <w:r w:rsidRPr="00164CED">
        <w:rPr>
          <w:rFonts w:eastAsia="Times New Roman" w:cs="Times New Roman"/>
          <w:sz w:val="26"/>
          <w:szCs w:val="26"/>
        </w:rPr>
        <w:t xml:space="preserve"> как официальная позиция Банка России и имеют юридическую силу.</w:t>
      </w:r>
    </w:p>
    <w:p w:rsidR="00164CED" w:rsidRPr="00164CED" w:rsidRDefault="00164CED" w:rsidP="00164CED">
      <w:pPr>
        <w:shd w:val="clear" w:color="auto" w:fill="FFFFFF"/>
        <w:spacing w:after="0"/>
        <w:ind w:left="0" w:right="10" w:firstLine="538"/>
        <w:rPr>
          <w:rFonts w:eastAsia="Times New Roman" w:cs="Times New Roman"/>
          <w:sz w:val="26"/>
          <w:szCs w:val="26"/>
        </w:rPr>
      </w:pPr>
    </w:p>
    <w:p w:rsidR="00737F3E" w:rsidRPr="00737F3E" w:rsidRDefault="00737F3E" w:rsidP="00737F3E">
      <w:pPr>
        <w:shd w:val="clear" w:color="auto" w:fill="FFFFFF"/>
        <w:spacing w:before="307"/>
        <w:ind w:left="293"/>
        <w:jc w:val="center"/>
        <w:rPr>
          <w:rFonts w:eastAsia="Times New Roman" w:cs="Times New Roman"/>
          <w:i/>
          <w:iCs/>
          <w:sz w:val="28"/>
          <w:szCs w:val="28"/>
          <w:u w:val="single"/>
        </w:rPr>
      </w:pPr>
      <w:r>
        <w:rPr>
          <w:rFonts w:eastAsia="Times New Roman" w:cs="Times New Roman"/>
          <w:i/>
          <w:iCs/>
          <w:sz w:val="28"/>
          <w:szCs w:val="28"/>
          <w:u w:val="single"/>
        </w:rPr>
        <w:t xml:space="preserve">Раздел </w:t>
      </w:r>
      <w:r w:rsidRPr="00737F3E">
        <w:rPr>
          <w:rFonts w:eastAsia="Times New Roman" w:cs="Times New Roman"/>
          <w:i/>
          <w:iCs/>
          <w:sz w:val="28"/>
          <w:szCs w:val="28"/>
          <w:u w:val="single"/>
        </w:rPr>
        <w:t>IV</w:t>
      </w:r>
      <w:r w:rsidRPr="00396803">
        <w:rPr>
          <w:rFonts w:eastAsia="Times New Roman" w:cs="Times New Roman"/>
          <w:i/>
          <w:iCs/>
          <w:sz w:val="28"/>
          <w:szCs w:val="28"/>
          <w:u w:val="single"/>
        </w:rPr>
        <w:t xml:space="preserve">: </w:t>
      </w:r>
      <w:r>
        <w:rPr>
          <w:rFonts w:eastAsia="Times New Roman" w:cs="Times New Roman"/>
          <w:i/>
          <w:iCs/>
          <w:sz w:val="28"/>
          <w:szCs w:val="28"/>
          <w:u w:val="single"/>
        </w:rPr>
        <w:t>Вопросы, касающиеся рыночного риска</w:t>
      </w:r>
    </w:p>
    <w:p w:rsidR="00737F3E" w:rsidRPr="00737F3E" w:rsidRDefault="00737F3E" w:rsidP="00737F3E">
      <w:pPr>
        <w:shd w:val="clear" w:color="auto" w:fill="FFFFFF"/>
        <w:spacing w:after="0"/>
        <w:ind w:left="24" w:right="5" w:firstLine="706"/>
        <w:rPr>
          <w:rFonts w:eastAsia="Times New Roman" w:cs="Times New Roman"/>
          <w:b/>
          <w:bCs/>
          <w:sz w:val="26"/>
          <w:szCs w:val="26"/>
        </w:rPr>
      </w:pPr>
      <w:r w:rsidRPr="00737F3E">
        <w:rPr>
          <w:rFonts w:eastAsia="Times New Roman" w:cs="Times New Roman"/>
          <w:b/>
          <w:bCs/>
          <w:sz w:val="26"/>
          <w:szCs w:val="26"/>
        </w:rPr>
        <w:t xml:space="preserve">Вопрос 1. </w:t>
      </w:r>
      <w:proofErr w:type="gramStart"/>
      <w:r w:rsidRPr="00737F3E">
        <w:rPr>
          <w:rFonts w:eastAsia="Times New Roman" w:cs="Times New Roman"/>
          <w:b/>
          <w:bCs/>
          <w:sz w:val="26"/>
          <w:szCs w:val="26"/>
        </w:rPr>
        <w:t>Согласно п. 4.5 Положения Банка России № 511-П «О порядке расчета кредитными организациями величины рыночного риска» полученный в обеспечение залог в виде товаров включается в расчет товарного риска в порядке, аналогичном включению залогов в расчет валютного риска в соответствии с подпунктом 1.9.5 пункта 1.9 Инструкции Банка России № 124-И «Об установлении размеров (лимитов) открытых валютных позиций, методике их расчета и особенностях осуществления</w:t>
      </w:r>
      <w:proofErr w:type="gramEnd"/>
      <w:r w:rsidRPr="00737F3E">
        <w:rPr>
          <w:rFonts w:eastAsia="Times New Roman" w:cs="Times New Roman"/>
          <w:b/>
          <w:bCs/>
          <w:sz w:val="26"/>
          <w:szCs w:val="26"/>
        </w:rPr>
        <w:t xml:space="preserve"> надзора за их соблюдением кредитными организациями», т.е. включается пропорционально величине сформированного резерва на возможные потери по финансовому инструменту, в обеспечение которого получен залог (в процентах от суммы основного долга).</w:t>
      </w:r>
    </w:p>
    <w:p w:rsidR="00737F3E" w:rsidRPr="00737F3E" w:rsidRDefault="00737F3E" w:rsidP="00737F3E">
      <w:pPr>
        <w:shd w:val="clear" w:color="auto" w:fill="FFFFFF"/>
        <w:spacing w:after="0"/>
        <w:ind w:left="24" w:right="5" w:firstLine="706"/>
        <w:rPr>
          <w:rFonts w:eastAsia="Times New Roman" w:cs="Times New Roman"/>
          <w:b/>
          <w:bCs/>
          <w:sz w:val="26"/>
          <w:szCs w:val="26"/>
        </w:rPr>
      </w:pPr>
      <w:r w:rsidRPr="00737F3E">
        <w:rPr>
          <w:rFonts w:eastAsia="Times New Roman" w:cs="Times New Roman"/>
          <w:b/>
          <w:bCs/>
          <w:sz w:val="26"/>
          <w:szCs w:val="26"/>
        </w:rPr>
        <w:t xml:space="preserve">По вопросу включения в соответствии с Инструкцией №124-И в расчет открытых валютных позиций полученных гарантий и, соответственно, полученного залога товаров также имеются разъяснения Банка России (Письмо Банка России от 13.06.2006 г. №15-1-2-13/1819). </w:t>
      </w:r>
      <w:proofErr w:type="gramStart"/>
      <w:r w:rsidRPr="00737F3E">
        <w:rPr>
          <w:rFonts w:eastAsia="Times New Roman" w:cs="Times New Roman"/>
          <w:b/>
          <w:bCs/>
          <w:sz w:val="26"/>
          <w:szCs w:val="26"/>
        </w:rPr>
        <w:t>В соответствии с указанным письмом, полученные гарантии (поручительства) в иностранной валюте, превышающие величину основного долга, следует включать в расчет открытой валютной позиции (ОВП) в величине, не превышающей сумму основного долга и пропорционально величине сформированного резерва на возможные потери по финансовому инструменту, в обеспечение которого гарантии (поручительства) получены.</w:t>
      </w:r>
      <w:proofErr w:type="gramEnd"/>
      <w:r w:rsidRPr="00737F3E">
        <w:rPr>
          <w:rFonts w:eastAsia="Times New Roman" w:cs="Times New Roman"/>
          <w:b/>
          <w:bCs/>
          <w:sz w:val="26"/>
          <w:szCs w:val="26"/>
        </w:rPr>
        <w:t xml:space="preserve"> В случае, когда величина</w:t>
      </w:r>
      <w:r w:rsidRPr="00737F3E">
        <w:rPr>
          <w:rFonts w:eastAsia="Times New Roman" w:cs="Times New Roman"/>
          <w:b/>
          <w:bCs/>
          <w:sz w:val="26"/>
          <w:szCs w:val="26"/>
        </w:rPr>
        <w:tab/>
        <w:t>гарантий (поручительств) меньше величины сформированного резерва на возможные потери по финансовому инструменту, то гарантии (поручительства) включаются в расчет ОВП в полном объеме.</w:t>
      </w:r>
    </w:p>
    <w:p w:rsidR="00737F3E" w:rsidRPr="00737F3E" w:rsidRDefault="00737F3E" w:rsidP="00737F3E">
      <w:pPr>
        <w:shd w:val="clear" w:color="auto" w:fill="FFFFFF"/>
        <w:spacing w:after="0"/>
        <w:ind w:left="24" w:right="5" w:firstLine="706"/>
        <w:rPr>
          <w:rFonts w:eastAsia="Times New Roman" w:cs="Times New Roman"/>
          <w:b/>
          <w:bCs/>
          <w:sz w:val="26"/>
          <w:szCs w:val="26"/>
        </w:rPr>
      </w:pPr>
      <w:r w:rsidRPr="00737F3E">
        <w:rPr>
          <w:rFonts w:eastAsia="Times New Roman" w:cs="Times New Roman"/>
          <w:b/>
          <w:bCs/>
          <w:sz w:val="26"/>
          <w:szCs w:val="26"/>
        </w:rPr>
        <w:t xml:space="preserve">Кредитная организация считает, что вероятность потерь по финансовому инструменту, в залог по которому принят товар, определяется величиной расчетного резерва. В то же время величина фактического резерва </w:t>
      </w:r>
      <w:r>
        <w:rPr>
          <w:rFonts w:eastAsia="Times New Roman" w:cs="Times New Roman"/>
          <w:b/>
          <w:bCs/>
          <w:sz w:val="26"/>
          <w:szCs w:val="26"/>
        </w:rPr>
        <w:t xml:space="preserve">отражает </w:t>
      </w:r>
      <w:r w:rsidRPr="00737F3E">
        <w:rPr>
          <w:rFonts w:eastAsia="Times New Roman" w:cs="Times New Roman"/>
          <w:b/>
          <w:bCs/>
          <w:sz w:val="26"/>
          <w:szCs w:val="26"/>
        </w:rPr>
        <w:t>фактическую величину зарезервированного капитала на покрытие указанных потерь. Таким образом, включение полученного залога товаров в расчет товарного риска пропорционально величине фактического резерва создает двойную нагрузку на капитал банка. Банк считает целесообразным полученный в обеспечение залог в виде товаров включать в расчет товарного риска в соответствии с Положением № 511-П в размере разницы между величиной расчетного резерва, отражающего величину вероятных потерь, и величиной фактически сформированного резерва, отражающего величину зарезервированного капитала.</w:t>
      </w:r>
    </w:p>
    <w:p w:rsidR="00737F3E" w:rsidRPr="00737F3E" w:rsidRDefault="00737F3E" w:rsidP="00737F3E">
      <w:pPr>
        <w:shd w:val="clear" w:color="auto" w:fill="FFFFFF"/>
        <w:spacing w:after="0"/>
        <w:ind w:left="24" w:right="5" w:firstLine="706"/>
        <w:rPr>
          <w:rFonts w:eastAsia="Times New Roman" w:cs="Times New Roman"/>
          <w:b/>
          <w:bCs/>
          <w:sz w:val="26"/>
          <w:szCs w:val="26"/>
        </w:rPr>
      </w:pPr>
      <w:r w:rsidRPr="00737F3E">
        <w:rPr>
          <w:rFonts w:eastAsia="Times New Roman" w:cs="Times New Roman"/>
          <w:b/>
          <w:bCs/>
          <w:sz w:val="26"/>
          <w:szCs w:val="26"/>
        </w:rPr>
        <w:t>Просим разъяснить позицию Банка России по указанному вопросу.</w:t>
      </w:r>
    </w:p>
    <w:p w:rsidR="00F6799C" w:rsidRPr="00F6799C" w:rsidRDefault="007B3018" w:rsidP="00F6799C">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lastRenderedPageBreak/>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941068" w:rsidRPr="00941068">
        <w:rPr>
          <w:rFonts w:eastAsia="Times New Roman" w:cs="Times New Roman"/>
          <w:sz w:val="26"/>
          <w:szCs w:val="26"/>
        </w:rPr>
        <w:t xml:space="preserve">Включение товаров, полученных в залог, в расчет величины товарного риска обусловлено необходимостью формирования капитала на покрытие риска, связанного с непредвиденным негативным изменением стоимости полученных в залог товаров. Величина резерва на возможные потери, сформированная, в том числе, с учетом полученного обеспечения, отражает величину ожидаемых потерь в связи с реализацией кредитного риска, влияющих на финансовый результат, при этом наличие принимаемого в расчет резерва обеспечения в соответствии с Положением 254-П приводит к снижению, а не к увеличению величины резерва. Величина капитала, необходимого на покрытие кредитного риска, определяется не величиной резерва, а на основе величины активов за вычетом сформированных </w:t>
      </w:r>
      <w:r w:rsidR="00941068">
        <w:rPr>
          <w:rFonts w:eastAsia="Times New Roman" w:cs="Times New Roman"/>
          <w:sz w:val="26"/>
          <w:szCs w:val="26"/>
        </w:rPr>
        <w:t xml:space="preserve">резервов. </w:t>
      </w:r>
      <w:proofErr w:type="gramStart"/>
      <w:r w:rsidR="00941068">
        <w:rPr>
          <w:rFonts w:eastAsia="Times New Roman" w:cs="Times New Roman"/>
          <w:sz w:val="26"/>
          <w:szCs w:val="26"/>
        </w:rPr>
        <w:t xml:space="preserve">Таким образом, предлагаемая Банком величина </w:t>
      </w:r>
      <w:r w:rsidR="00941068" w:rsidRPr="00941068">
        <w:rPr>
          <w:rFonts w:eastAsia="Times New Roman" w:cs="Times New Roman"/>
          <w:sz w:val="26"/>
          <w:szCs w:val="26"/>
        </w:rPr>
        <w:t>обеспечения,</w:t>
      </w:r>
      <w:r w:rsidR="00F6799C" w:rsidRPr="00F6799C">
        <w:rPr>
          <w:rFonts w:eastAsia="Times New Roman" w:cs="Times New Roman"/>
          <w:sz w:val="26"/>
          <w:szCs w:val="26"/>
        </w:rPr>
        <w:t xml:space="preserve"> уменьшившая расчетный резерв (разница между расчетным и сформированным резервами), увеличивает позицию, включаемую в расчет кредитного риска, поэтому указанная величина не подлежит включению в расчет рыночного риска.</w:t>
      </w:r>
      <w:proofErr w:type="gramEnd"/>
      <w:r w:rsidR="00F6799C" w:rsidRPr="00F6799C">
        <w:rPr>
          <w:rFonts w:eastAsia="Times New Roman" w:cs="Times New Roman"/>
          <w:sz w:val="26"/>
          <w:szCs w:val="26"/>
        </w:rPr>
        <w:t xml:space="preserve"> </w:t>
      </w:r>
      <w:proofErr w:type="gramStart"/>
      <w:r w:rsidR="00F6799C" w:rsidRPr="00F6799C">
        <w:rPr>
          <w:rFonts w:eastAsia="Times New Roman" w:cs="Times New Roman"/>
          <w:sz w:val="26"/>
          <w:szCs w:val="26"/>
        </w:rPr>
        <w:t>Величина капитала, необходимого на покрытие товарного риска, определяется в величине, не превышающей сформированный резерв, таким образом, чтобы совокупная позиция, включаемая в расчет знаменателя норматива достаточности собственных средств (капитала), по предоставленной ссуде за вычетом сформированного резерва (в составе кредитного риска) и обеспечения, учтенного в товарном риске (в составе рыночного риска), не превысила бы величину кредитного требования.</w:t>
      </w:r>
      <w:proofErr w:type="gramEnd"/>
      <w:r w:rsidR="00F6799C" w:rsidRPr="00F6799C">
        <w:rPr>
          <w:rFonts w:eastAsia="Times New Roman" w:cs="Times New Roman"/>
          <w:sz w:val="26"/>
          <w:szCs w:val="26"/>
        </w:rPr>
        <w:t xml:space="preserve"> В этой связи при определении величины залога, включаемого в расчет товарного риска, указана ссылка на аналогичный порядок включения обеспечения в расчет величины открытых валютных позиций. При этом отмечаем, что порядок включения обеспечения при расчете валютного риска будет уточнен в рамках новой редакции Инструкции № 124-И, что автоматически отразится на аналогичном порядке в целях расчета товарного риска.</w:t>
      </w:r>
    </w:p>
    <w:p w:rsidR="004519B8" w:rsidRPr="000F2666" w:rsidRDefault="004519B8" w:rsidP="00941068">
      <w:pPr>
        <w:shd w:val="clear" w:color="auto" w:fill="FFFFFF"/>
        <w:spacing w:after="0"/>
        <w:ind w:left="0" w:right="10" w:firstLine="538"/>
        <w:rPr>
          <w:rFonts w:eastAsia="Times New Roman" w:cs="Times New Roman"/>
          <w:sz w:val="26"/>
          <w:szCs w:val="26"/>
        </w:rPr>
      </w:pPr>
    </w:p>
    <w:p w:rsidR="00107745" w:rsidRPr="00107745" w:rsidRDefault="00107745" w:rsidP="00107745">
      <w:pPr>
        <w:shd w:val="clear" w:color="auto" w:fill="FFFFFF"/>
        <w:spacing w:after="0"/>
        <w:ind w:left="24" w:right="5" w:firstLine="706"/>
        <w:rPr>
          <w:rFonts w:eastAsia="Times New Roman" w:cs="Times New Roman"/>
          <w:b/>
          <w:bCs/>
          <w:sz w:val="26"/>
          <w:szCs w:val="26"/>
        </w:rPr>
      </w:pPr>
      <w:r w:rsidRPr="00107745">
        <w:rPr>
          <w:rFonts w:eastAsia="Times New Roman" w:cs="Times New Roman"/>
          <w:b/>
          <w:bCs/>
          <w:sz w:val="26"/>
          <w:szCs w:val="26"/>
        </w:rPr>
        <w:t xml:space="preserve">Вопрос 2. </w:t>
      </w:r>
      <w:proofErr w:type="gramStart"/>
      <w:r w:rsidRPr="00107745">
        <w:rPr>
          <w:rFonts w:eastAsia="Times New Roman" w:cs="Times New Roman"/>
          <w:b/>
          <w:bCs/>
          <w:sz w:val="26"/>
          <w:szCs w:val="26"/>
        </w:rPr>
        <w:t>Согласно п. 1.1 Положения № 511-П расчет рыночного риска осуществляется в т.ч. в отношении товаров, обращающихся на организованном рынке, в части балансовых активов и пассивов, номинированных в драгоценных металлах (кроме золота) и рублях, величина которых зависит от изменения установленных Банком России учетных цен на драгоценные металлы, а также в части полученного залога в виде товаров, включая драгоценные металлы (кроме золота).</w:t>
      </w:r>
      <w:proofErr w:type="gramEnd"/>
    </w:p>
    <w:p w:rsidR="00107745" w:rsidRPr="00107745" w:rsidRDefault="00107745" w:rsidP="00107745">
      <w:pPr>
        <w:shd w:val="clear" w:color="auto" w:fill="FFFFFF"/>
        <w:spacing w:after="0"/>
        <w:ind w:left="24" w:right="5" w:firstLine="706"/>
        <w:rPr>
          <w:rFonts w:eastAsia="Times New Roman" w:cs="Times New Roman"/>
          <w:b/>
          <w:bCs/>
          <w:sz w:val="26"/>
          <w:szCs w:val="26"/>
        </w:rPr>
      </w:pPr>
      <w:r w:rsidRPr="00107745">
        <w:rPr>
          <w:rFonts w:eastAsia="Times New Roman" w:cs="Times New Roman"/>
          <w:b/>
          <w:bCs/>
          <w:sz w:val="26"/>
          <w:szCs w:val="26"/>
        </w:rPr>
        <w:t>При этом перечень товаров, торгуемых на организованном рынке, отличается в зависимости от выбора организатора торгов (биржи).</w:t>
      </w:r>
    </w:p>
    <w:p w:rsidR="00107745" w:rsidRPr="00107745" w:rsidRDefault="00107745" w:rsidP="00107745">
      <w:pPr>
        <w:shd w:val="clear" w:color="auto" w:fill="FFFFFF"/>
        <w:spacing w:after="0"/>
        <w:ind w:left="24" w:right="5" w:firstLine="706"/>
        <w:rPr>
          <w:rFonts w:eastAsia="Times New Roman" w:cs="Times New Roman"/>
          <w:b/>
          <w:bCs/>
          <w:sz w:val="26"/>
          <w:szCs w:val="26"/>
        </w:rPr>
      </w:pPr>
      <w:r w:rsidRPr="00107745">
        <w:rPr>
          <w:rFonts w:eastAsia="Times New Roman" w:cs="Times New Roman"/>
          <w:b/>
          <w:bCs/>
          <w:sz w:val="26"/>
          <w:szCs w:val="26"/>
        </w:rPr>
        <w:t>2.1. Будет ли опубликован на сайте Банка России исчерпывающий</w:t>
      </w:r>
      <w:r w:rsidRPr="00107745">
        <w:rPr>
          <w:rFonts w:eastAsia="Times New Roman" w:cs="Times New Roman"/>
          <w:b/>
          <w:bCs/>
          <w:sz w:val="26"/>
          <w:szCs w:val="26"/>
        </w:rPr>
        <w:br/>
        <w:t>перечень товаров, в отношении которых следует рассчитывать</w:t>
      </w:r>
      <w:r w:rsidRPr="00107745">
        <w:rPr>
          <w:rFonts w:eastAsia="Times New Roman" w:cs="Times New Roman"/>
          <w:b/>
          <w:bCs/>
          <w:sz w:val="26"/>
          <w:szCs w:val="26"/>
        </w:rPr>
        <w:br/>
        <w:t>товарный риск?</w:t>
      </w:r>
    </w:p>
    <w:p w:rsidR="00107745" w:rsidRPr="00107745" w:rsidRDefault="00405DD9" w:rsidP="00107745">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107745" w:rsidRPr="00107745">
        <w:rPr>
          <w:rFonts w:eastAsia="Times New Roman" w:cs="Times New Roman"/>
          <w:sz w:val="26"/>
          <w:szCs w:val="26"/>
        </w:rPr>
        <w:t xml:space="preserve">В настоящее время Банк России не планирует публиковать исчерпывающий перечень товаров, в отношении которых рассчитывается величина товарного риска. Перечень активов, включаемых в расчет </w:t>
      </w:r>
      <w:r w:rsidR="00107745" w:rsidRPr="00107745">
        <w:rPr>
          <w:rFonts w:eastAsia="Times New Roman" w:cs="Times New Roman"/>
          <w:sz w:val="26"/>
          <w:szCs w:val="26"/>
        </w:rPr>
        <w:lastRenderedPageBreak/>
        <w:t>величины товарного риска, определяется кредитной организацией самостоятельно с учетом требований Положения № 511 -П.</w:t>
      </w:r>
    </w:p>
    <w:p w:rsidR="00107745" w:rsidRPr="00107745" w:rsidRDefault="00107745" w:rsidP="00107745">
      <w:pPr>
        <w:shd w:val="clear" w:color="auto" w:fill="FFFFFF"/>
        <w:spacing w:after="0"/>
        <w:ind w:left="24" w:right="5" w:firstLine="706"/>
        <w:rPr>
          <w:rFonts w:eastAsia="Times New Roman" w:cs="Times New Roman"/>
          <w:b/>
          <w:bCs/>
          <w:sz w:val="26"/>
          <w:szCs w:val="26"/>
        </w:rPr>
      </w:pPr>
      <w:r w:rsidRPr="00107745">
        <w:rPr>
          <w:rFonts w:eastAsia="Times New Roman" w:cs="Times New Roman"/>
          <w:b/>
          <w:bCs/>
          <w:sz w:val="26"/>
          <w:szCs w:val="26"/>
        </w:rPr>
        <w:t xml:space="preserve">2.2. </w:t>
      </w:r>
      <w:proofErr w:type="gramStart"/>
      <w:r w:rsidRPr="00107745">
        <w:rPr>
          <w:rFonts w:eastAsia="Times New Roman" w:cs="Times New Roman"/>
          <w:b/>
          <w:bCs/>
          <w:sz w:val="26"/>
          <w:szCs w:val="26"/>
        </w:rPr>
        <w:t>В случае невозможности опубликования Банком России перечня товаров просим подтвердить позицию кредитной организации, что при определении перечня товаров, участвующих в расчете товарного риска, необходимо ориентироваться только на организаторов торгов, действующих на территории и по законодательству РФ, в частности, только на Московскую биржу (секции срочного и товарного рынков) как на ведущего организатора торгов в РФ.</w:t>
      </w:r>
      <w:proofErr w:type="gramEnd"/>
      <w:r w:rsidRPr="00107745">
        <w:rPr>
          <w:rFonts w:eastAsia="Times New Roman" w:cs="Times New Roman"/>
          <w:b/>
          <w:bCs/>
          <w:sz w:val="26"/>
          <w:szCs w:val="26"/>
        </w:rPr>
        <w:t xml:space="preserve"> В ином случае просим уточнить конкретный перечень организаторов торгов.</w:t>
      </w:r>
    </w:p>
    <w:p w:rsidR="00107745" w:rsidRPr="00107745" w:rsidRDefault="00405DD9" w:rsidP="00107745">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107745" w:rsidRPr="00107745">
        <w:rPr>
          <w:rFonts w:eastAsia="Times New Roman" w:cs="Times New Roman"/>
          <w:sz w:val="26"/>
          <w:szCs w:val="26"/>
        </w:rPr>
        <w:t>В соответствии с пунктом 4.1 Положения №511-П товары, обращающиеся на организованном рынке, включаются в расчет величины товарного риска, при этом ограничение перечня организаторов торговли Положением №511-П не предусматривается. В расчет величины товарного риска включаются товары, обращающиеся на российских и (или) зарубежных биржах вне зависимости от наличия / отсутствия у кредитной организации доступа к соответствующей бирже на момент расчета рыночного риска (</w:t>
      </w:r>
      <w:proofErr w:type="gramStart"/>
      <w:r w:rsidR="00107745" w:rsidRPr="00107745">
        <w:rPr>
          <w:rFonts w:eastAsia="Times New Roman" w:cs="Times New Roman"/>
          <w:sz w:val="26"/>
          <w:szCs w:val="26"/>
        </w:rPr>
        <w:t>см</w:t>
      </w:r>
      <w:proofErr w:type="gramEnd"/>
      <w:r w:rsidR="00107745" w:rsidRPr="00107745">
        <w:rPr>
          <w:rFonts w:eastAsia="Times New Roman" w:cs="Times New Roman"/>
          <w:sz w:val="26"/>
          <w:szCs w:val="26"/>
        </w:rPr>
        <w:t>. также ответ на вопрос 2.5).</w:t>
      </w:r>
    </w:p>
    <w:p w:rsidR="00DF38AA" w:rsidRPr="00DF38AA" w:rsidRDefault="00DF38AA" w:rsidP="00DF38AA">
      <w:pPr>
        <w:shd w:val="clear" w:color="auto" w:fill="FFFFFF"/>
        <w:spacing w:after="0"/>
        <w:ind w:left="24" w:right="5" w:firstLine="706"/>
        <w:rPr>
          <w:rFonts w:eastAsia="Times New Roman" w:cs="Times New Roman"/>
          <w:b/>
          <w:bCs/>
          <w:sz w:val="26"/>
          <w:szCs w:val="26"/>
        </w:rPr>
      </w:pPr>
      <w:r w:rsidRPr="00DF38AA">
        <w:rPr>
          <w:rFonts w:eastAsia="Times New Roman" w:cs="Times New Roman"/>
          <w:b/>
          <w:bCs/>
          <w:sz w:val="26"/>
          <w:szCs w:val="26"/>
        </w:rPr>
        <w:t xml:space="preserve">2.3. Является ли обязательным критерием для включения товара в расчет товарного риска полное соответствие характеристик принятого в залог товара требованиям, указанным в спецификации торгуемого на бирже контракта на поставку рассматриваемого товара (том числе таким требованиям, как ГОСТ; сорт/марка/категория; наличие в залоге у кредитной организации товара в натуральном выражении не </w:t>
      </w:r>
      <w:proofErr w:type="gramStart"/>
      <w:r w:rsidRPr="00DF38AA">
        <w:rPr>
          <w:rFonts w:eastAsia="Times New Roman" w:cs="Times New Roman"/>
          <w:b/>
          <w:bCs/>
          <w:sz w:val="26"/>
          <w:szCs w:val="26"/>
        </w:rPr>
        <w:t>менее минимального</w:t>
      </w:r>
      <w:proofErr w:type="gramEnd"/>
      <w:r w:rsidRPr="00DF38AA">
        <w:rPr>
          <w:rFonts w:eastAsia="Times New Roman" w:cs="Times New Roman"/>
          <w:b/>
          <w:bCs/>
          <w:sz w:val="26"/>
          <w:szCs w:val="26"/>
        </w:rPr>
        <w:t xml:space="preserve"> лота торгуемого на бирже контракта на поставку рассматриваемого товара)?</w:t>
      </w:r>
    </w:p>
    <w:p w:rsidR="00DF38AA" w:rsidRPr="00DF38AA" w:rsidRDefault="00405DD9" w:rsidP="00DF38AA">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DF38AA" w:rsidRPr="00DF38AA">
        <w:rPr>
          <w:rFonts w:eastAsia="Times New Roman" w:cs="Times New Roman"/>
          <w:sz w:val="26"/>
          <w:szCs w:val="26"/>
        </w:rPr>
        <w:t xml:space="preserve">В расчет величины товарного риска в соответствии с Положением № 511-П включаются товары, обращающиеся на организованном рынке, то есть товары, полностью соответствующие спецификации, установленной организаторами торгов, в том числе с учетом сорта, марки, категории товара и т.п. При этом размер минимального лота торгуемого на организованном рынке товара при определении перечня товаров, подлежащих включению в расчет величины товарного риска, не учитывается. </w:t>
      </w:r>
      <w:proofErr w:type="gramStart"/>
      <w:r w:rsidR="00DF38AA" w:rsidRPr="00DF38AA">
        <w:rPr>
          <w:rFonts w:eastAsia="Times New Roman" w:cs="Times New Roman"/>
          <w:sz w:val="26"/>
          <w:szCs w:val="26"/>
        </w:rPr>
        <w:t xml:space="preserve">В соответствии с пунктом 1.8 Положения № 511-П позиции по товарам подлежат оценке и при необходимости корректировке справедливой стоимости с учетом всех характеристик рынка данного товара (в т.ч. количества), влияющих на цену, по которой он может быть реализован на </w:t>
      </w:r>
      <w:proofErr w:type="spellStart"/>
      <w:r w:rsidR="00DF38AA" w:rsidRPr="00DF38AA">
        <w:rPr>
          <w:rFonts w:eastAsia="Times New Roman" w:cs="Times New Roman"/>
          <w:sz w:val="26"/>
          <w:szCs w:val="26"/>
        </w:rPr>
        <w:t>спот-рынке</w:t>
      </w:r>
      <w:proofErr w:type="spellEnd"/>
      <w:r w:rsidR="00DF38AA" w:rsidRPr="00DF38AA">
        <w:rPr>
          <w:rFonts w:eastAsia="Times New Roman" w:cs="Times New Roman"/>
          <w:sz w:val="26"/>
          <w:szCs w:val="26"/>
        </w:rPr>
        <w:t>, в том числе с учетом затрат, связанных с реализацией товара на организованном рынке (см. ответ на вопрос 2.5).</w:t>
      </w:r>
      <w:proofErr w:type="gramEnd"/>
    </w:p>
    <w:p w:rsidR="00366A0D" w:rsidRPr="00366A0D" w:rsidRDefault="00366A0D" w:rsidP="00366A0D">
      <w:pPr>
        <w:shd w:val="clear" w:color="auto" w:fill="FFFFFF"/>
        <w:spacing w:after="0"/>
        <w:ind w:left="24" w:right="5" w:firstLine="706"/>
        <w:rPr>
          <w:rFonts w:eastAsia="Times New Roman" w:cs="Times New Roman"/>
          <w:b/>
          <w:bCs/>
          <w:sz w:val="26"/>
          <w:szCs w:val="26"/>
        </w:rPr>
      </w:pPr>
      <w:r w:rsidRPr="00366A0D">
        <w:rPr>
          <w:rFonts w:eastAsia="Times New Roman" w:cs="Times New Roman"/>
          <w:b/>
          <w:bCs/>
          <w:sz w:val="26"/>
          <w:szCs w:val="26"/>
        </w:rPr>
        <w:t>2.4. Как правило, торгуемые на бирже контракты на поставку товара имеют фиксированный размер, кратный минимальному лоту, указанному в спецификации контракта. В случае</w:t>
      </w:r>
      <w:proofErr w:type="gramStart"/>
      <w:r w:rsidRPr="00366A0D">
        <w:rPr>
          <w:rFonts w:eastAsia="Times New Roman" w:cs="Times New Roman"/>
          <w:b/>
          <w:bCs/>
          <w:sz w:val="26"/>
          <w:szCs w:val="26"/>
        </w:rPr>
        <w:t>,</w:t>
      </w:r>
      <w:proofErr w:type="gramEnd"/>
      <w:r w:rsidRPr="00366A0D">
        <w:rPr>
          <w:rFonts w:eastAsia="Times New Roman" w:cs="Times New Roman"/>
          <w:b/>
          <w:bCs/>
          <w:sz w:val="26"/>
          <w:szCs w:val="26"/>
        </w:rPr>
        <w:t xml:space="preserve"> если количество принятого кредитной организацией в залог товара в натуральном выражении не равно минимальному лоту или кратным ему значениям, следует ли банку включать </w:t>
      </w:r>
      <w:r w:rsidRPr="00366A0D">
        <w:rPr>
          <w:rFonts w:eastAsia="Times New Roman" w:cs="Times New Roman"/>
          <w:b/>
          <w:bCs/>
          <w:sz w:val="26"/>
          <w:szCs w:val="26"/>
        </w:rPr>
        <w:lastRenderedPageBreak/>
        <w:t>в расчет товарного риска только то количество товара, которое равно минимальному лоту или кратным ему значениям?</w:t>
      </w:r>
    </w:p>
    <w:p w:rsidR="00366A0D" w:rsidRPr="00366A0D" w:rsidRDefault="00405DD9" w:rsidP="00366A0D">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366A0D" w:rsidRPr="00366A0D">
        <w:rPr>
          <w:rFonts w:eastAsia="Times New Roman" w:cs="Times New Roman"/>
          <w:sz w:val="26"/>
          <w:szCs w:val="26"/>
        </w:rPr>
        <w:t xml:space="preserve">Товары, соответствующие требованиям Положения №511-П, включаются в расчет величины товарного риска вне зависимости от размера лота торгуемых на организованном рынке контрактов. </w:t>
      </w:r>
      <w:proofErr w:type="gramStart"/>
      <w:r w:rsidR="00366A0D" w:rsidRPr="00366A0D">
        <w:rPr>
          <w:rFonts w:eastAsia="Times New Roman" w:cs="Times New Roman"/>
          <w:sz w:val="26"/>
          <w:szCs w:val="26"/>
        </w:rPr>
        <w:t xml:space="preserve">При этом в соответствии с пунктом 1.8 позиции по товарам подлежат оценке и при необходимости корректировке справедливой стоимости с учетом всех характеристик рынка данного товара (в т.ч. объемов), влияющих на цену, по которой он может быть реализован на </w:t>
      </w:r>
      <w:proofErr w:type="spellStart"/>
      <w:r w:rsidR="00366A0D" w:rsidRPr="00366A0D">
        <w:rPr>
          <w:rFonts w:eastAsia="Times New Roman" w:cs="Times New Roman"/>
          <w:sz w:val="26"/>
          <w:szCs w:val="26"/>
        </w:rPr>
        <w:t>спот-рынке</w:t>
      </w:r>
      <w:proofErr w:type="spellEnd"/>
      <w:r w:rsidR="00366A0D" w:rsidRPr="00366A0D">
        <w:rPr>
          <w:rFonts w:eastAsia="Times New Roman" w:cs="Times New Roman"/>
          <w:sz w:val="26"/>
          <w:szCs w:val="26"/>
        </w:rPr>
        <w:t>, в том числе с учетом затрат, связанных с реализацией товара на организованном рынке (см. ответ на вопрос 2.5).</w:t>
      </w:r>
      <w:proofErr w:type="gramEnd"/>
    </w:p>
    <w:p w:rsidR="00361E80" w:rsidRPr="00361E80" w:rsidRDefault="00361E80" w:rsidP="00361E80">
      <w:pPr>
        <w:shd w:val="clear" w:color="auto" w:fill="FFFFFF"/>
        <w:spacing w:after="0"/>
        <w:ind w:left="24" w:right="5" w:firstLine="706"/>
        <w:rPr>
          <w:rFonts w:eastAsia="Times New Roman" w:cs="Times New Roman"/>
          <w:b/>
          <w:bCs/>
          <w:sz w:val="26"/>
          <w:szCs w:val="26"/>
        </w:rPr>
      </w:pPr>
      <w:r w:rsidRPr="00361E80">
        <w:rPr>
          <w:rFonts w:eastAsia="Times New Roman" w:cs="Times New Roman"/>
          <w:b/>
          <w:bCs/>
          <w:sz w:val="26"/>
          <w:szCs w:val="26"/>
        </w:rPr>
        <w:t>2.5. Имеет ли значение для расчета товарного риска наличие у кредитной организации доступа к торгам на бирже?</w:t>
      </w:r>
    </w:p>
    <w:p w:rsidR="00361E80" w:rsidRPr="00361E80" w:rsidRDefault="00405DD9" w:rsidP="00361E8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361E80" w:rsidRPr="00361E80">
        <w:rPr>
          <w:rFonts w:eastAsia="Times New Roman" w:cs="Times New Roman"/>
          <w:sz w:val="26"/>
          <w:szCs w:val="26"/>
        </w:rPr>
        <w:t xml:space="preserve">В соответствии с пунктом 4.1 Положения №511-П товары, обращающиеся на организованном рынке, подлежат включению в расчет величины товарного риска, при этом дополнительные ограничения по наличию (отсутствию) на дату расчета товарного риска доступа к торгам на бирже Положением № 511-П не предусматриваются. Дополнительно отмечаем, что критерий обращаемости товара на организованном рынке при определении круга товаров, включаемых в расчет рыночного риска, не подразумевает того факта, что товар будет реализован кредитной организацией исключительно на данной бирже. </w:t>
      </w:r>
      <w:proofErr w:type="gramStart"/>
      <w:r w:rsidR="00361E80" w:rsidRPr="00361E80">
        <w:rPr>
          <w:rFonts w:eastAsia="Times New Roman" w:cs="Times New Roman"/>
          <w:sz w:val="26"/>
          <w:szCs w:val="26"/>
        </w:rPr>
        <w:t>В целях оценки справедливой стоимости товара целесообразно рассматривать в первую очередь рынок, на котором кредитная организация планирует реализовать товар, с учетом дополнительных затрат, связанных с получением доступа к потенциальному рынку и непосредственно с реализацией товара (в т.ч. затрат на транспортировку, оплаты услуг посредников, включая услуги брокера, услуги по накоплению имеющегося количества товара до минимального лота торгуемого на бирже контракта</w:t>
      </w:r>
      <w:proofErr w:type="gramEnd"/>
      <w:r w:rsidR="00361E80" w:rsidRPr="00361E80">
        <w:rPr>
          <w:rFonts w:eastAsia="Times New Roman" w:cs="Times New Roman"/>
          <w:sz w:val="26"/>
          <w:szCs w:val="26"/>
        </w:rPr>
        <w:t xml:space="preserve"> на поставку рассматриваемого товара в случае, если реализация товара будет осуществляться на организованном рынке, и т.д.).</w:t>
      </w:r>
    </w:p>
    <w:p w:rsidR="008B09D9" w:rsidRPr="008B09D9" w:rsidRDefault="008B09D9" w:rsidP="008B09D9">
      <w:pPr>
        <w:shd w:val="clear" w:color="auto" w:fill="FFFFFF"/>
        <w:spacing w:after="0"/>
        <w:ind w:left="24" w:right="5" w:firstLine="706"/>
        <w:rPr>
          <w:rFonts w:eastAsia="Times New Roman" w:cs="Times New Roman"/>
          <w:b/>
          <w:bCs/>
          <w:sz w:val="26"/>
          <w:szCs w:val="26"/>
        </w:rPr>
      </w:pPr>
      <w:r w:rsidRPr="008B09D9">
        <w:rPr>
          <w:rFonts w:eastAsia="Times New Roman" w:cs="Times New Roman"/>
          <w:b/>
          <w:bCs/>
          <w:sz w:val="26"/>
          <w:szCs w:val="26"/>
        </w:rPr>
        <w:t>2.6. Просим подтвердить позицию кредитной организации, что</w:t>
      </w:r>
      <w:r w:rsidR="00AA3FFD" w:rsidRPr="00AA3FFD">
        <w:rPr>
          <w:rFonts w:eastAsia="Times New Roman" w:cs="Times New Roman"/>
          <w:b/>
          <w:bCs/>
          <w:sz w:val="26"/>
          <w:szCs w:val="26"/>
        </w:rPr>
        <w:t xml:space="preserve"> </w:t>
      </w:r>
      <w:r w:rsidRPr="008B09D9">
        <w:rPr>
          <w:rFonts w:eastAsia="Times New Roman" w:cs="Times New Roman"/>
          <w:b/>
          <w:bCs/>
          <w:sz w:val="26"/>
          <w:szCs w:val="26"/>
        </w:rPr>
        <w:t>ценные бумаги, принятые в залог, не подлежат включению в расчет</w:t>
      </w:r>
      <w:r w:rsidR="00AA3FFD" w:rsidRPr="00AA3FFD">
        <w:rPr>
          <w:rFonts w:eastAsia="Times New Roman" w:cs="Times New Roman"/>
          <w:b/>
          <w:bCs/>
          <w:sz w:val="26"/>
          <w:szCs w:val="26"/>
        </w:rPr>
        <w:t xml:space="preserve"> </w:t>
      </w:r>
      <w:r w:rsidRPr="008B09D9">
        <w:rPr>
          <w:rFonts w:eastAsia="Times New Roman" w:cs="Times New Roman"/>
          <w:b/>
          <w:bCs/>
          <w:sz w:val="26"/>
          <w:szCs w:val="26"/>
        </w:rPr>
        <w:t>товарного риска.</w:t>
      </w:r>
    </w:p>
    <w:p w:rsidR="008B09D9" w:rsidRPr="008B09D9" w:rsidRDefault="00405DD9" w:rsidP="008B09D9">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8B09D9" w:rsidRPr="008B09D9">
        <w:rPr>
          <w:rFonts w:eastAsia="Times New Roman" w:cs="Times New Roman"/>
          <w:sz w:val="26"/>
          <w:szCs w:val="26"/>
        </w:rPr>
        <w:t>Подтверждаем, что ценные бумаги, принятые в залог, не подлежат включению в расчет товарного риска.</w:t>
      </w:r>
    </w:p>
    <w:p w:rsidR="008B09D9" w:rsidRPr="008B09D9" w:rsidRDefault="008B09D9" w:rsidP="008B09D9">
      <w:pPr>
        <w:shd w:val="clear" w:color="auto" w:fill="FFFFFF"/>
        <w:spacing w:after="0"/>
        <w:ind w:left="24" w:right="5" w:firstLine="706"/>
        <w:rPr>
          <w:rFonts w:eastAsia="Times New Roman" w:cs="Times New Roman"/>
          <w:b/>
          <w:bCs/>
          <w:sz w:val="26"/>
          <w:szCs w:val="26"/>
        </w:rPr>
      </w:pPr>
      <w:r w:rsidRPr="008B09D9">
        <w:rPr>
          <w:rFonts w:eastAsia="Times New Roman" w:cs="Times New Roman"/>
          <w:b/>
          <w:bCs/>
          <w:sz w:val="26"/>
          <w:szCs w:val="26"/>
        </w:rPr>
        <w:t>2.7. Просим уточнить, является ли наличие торгов расчетным</w:t>
      </w:r>
      <w:r w:rsidRPr="008B09D9">
        <w:rPr>
          <w:rFonts w:eastAsia="Times New Roman" w:cs="Times New Roman"/>
          <w:b/>
          <w:bCs/>
          <w:sz w:val="26"/>
          <w:szCs w:val="26"/>
        </w:rPr>
        <w:br/>
        <w:t>(</w:t>
      </w:r>
      <w:proofErr w:type="spellStart"/>
      <w:r w:rsidRPr="008B09D9">
        <w:rPr>
          <w:rFonts w:eastAsia="Times New Roman" w:cs="Times New Roman"/>
          <w:b/>
          <w:bCs/>
          <w:sz w:val="26"/>
          <w:szCs w:val="26"/>
        </w:rPr>
        <w:t>беспоставочным</w:t>
      </w:r>
      <w:proofErr w:type="spellEnd"/>
      <w:r w:rsidRPr="008B09D9">
        <w:rPr>
          <w:rFonts w:eastAsia="Times New Roman" w:cs="Times New Roman"/>
          <w:b/>
          <w:bCs/>
          <w:sz w:val="26"/>
          <w:szCs w:val="26"/>
        </w:rPr>
        <w:t>) контрактом с базовым активом-товаром основанием</w:t>
      </w:r>
      <w:r w:rsidRPr="008B09D9">
        <w:rPr>
          <w:rFonts w:eastAsia="Times New Roman" w:cs="Times New Roman"/>
          <w:b/>
          <w:bCs/>
          <w:sz w:val="26"/>
          <w:szCs w:val="26"/>
        </w:rPr>
        <w:br/>
        <w:t>для включения указанного товара в расчет рыночного риска. В случае</w:t>
      </w:r>
      <w:r w:rsidRPr="008B09D9">
        <w:rPr>
          <w:rFonts w:eastAsia="Times New Roman" w:cs="Times New Roman"/>
          <w:b/>
          <w:bCs/>
          <w:sz w:val="26"/>
          <w:szCs w:val="26"/>
        </w:rPr>
        <w:br/>
        <w:t>положительного ответа просим подтвердить мнение кредитной</w:t>
      </w:r>
      <w:r w:rsidRPr="008B09D9">
        <w:rPr>
          <w:rFonts w:eastAsia="Times New Roman" w:cs="Times New Roman"/>
          <w:b/>
          <w:bCs/>
          <w:sz w:val="26"/>
          <w:szCs w:val="26"/>
        </w:rPr>
        <w:br/>
        <w:t>организации, что при наличии одновременно поставочного и</w:t>
      </w:r>
      <w:r w:rsidRPr="008B09D9">
        <w:rPr>
          <w:rFonts w:eastAsia="Times New Roman" w:cs="Times New Roman"/>
          <w:b/>
          <w:bCs/>
          <w:sz w:val="26"/>
          <w:szCs w:val="26"/>
        </w:rPr>
        <w:br/>
      </w:r>
      <w:proofErr w:type="spellStart"/>
      <w:r w:rsidRPr="008B09D9">
        <w:rPr>
          <w:rFonts w:eastAsia="Times New Roman" w:cs="Times New Roman"/>
          <w:b/>
          <w:bCs/>
          <w:sz w:val="26"/>
          <w:szCs w:val="26"/>
        </w:rPr>
        <w:t>беспоставочного</w:t>
      </w:r>
      <w:proofErr w:type="spellEnd"/>
      <w:r w:rsidRPr="008B09D9">
        <w:rPr>
          <w:rFonts w:eastAsia="Times New Roman" w:cs="Times New Roman"/>
          <w:b/>
          <w:bCs/>
          <w:sz w:val="26"/>
          <w:szCs w:val="26"/>
        </w:rPr>
        <w:t xml:space="preserve"> контракта на поставку одного и того же товара в целях</w:t>
      </w:r>
      <w:r w:rsidRPr="008B09D9">
        <w:rPr>
          <w:rFonts w:eastAsia="Times New Roman" w:cs="Times New Roman"/>
          <w:b/>
          <w:bCs/>
          <w:sz w:val="26"/>
          <w:szCs w:val="26"/>
        </w:rPr>
        <w:br/>
        <w:t>расчета товарного риска необходимо использовать котировки</w:t>
      </w:r>
      <w:r w:rsidRPr="008B09D9">
        <w:rPr>
          <w:rFonts w:eastAsia="Times New Roman" w:cs="Times New Roman"/>
          <w:b/>
          <w:bCs/>
          <w:sz w:val="26"/>
          <w:szCs w:val="26"/>
        </w:rPr>
        <w:br/>
        <w:t>поставочного контракта.</w:t>
      </w:r>
    </w:p>
    <w:p w:rsidR="008B09D9" w:rsidRPr="008B09D9" w:rsidRDefault="00405DD9" w:rsidP="008B09D9">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lastRenderedPageBreak/>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8B09D9" w:rsidRPr="008B09D9">
        <w:rPr>
          <w:rFonts w:eastAsia="Times New Roman" w:cs="Times New Roman"/>
          <w:sz w:val="26"/>
          <w:szCs w:val="26"/>
        </w:rPr>
        <w:t xml:space="preserve">Пункты 1.1 и 4.1 Положения №511-П устанавливают, что в расчет товарного риска включаются товары, обращающиеся на организованном рынке. При этом требования к параметрам обращения не устанавливаются. С учетом сказанного, наличие организованных торгов расчетными контрактами с соответствующим товаром в качестве базисного (базового) актива является основанием для включения товара в расчет величины товарного риска. </w:t>
      </w:r>
      <w:proofErr w:type="gramStart"/>
      <w:r w:rsidR="008B09D9" w:rsidRPr="008B09D9">
        <w:rPr>
          <w:rFonts w:eastAsia="Times New Roman" w:cs="Times New Roman"/>
          <w:sz w:val="26"/>
          <w:szCs w:val="26"/>
        </w:rPr>
        <w:t>В целях расчета величины товарного риска необходимо использовать подходы к определению справедливой стоимости (рыночной цены) товара, предусмотренные учетной политикой кредитной организации и (или) внутренними документами кредитной организации, например, для целей Положения № 254-П и 283-П с учетом пункта 1.8 Положения № 511-П об оценке и при необходимости корректировке справедливой стоимости товара с учетом факторов, влияющих на стоимость, по которой кредитная организация может</w:t>
      </w:r>
      <w:proofErr w:type="gramEnd"/>
      <w:r w:rsidR="008B09D9" w:rsidRPr="008B09D9">
        <w:rPr>
          <w:rFonts w:eastAsia="Times New Roman" w:cs="Times New Roman"/>
          <w:sz w:val="26"/>
          <w:szCs w:val="26"/>
        </w:rPr>
        <w:t xml:space="preserve"> реализовать указанный товар на </w:t>
      </w:r>
      <w:proofErr w:type="spellStart"/>
      <w:proofErr w:type="gramStart"/>
      <w:r w:rsidR="008B09D9" w:rsidRPr="008B09D9">
        <w:rPr>
          <w:rFonts w:eastAsia="Times New Roman" w:cs="Times New Roman"/>
          <w:sz w:val="26"/>
          <w:szCs w:val="26"/>
        </w:rPr>
        <w:t>спот-рынке</w:t>
      </w:r>
      <w:proofErr w:type="spellEnd"/>
      <w:proofErr w:type="gramEnd"/>
      <w:r w:rsidR="008B09D9" w:rsidRPr="008B09D9">
        <w:rPr>
          <w:rFonts w:eastAsia="Times New Roman" w:cs="Times New Roman"/>
          <w:sz w:val="26"/>
          <w:szCs w:val="26"/>
        </w:rPr>
        <w:t>.</w:t>
      </w:r>
    </w:p>
    <w:p w:rsidR="002D0B0C" w:rsidRPr="002D0B0C" w:rsidRDefault="002D0B0C" w:rsidP="002D0B0C">
      <w:pPr>
        <w:shd w:val="clear" w:color="auto" w:fill="FFFFFF"/>
        <w:spacing w:after="0"/>
        <w:ind w:left="24" w:right="5" w:firstLine="706"/>
        <w:rPr>
          <w:rFonts w:eastAsia="Times New Roman" w:cs="Times New Roman"/>
          <w:b/>
          <w:bCs/>
          <w:sz w:val="26"/>
          <w:szCs w:val="26"/>
        </w:rPr>
      </w:pPr>
      <w:r w:rsidRPr="002D0B0C">
        <w:rPr>
          <w:rFonts w:eastAsia="Times New Roman" w:cs="Times New Roman"/>
          <w:b/>
          <w:bCs/>
          <w:sz w:val="26"/>
          <w:szCs w:val="26"/>
        </w:rPr>
        <w:t>2.8. Согласно п. 4.3 Положения № 511-П, в целях расчета товарного риска справедливая стоимость товара (чистой позиции по товару) определяется путем умножения количества чистой позиции по товару (в натуральных единицах) на рыночную цену товара, публикуемую организатором торгов. Просим подтвердить позицию кредитной организации, что в случае наличия на бирже нескольких фьючерсных контрактов с одинаковым базовым активом-товаром, но с разными датами исполнения, при определении в целях расчета товарного риска справедливой стоимости товара, принятого в залог, используются цены фьючерсного контракта с ближайшей датой исполнения.</w:t>
      </w:r>
    </w:p>
    <w:p w:rsidR="00AA3FFD" w:rsidRPr="00AA3FFD" w:rsidRDefault="00405DD9" w:rsidP="00AA3FFD">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00AA3FFD" w:rsidRPr="00AA3FFD">
        <w:rPr>
          <w:rFonts w:eastAsia="Times New Roman" w:cs="Times New Roman"/>
          <w:sz w:val="26"/>
          <w:szCs w:val="26"/>
        </w:rPr>
        <w:t xml:space="preserve">Справедливая стоимость (рыночная цена) товара определяется в соответствии с учетной политикой и (или) внутренними документами кредитной организации, например, для целей Положения № 254-П и 283-П с учетом пункта 1.8 Положения № 511-П об оценке и при необходимости корректировке справедливой стоимости товара с учетом факторов, влияющих на стоимость, по которой кредитная организация может реализовать указанный товар на </w:t>
      </w:r>
      <w:proofErr w:type="spellStart"/>
      <w:r w:rsidR="00AA3FFD" w:rsidRPr="00AA3FFD">
        <w:rPr>
          <w:rFonts w:eastAsia="Times New Roman" w:cs="Times New Roman"/>
          <w:sz w:val="26"/>
          <w:szCs w:val="26"/>
        </w:rPr>
        <w:t>спот-рынке</w:t>
      </w:r>
      <w:proofErr w:type="spellEnd"/>
      <w:r w:rsidR="00AA3FFD" w:rsidRPr="00AA3FFD">
        <w:rPr>
          <w:rFonts w:eastAsia="Times New Roman" w:cs="Times New Roman"/>
          <w:sz w:val="26"/>
          <w:szCs w:val="26"/>
        </w:rPr>
        <w:t>.</w:t>
      </w:r>
      <w:proofErr w:type="gramEnd"/>
    </w:p>
    <w:p w:rsidR="00366A0D" w:rsidRPr="00AA3FFD" w:rsidRDefault="00366A0D" w:rsidP="008B09D9">
      <w:pPr>
        <w:shd w:val="clear" w:color="auto" w:fill="FFFFFF"/>
        <w:spacing w:after="0"/>
        <w:ind w:left="0" w:right="10" w:firstLine="538"/>
        <w:rPr>
          <w:rFonts w:eastAsia="Times New Roman" w:cs="Times New Roman"/>
          <w:sz w:val="26"/>
          <w:szCs w:val="26"/>
        </w:rPr>
      </w:pPr>
    </w:p>
    <w:p w:rsidR="00AA3FFD" w:rsidRPr="00AA3FFD" w:rsidRDefault="00AA3FFD" w:rsidP="00AA3FFD">
      <w:pPr>
        <w:shd w:val="clear" w:color="auto" w:fill="FFFFFF"/>
        <w:spacing w:after="0"/>
        <w:ind w:left="24" w:right="5" w:firstLine="706"/>
        <w:rPr>
          <w:rFonts w:eastAsia="Times New Roman" w:cs="Times New Roman"/>
          <w:b/>
          <w:bCs/>
          <w:sz w:val="26"/>
          <w:szCs w:val="26"/>
        </w:rPr>
      </w:pPr>
      <w:r w:rsidRPr="00AA3FFD">
        <w:rPr>
          <w:rFonts w:eastAsia="Times New Roman" w:cs="Times New Roman"/>
          <w:b/>
          <w:bCs/>
          <w:sz w:val="26"/>
          <w:szCs w:val="26"/>
        </w:rPr>
        <w:t xml:space="preserve">Вопрос 3. </w:t>
      </w:r>
      <w:proofErr w:type="gramStart"/>
      <w:r w:rsidRPr="00AA3FFD">
        <w:rPr>
          <w:rFonts w:eastAsia="Times New Roman" w:cs="Times New Roman"/>
          <w:b/>
          <w:bCs/>
          <w:sz w:val="26"/>
          <w:szCs w:val="26"/>
        </w:rPr>
        <w:t xml:space="preserve">Согласно п. 1.8 Положения № 511-П ценные бумаги, товары и базовые активы ПФИ, обращающиеся на рынке, характеризующемся низкой активностью и низкой ликвидностью, вне зависимости от метода оценки их справедливой стоимости в целях отражения на счетах бухгалтерского учета (в том числе на основе рыночных цен), установленных Положением №385-П, </w:t>
      </w:r>
      <w:r>
        <w:rPr>
          <w:rFonts w:eastAsia="Times New Roman" w:cs="Times New Roman"/>
          <w:b/>
          <w:bCs/>
          <w:sz w:val="26"/>
          <w:szCs w:val="26"/>
        </w:rPr>
        <w:t xml:space="preserve">включаются в расчет величины чистых позиций за вычетом </w:t>
      </w:r>
      <w:r w:rsidRPr="00AA3FFD">
        <w:rPr>
          <w:rFonts w:eastAsia="Times New Roman" w:cs="Times New Roman"/>
          <w:b/>
          <w:bCs/>
          <w:sz w:val="26"/>
          <w:szCs w:val="26"/>
        </w:rPr>
        <w:t>корректировки, представляющей собой дополнительное оценочное снижение</w:t>
      </w:r>
      <w:proofErr w:type="gramEnd"/>
      <w:r w:rsidRPr="00AA3FFD">
        <w:rPr>
          <w:rFonts w:eastAsia="Times New Roman" w:cs="Times New Roman"/>
          <w:b/>
          <w:bCs/>
          <w:sz w:val="26"/>
          <w:szCs w:val="26"/>
        </w:rPr>
        <w:t xml:space="preserve"> их справедливой стоимости. </w:t>
      </w:r>
      <w:proofErr w:type="gramStart"/>
      <w:r w:rsidRPr="00AA3FFD">
        <w:rPr>
          <w:rFonts w:eastAsia="Times New Roman" w:cs="Times New Roman"/>
          <w:b/>
          <w:bCs/>
          <w:sz w:val="26"/>
          <w:szCs w:val="26"/>
        </w:rPr>
        <w:t xml:space="preserve">При этом дополнительное оценочное снижение справедливой стоимости активов, указанных п. 1.8, корректирует величину остатков, числящихся на соответствующих балансовых счетах, относящихся к </w:t>
      </w:r>
      <w:r w:rsidRPr="00AA3FFD">
        <w:rPr>
          <w:rFonts w:eastAsia="Times New Roman" w:cs="Times New Roman"/>
          <w:b/>
          <w:bCs/>
          <w:sz w:val="26"/>
          <w:szCs w:val="26"/>
        </w:rPr>
        <w:lastRenderedPageBreak/>
        <w:t>результатам переоценки указанных активов (финансовых инструментов) и включаемых в расчет финансового результата кредитных организаций, определяемого в соответствии с подпунктом 2.1.7 и (или) 2.1.8, и (или) 2.2.7, и (или) 2.2.8 пункта 2 и (или) подпунктом 3.1.6 и (или) 3.1.7 пункта</w:t>
      </w:r>
      <w:proofErr w:type="gramEnd"/>
      <w:r w:rsidRPr="00AA3FFD">
        <w:rPr>
          <w:rFonts w:eastAsia="Times New Roman" w:cs="Times New Roman"/>
          <w:b/>
          <w:bCs/>
          <w:sz w:val="26"/>
          <w:szCs w:val="26"/>
        </w:rPr>
        <w:t xml:space="preserve"> 3 Положения № 395-П.</w:t>
      </w:r>
    </w:p>
    <w:p w:rsidR="00AA3FFD" w:rsidRPr="00AA3FFD" w:rsidRDefault="00AA3FFD" w:rsidP="00AA3FFD">
      <w:pPr>
        <w:shd w:val="clear" w:color="auto" w:fill="FFFFFF"/>
        <w:spacing w:after="0"/>
        <w:ind w:left="24" w:right="5" w:firstLine="706"/>
        <w:rPr>
          <w:rFonts w:eastAsia="Times New Roman" w:cs="Times New Roman"/>
          <w:b/>
          <w:bCs/>
          <w:sz w:val="26"/>
          <w:szCs w:val="26"/>
        </w:rPr>
      </w:pPr>
      <w:r w:rsidRPr="00AA3FFD">
        <w:rPr>
          <w:rFonts w:eastAsia="Times New Roman" w:cs="Times New Roman"/>
          <w:b/>
          <w:bCs/>
          <w:sz w:val="26"/>
          <w:szCs w:val="26"/>
        </w:rPr>
        <w:t>3.1. Планируется ли внесение изменений в Положение Банка России №395-П, регламентирующих корректировку размера собственных средств (капитала) банка на величину дополнительного оценочного снижения справедливой стоимости ценных бумаг и базовых активов ПФИ, обращающихся на рынке, характеризующемся низкой активностью?</w:t>
      </w:r>
    </w:p>
    <w:p w:rsidR="0026584C" w:rsidRPr="0026584C" w:rsidRDefault="00405DD9" w:rsidP="0026584C">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0026584C" w:rsidRPr="0026584C">
        <w:rPr>
          <w:rFonts w:eastAsia="Times New Roman" w:cs="Times New Roman"/>
          <w:sz w:val="26"/>
          <w:szCs w:val="26"/>
        </w:rPr>
        <w:t>Департаментом банковского регулирования подготовлен проект указания «О внесении изменений в Положение Банка России от 28.12.2012 № 395-П «О методике определения величины собственных средств (капитала) кредитных организаций («Базель III»)» (далее - проект), в котором установлены требования о снижении сумм доходов/расходов, включаемых в агрегированные показатели прибыли/убытка, относящихся к переоценке активов (финансовых инструментов) в соответствии с порядком, установленным в пункте 1.8 Положения Банка</w:t>
      </w:r>
      <w:proofErr w:type="gramEnd"/>
      <w:r w:rsidR="0026584C" w:rsidRPr="0026584C">
        <w:rPr>
          <w:rFonts w:eastAsia="Times New Roman" w:cs="Times New Roman"/>
          <w:sz w:val="26"/>
          <w:szCs w:val="26"/>
        </w:rPr>
        <w:t xml:space="preserve"> России от 03.12.2015 № 511-П «О порядке расчета кредитными организациями величины рыночного риска».</w:t>
      </w:r>
    </w:p>
    <w:p w:rsidR="0026584C" w:rsidRPr="0026584C" w:rsidRDefault="0026584C" w:rsidP="0026584C">
      <w:pPr>
        <w:shd w:val="clear" w:color="auto" w:fill="FFFFFF"/>
        <w:spacing w:after="0"/>
        <w:ind w:left="0" w:right="10" w:firstLine="538"/>
        <w:rPr>
          <w:rFonts w:eastAsia="Times New Roman" w:cs="Times New Roman"/>
          <w:sz w:val="26"/>
          <w:szCs w:val="26"/>
        </w:rPr>
      </w:pPr>
      <w:r w:rsidRPr="0026584C">
        <w:rPr>
          <w:rFonts w:eastAsia="Times New Roman" w:cs="Times New Roman"/>
          <w:sz w:val="26"/>
          <w:szCs w:val="26"/>
        </w:rPr>
        <w:t>С 01.02.2016 до 12.02.2016 проект был размещен в информационно-телекоммуникационной сети «Интернет» в целях проведения оценки регулирующего воздействия.</w:t>
      </w:r>
    </w:p>
    <w:p w:rsidR="003D5770" w:rsidRPr="003D5770" w:rsidRDefault="003D5770" w:rsidP="003D5770">
      <w:pPr>
        <w:shd w:val="clear" w:color="auto" w:fill="FFFFFF"/>
        <w:spacing w:after="0"/>
        <w:ind w:left="24" w:right="5" w:firstLine="706"/>
        <w:rPr>
          <w:rFonts w:eastAsia="Times New Roman" w:cs="Times New Roman"/>
          <w:b/>
          <w:bCs/>
          <w:sz w:val="26"/>
          <w:szCs w:val="26"/>
        </w:rPr>
      </w:pPr>
      <w:r w:rsidRPr="003D5770">
        <w:rPr>
          <w:rFonts w:eastAsia="Times New Roman" w:cs="Times New Roman"/>
          <w:b/>
          <w:bCs/>
          <w:sz w:val="26"/>
          <w:szCs w:val="26"/>
        </w:rPr>
        <w:t>3.2. Учитывая, что Положением № 395-П не предусмотрена корректировка капитала, описанная в п. 1.8 Положения № 511-П, просим разъяснить порядок осуществления корректировки капитала с учетом п. 1.8 Положения № 511-П. В частности, просим уточнить, в какой момент времени банк обязан изменить размер капитала согласно п. 1.8 Положения № 511-П с учетом того факта, что капитал рассчитывается банком на отчетную дату на 4-й рабочий день, следующий за отчетным месяцем, а рыночный риск - на 6 рабочий день в составе расчета нормативов?</w:t>
      </w:r>
    </w:p>
    <w:p w:rsidR="003D5770" w:rsidRPr="003D5770" w:rsidRDefault="00405DD9" w:rsidP="003D577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3D5770" w:rsidRPr="003D5770">
        <w:rPr>
          <w:rFonts w:eastAsia="Times New Roman" w:cs="Times New Roman"/>
          <w:sz w:val="26"/>
          <w:szCs w:val="26"/>
        </w:rPr>
        <w:t>Корректировка величины капитала в соответствии с требованиями пункта 1.8 Положения № 511-П осуществляется одновременно с расчетом величины капитала.</w:t>
      </w:r>
    </w:p>
    <w:p w:rsidR="003D5770" w:rsidRPr="003D5770" w:rsidRDefault="003D5770" w:rsidP="003D5770">
      <w:pPr>
        <w:shd w:val="clear" w:color="auto" w:fill="FFFFFF"/>
        <w:spacing w:after="0"/>
        <w:ind w:left="0" w:right="10" w:firstLine="538"/>
        <w:rPr>
          <w:rFonts w:eastAsia="Times New Roman" w:cs="Times New Roman"/>
          <w:sz w:val="26"/>
          <w:szCs w:val="26"/>
        </w:rPr>
      </w:pPr>
      <w:proofErr w:type="gramStart"/>
      <w:r w:rsidRPr="003D5770">
        <w:rPr>
          <w:rFonts w:eastAsia="Times New Roman" w:cs="Times New Roman"/>
          <w:sz w:val="26"/>
          <w:szCs w:val="26"/>
        </w:rPr>
        <w:t>При этом с целью обеспечения согласованности между величиной изменения справедливой стоимости включаемых в расчет величины рыночного риска финансовых инструментов (активов), обращающихся на рынке, характеризующемся низкой ликвидностью и низкой активностью, и величиной собственных средств (капитала) кредитной организации дополнительное оценочное снижение справедливой стоимости указанных активов корректирует величину собственных средств (капитала) кредитной организации в следующем порядке:</w:t>
      </w:r>
      <w:proofErr w:type="gramEnd"/>
    </w:p>
    <w:p w:rsidR="003D5770" w:rsidRPr="003D5770" w:rsidRDefault="003D5770" w:rsidP="003D5770">
      <w:pPr>
        <w:shd w:val="clear" w:color="auto" w:fill="FFFFFF"/>
        <w:spacing w:after="0"/>
        <w:ind w:left="0" w:right="10" w:firstLine="538"/>
        <w:rPr>
          <w:rFonts w:eastAsia="Times New Roman" w:cs="Times New Roman"/>
          <w:sz w:val="26"/>
          <w:szCs w:val="26"/>
        </w:rPr>
      </w:pPr>
      <w:proofErr w:type="gramStart"/>
      <w:r>
        <w:rPr>
          <w:rFonts w:eastAsia="Times New Roman" w:cs="Times New Roman"/>
          <w:sz w:val="26"/>
          <w:szCs w:val="26"/>
        </w:rPr>
        <w:lastRenderedPageBreak/>
        <w:t>-</w:t>
      </w:r>
      <w:r w:rsidRPr="003D5770">
        <w:rPr>
          <w:rFonts w:eastAsia="Times New Roman" w:cs="Times New Roman"/>
          <w:sz w:val="26"/>
          <w:szCs w:val="26"/>
        </w:rPr>
        <w:t xml:space="preserve"> в полном объеме, если на дату расчета рыночного риска и величины собственных средств (капитала) кредитной организации переоценка соответствующего финансового инструмента (актива), включаемая в расчет агрегированных показателей прибыли/убытка, относящихся к переоценке активов (финансовых инструментов), при расчете собственных средств (капитала) кредитной организации в соответствии с порядком, установленным Положением Банка России № 395-П, отрицательная;</w:t>
      </w:r>
      <w:proofErr w:type="gramEnd"/>
    </w:p>
    <w:p w:rsidR="003D5770" w:rsidRPr="003D5770" w:rsidRDefault="003D5770" w:rsidP="003D5770">
      <w:pPr>
        <w:shd w:val="clear" w:color="auto" w:fill="FFFFFF"/>
        <w:spacing w:after="0"/>
        <w:ind w:left="0" w:right="10" w:firstLine="538"/>
        <w:rPr>
          <w:rFonts w:eastAsia="Times New Roman" w:cs="Times New Roman"/>
          <w:sz w:val="26"/>
          <w:szCs w:val="26"/>
        </w:rPr>
      </w:pPr>
      <w:proofErr w:type="gramStart"/>
      <w:r>
        <w:rPr>
          <w:rFonts w:eastAsia="Times New Roman" w:cs="Times New Roman"/>
          <w:sz w:val="26"/>
          <w:szCs w:val="26"/>
        </w:rPr>
        <w:t>-</w:t>
      </w:r>
      <w:r w:rsidRPr="003D5770">
        <w:rPr>
          <w:rFonts w:eastAsia="Times New Roman" w:cs="Times New Roman"/>
          <w:sz w:val="26"/>
          <w:szCs w:val="26"/>
        </w:rPr>
        <w:t>в части, превышающей (по модулю) величину показателя, не включаемого в состав источников капитала в соответствии с пунктом 8.1 Положения Банка России № 395-П, в случае если переоценка соответствующего финансового инструмента (актива), включаемая в расчет агрегированных показателей прибыли/убытка, относящихся к переоценке активов (финансовых инструментов), при расчете собственных средств (капитала) кредитной организации в соответствии с порядком, установленным Положением Банка России № 395-П, положительная.</w:t>
      </w:r>
      <w:proofErr w:type="gramEnd"/>
    </w:p>
    <w:p w:rsidR="0050502A" w:rsidRPr="0050502A" w:rsidRDefault="0050502A" w:rsidP="0050502A">
      <w:pPr>
        <w:shd w:val="clear" w:color="auto" w:fill="FFFFFF"/>
        <w:spacing w:after="0"/>
        <w:ind w:left="24" w:right="5" w:firstLine="706"/>
        <w:rPr>
          <w:rFonts w:eastAsia="Times New Roman" w:cs="Times New Roman"/>
          <w:b/>
          <w:bCs/>
          <w:sz w:val="26"/>
          <w:szCs w:val="26"/>
        </w:rPr>
      </w:pPr>
      <w:r w:rsidRPr="0050502A">
        <w:rPr>
          <w:rFonts w:eastAsia="Times New Roman" w:cs="Times New Roman"/>
          <w:b/>
          <w:bCs/>
          <w:sz w:val="26"/>
          <w:szCs w:val="26"/>
        </w:rPr>
        <w:t>3.3. Просим уточнить, верна ли позиция кредитной организации, что остатки на балансовых счетах переоценки активов отражают текущую справедливую стоимость активов, определяемую в соответствии требованиями Положения № 385-П, а также в соответствии с Учетной политикой банка? Следовательно, дополнительное оценочное снижение справедливой стоимости активов, указанное в п. 1.8 Положения № 511-П, не отражается на счетах бухгалтерского учета и включается в расчет рыночного риска в соответствии с Положением № 511-П, а также капитала в виде корректировки.</w:t>
      </w:r>
    </w:p>
    <w:p w:rsidR="0050502A" w:rsidRPr="0050502A" w:rsidRDefault="00405DD9" w:rsidP="0050502A">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50502A" w:rsidRPr="0050502A">
        <w:rPr>
          <w:rFonts w:eastAsia="Times New Roman" w:cs="Times New Roman"/>
          <w:sz w:val="26"/>
          <w:szCs w:val="26"/>
        </w:rPr>
        <w:t xml:space="preserve">Дополнительное оценочное снижение справедливой стоимости финансовых инструментов (активов), указанное в пункте 1.8 Положения № 511-П, не отражается на счетах бухгалтерского учета и является </w:t>
      </w:r>
      <w:proofErr w:type="spellStart"/>
      <w:r w:rsidR="0050502A" w:rsidRPr="0050502A">
        <w:rPr>
          <w:rFonts w:eastAsia="Times New Roman" w:cs="Times New Roman"/>
          <w:sz w:val="26"/>
          <w:szCs w:val="26"/>
        </w:rPr>
        <w:t>пруденциальной</w:t>
      </w:r>
      <w:proofErr w:type="spellEnd"/>
      <w:r w:rsidR="0050502A" w:rsidRPr="0050502A">
        <w:rPr>
          <w:rFonts w:eastAsia="Times New Roman" w:cs="Times New Roman"/>
          <w:sz w:val="26"/>
          <w:szCs w:val="26"/>
        </w:rPr>
        <w:t xml:space="preserve"> корректировкой стоимости финансовых инструментов (активов) и величины собственных средств (капитала).</w:t>
      </w:r>
    </w:p>
    <w:p w:rsidR="005165B3" w:rsidRPr="005165B3" w:rsidRDefault="005165B3" w:rsidP="005165B3">
      <w:pPr>
        <w:shd w:val="clear" w:color="auto" w:fill="FFFFFF"/>
        <w:spacing w:after="0"/>
        <w:ind w:left="24" w:right="5" w:firstLine="706"/>
        <w:rPr>
          <w:rFonts w:eastAsia="Times New Roman" w:cs="Times New Roman"/>
          <w:b/>
          <w:bCs/>
          <w:sz w:val="26"/>
          <w:szCs w:val="26"/>
        </w:rPr>
      </w:pPr>
      <w:r w:rsidRPr="005165B3">
        <w:rPr>
          <w:rFonts w:eastAsia="Times New Roman" w:cs="Times New Roman"/>
          <w:b/>
          <w:bCs/>
          <w:sz w:val="26"/>
          <w:szCs w:val="26"/>
        </w:rPr>
        <w:t xml:space="preserve">3.5. Согласно п. 1.1 Положения № 511-П, указанное Положение не распространяется на ценные бумаги, классифицированные как «оцениваемые по справедливой стоимости через прибыль или убыток» или «предназначенные для продажи», при отсутствии у банка намерения их реализации в краткосрочной перспективе. </w:t>
      </w:r>
      <w:proofErr w:type="gramStart"/>
      <w:r w:rsidRPr="005165B3">
        <w:rPr>
          <w:rFonts w:eastAsia="Times New Roman" w:cs="Times New Roman"/>
          <w:b/>
          <w:bCs/>
          <w:sz w:val="26"/>
          <w:szCs w:val="26"/>
        </w:rPr>
        <w:t>Просим подтвердить позицию кредитной организации, что в отн</w:t>
      </w:r>
      <w:r>
        <w:rPr>
          <w:rFonts w:eastAsia="Times New Roman" w:cs="Times New Roman"/>
          <w:b/>
          <w:bCs/>
          <w:sz w:val="26"/>
          <w:szCs w:val="26"/>
        </w:rPr>
        <w:t xml:space="preserve">ошении указанных ценных бумаг (при отсутствии у банка намерения их реализации </w:t>
      </w:r>
      <w:r w:rsidRPr="005165B3">
        <w:rPr>
          <w:rFonts w:eastAsia="Times New Roman" w:cs="Times New Roman"/>
          <w:b/>
          <w:bCs/>
          <w:sz w:val="26"/>
          <w:szCs w:val="26"/>
        </w:rPr>
        <w:t>в краткосрочной перспективе) не должен осуществляться расчет дополнительного оценочного снижения справедливой стоимости активов, определяемого в соответствии с п. 1.8 Положения № 511-П (с последующим учетом при расчете финансового результата в соответствии с Положением № 395-П).</w:t>
      </w:r>
      <w:proofErr w:type="gramEnd"/>
    </w:p>
    <w:p w:rsidR="005165B3" w:rsidRPr="005165B3" w:rsidRDefault="00405DD9" w:rsidP="005165B3">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5165B3" w:rsidRPr="005165B3">
        <w:rPr>
          <w:rFonts w:eastAsia="Times New Roman" w:cs="Times New Roman"/>
          <w:sz w:val="26"/>
          <w:szCs w:val="26"/>
        </w:rPr>
        <w:t>Подтверждаем, что требования пункта 1.8 Положения № 511-П не распространяются на активы, не включенные в расчет величины рыночного риска.</w:t>
      </w:r>
    </w:p>
    <w:p w:rsidR="005165B3" w:rsidRPr="000F2666" w:rsidRDefault="005165B3" w:rsidP="00AA3FFD">
      <w:pPr>
        <w:shd w:val="clear" w:color="auto" w:fill="FFFFFF"/>
        <w:spacing w:after="0"/>
        <w:ind w:left="24" w:right="5" w:firstLine="706"/>
        <w:rPr>
          <w:rFonts w:eastAsia="Times New Roman" w:cs="Times New Roman"/>
          <w:b/>
          <w:bCs/>
          <w:sz w:val="26"/>
          <w:szCs w:val="26"/>
        </w:rPr>
      </w:pPr>
    </w:p>
    <w:p w:rsidR="00FD6DB7" w:rsidRPr="00FD6DB7" w:rsidRDefault="00FD6DB7" w:rsidP="00FD6DB7">
      <w:pPr>
        <w:shd w:val="clear" w:color="auto" w:fill="FFFFFF"/>
        <w:spacing w:after="0"/>
        <w:ind w:left="24" w:right="5" w:firstLine="706"/>
        <w:rPr>
          <w:rFonts w:eastAsia="Times New Roman" w:cs="Times New Roman"/>
          <w:b/>
          <w:bCs/>
          <w:sz w:val="26"/>
          <w:szCs w:val="26"/>
        </w:rPr>
      </w:pPr>
      <w:r w:rsidRPr="00FD6DB7">
        <w:rPr>
          <w:rFonts w:eastAsia="Times New Roman" w:cs="Times New Roman"/>
          <w:b/>
          <w:bCs/>
          <w:sz w:val="26"/>
          <w:szCs w:val="26"/>
        </w:rPr>
        <w:t xml:space="preserve">Вопрос 4. </w:t>
      </w:r>
      <w:proofErr w:type="gramStart"/>
      <w:r w:rsidRPr="00FD6DB7">
        <w:rPr>
          <w:rFonts w:eastAsia="Times New Roman" w:cs="Times New Roman"/>
          <w:b/>
          <w:bCs/>
          <w:sz w:val="26"/>
          <w:szCs w:val="26"/>
        </w:rPr>
        <w:t>Следует ли при расчете чистой позиции по драгоценным металлам (не являющимися товарами, полученными в залог) корректировать балансовые</w:t>
      </w:r>
      <w:r w:rsidRPr="00FD6DB7">
        <w:rPr>
          <w:rFonts w:eastAsia="Times New Roman" w:cs="Times New Roman"/>
          <w:b/>
          <w:bCs/>
          <w:sz w:val="26"/>
          <w:szCs w:val="26"/>
        </w:rPr>
        <w:tab/>
        <w:t xml:space="preserve"> требования на фактически сформированные резервы (аналогично п. 1.4 Инструкции № 124-И «Об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w:t>
      </w:r>
      <w:proofErr w:type="gramEnd"/>
    </w:p>
    <w:p w:rsidR="00FD6DB7" w:rsidRPr="00FD6DB7" w:rsidRDefault="00405DD9" w:rsidP="00FD6DB7">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FD6DB7" w:rsidRPr="00FD6DB7">
        <w:rPr>
          <w:rFonts w:eastAsia="Times New Roman" w:cs="Times New Roman"/>
          <w:sz w:val="26"/>
          <w:szCs w:val="26"/>
        </w:rPr>
        <w:t>Корректировка позиции по драгоценным металлам, кроме золота (не являющимися товарами, полученными в залог), на величину фактически сформированного резерва не предусмотрена Положением № 511-П.</w:t>
      </w:r>
    </w:p>
    <w:p w:rsidR="005165B3" w:rsidRPr="000F2666" w:rsidRDefault="005165B3" w:rsidP="00AA3FFD">
      <w:pPr>
        <w:shd w:val="clear" w:color="auto" w:fill="FFFFFF"/>
        <w:spacing w:after="0"/>
        <w:ind w:left="24" w:right="5" w:firstLine="706"/>
        <w:rPr>
          <w:rFonts w:eastAsia="Times New Roman" w:cs="Times New Roman"/>
          <w:b/>
          <w:bCs/>
          <w:sz w:val="26"/>
          <w:szCs w:val="26"/>
        </w:rPr>
      </w:pPr>
    </w:p>
    <w:p w:rsidR="009B063C" w:rsidRPr="009B063C" w:rsidRDefault="009B063C" w:rsidP="009B063C">
      <w:pPr>
        <w:shd w:val="clear" w:color="auto" w:fill="FFFFFF"/>
        <w:spacing w:after="0"/>
        <w:ind w:left="24" w:right="5" w:firstLine="706"/>
        <w:rPr>
          <w:rFonts w:eastAsia="Times New Roman" w:cs="Times New Roman"/>
          <w:b/>
          <w:bCs/>
          <w:sz w:val="26"/>
          <w:szCs w:val="26"/>
        </w:rPr>
      </w:pPr>
      <w:r w:rsidRPr="009B063C">
        <w:rPr>
          <w:rFonts w:eastAsia="Times New Roman" w:cs="Times New Roman"/>
          <w:b/>
          <w:bCs/>
          <w:sz w:val="26"/>
          <w:szCs w:val="26"/>
        </w:rPr>
        <w:t>Вопрос 5. В п. 1.9 Положения № 511-П указано, что величина валютного риска равна сумме 8 процентов от суммы открытых валютных позиций в отдельных иностранных валютах и золоте, рассчитанных в соответствии с Инструкцией № 124-И.</w:t>
      </w:r>
    </w:p>
    <w:p w:rsidR="009B063C" w:rsidRPr="009B063C" w:rsidRDefault="009B063C" w:rsidP="009B063C">
      <w:pPr>
        <w:shd w:val="clear" w:color="auto" w:fill="FFFFFF"/>
        <w:spacing w:after="0"/>
        <w:ind w:left="24" w:right="5" w:firstLine="706"/>
        <w:rPr>
          <w:rFonts w:eastAsia="Times New Roman" w:cs="Times New Roman"/>
          <w:b/>
          <w:bCs/>
          <w:sz w:val="26"/>
          <w:szCs w:val="26"/>
        </w:rPr>
      </w:pPr>
      <w:proofErr w:type="gramStart"/>
      <w:r w:rsidRPr="009B063C">
        <w:rPr>
          <w:rFonts w:eastAsia="Times New Roman" w:cs="Times New Roman"/>
          <w:b/>
          <w:bCs/>
          <w:sz w:val="26"/>
          <w:szCs w:val="26"/>
        </w:rPr>
        <w:t>Правильна ли следующая позиция кредитной организации по расчету суммы открытых валютных позиций в отдельных иностранных валютах и золоте: наибольшая из следующих величин: сумма всех длинных или сумма всех коротких позиций в отдельных иностранных валютах и золоте (аналогично порядку расчета, указанному в п. 1.11 Инструкции № 124-И) или необходимо производить расчет по одному из следующих вариантов: суммирование позиций в отдельных иностранных валютах</w:t>
      </w:r>
      <w:proofErr w:type="gramEnd"/>
      <w:r w:rsidRPr="009B063C">
        <w:rPr>
          <w:rFonts w:eastAsia="Times New Roman" w:cs="Times New Roman"/>
          <w:b/>
          <w:bCs/>
          <w:sz w:val="26"/>
          <w:szCs w:val="26"/>
        </w:rPr>
        <w:t xml:space="preserve"> и </w:t>
      </w:r>
      <w:proofErr w:type="gramStart"/>
      <w:r w:rsidRPr="009B063C">
        <w:rPr>
          <w:rFonts w:eastAsia="Times New Roman" w:cs="Times New Roman"/>
          <w:b/>
          <w:bCs/>
          <w:sz w:val="26"/>
          <w:szCs w:val="26"/>
        </w:rPr>
        <w:t>золоте</w:t>
      </w:r>
      <w:proofErr w:type="gramEnd"/>
      <w:r w:rsidRPr="009B063C">
        <w:rPr>
          <w:rFonts w:eastAsia="Times New Roman" w:cs="Times New Roman"/>
          <w:b/>
          <w:bCs/>
          <w:sz w:val="26"/>
          <w:szCs w:val="26"/>
        </w:rPr>
        <w:t xml:space="preserve"> без учета знаков позиций; суммирование позиций в отдельных иностранных валютах и золоте с учетом знаков позиций?</w:t>
      </w:r>
    </w:p>
    <w:p w:rsidR="009B063C" w:rsidRPr="009B063C" w:rsidRDefault="00405DD9" w:rsidP="009B063C">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9B063C" w:rsidRPr="009B063C">
        <w:rPr>
          <w:rFonts w:eastAsia="Times New Roman" w:cs="Times New Roman"/>
          <w:sz w:val="26"/>
          <w:szCs w:val="26"/>
        </w:rPr>
        <w:t>Для целей Положения № 511-П определение величины, включаемой в расчет валютного риска, рекомендуется осуществлять как суммы двух следующих величин: 1) наибольшей из суммы всех длинных открытых позиций или суммы всех коротких открытых позиций в отдельных иностранных валютах и 2) чистой открытой позиции в золоте (длинной или короткой) без учета знака. Данный порядок основан на требованиях параграфа 718(</w:t>
      </w:r>
      <w:proofErr w:type="spellStart"/>
      <w:proofErr w:type="gramStart"/>
      <w:r w:rsidR="009B063C" w:rsidRPr="009B063C">
        <w:rPr>
          <w:rFonts w:eastAsia="Times New Roman" w:cs="Times New Roman"/>
          <w:sz w:val="26"/>
          <w:szCs w:val="26"/>
        </w:rPr>
        <w:t>х</w:t>
      </w:r>
      <w:proofErr w:type="gramEnd"/>
      <w:r w:rsidR="009B063C" w:rsidRPr="009B063C">
        <w:rPr>
          <w:rFonts w:eastAsia="Times New Roman" w:cs="Times New Roman"/>
          <w:sz w:val="26"/>
          <w:szCs w:val="26"/>
        </w:rPr>
        <w:t>Li</w:t>
      </w:r>
      <w:proofErr w:type="spellEnd"/>
      <w:r w:rsidR="009B063C" w:rsidRPr="009B063C">
        <w:rPr>
          <w:rFonts w:eastAsia="Times New Roman" w:cs="Times New Roman"/>
          <w:sz w:val="26"/>
          <w:szCs w:val="26"/>
        </w:rPr>
        <w:t xml:space="preserve">) документа </w:t>
      </w:r>
      <w:proofErr w:type="spellStart"/>
      <w:r w:rsidR="009B063C" w:rsidRPr="009B063C">
        <w:rPr>
          <w:rFonts w:eastAsia="Times New Roman" w:cs="Times New Roman"/>
          <w:sz w:val="26"/>
          <w:szCs w:val="26"/>
        </w:rPr>
        <w:t>Базельского</w:t>
      </w:r>
      <w:proofErr w:type="spellEnd"/>
      <w:r w:rsidR="009B063C" w:rsidRPr="009B063C">
        <w:rPr>
          <w:rFonts w:eastAsia="Times New Roman" w:cs="Times New Roman"/>
          <w:sz w:val="26"/>
          <w:szCs w:val="26"/>
        </w:rPr>
        <w:t xml:space="preserve"> комитета по банковскому надзору «</w:t>
      </w:r>
      <w:proofErr w:type="spellStart"/>
      <w:r w:rsidR="009B063C" w:rsidRPr="009B063C">
        <w:rPr>
          <w:rFonts w:eastAsia="Times New Roman" w:cs="Times New Roman"/>
          <w:sz w:val="26"/>
          <w:szCs w:val="26"/>
        </w:rPr>
        <w:t>International</w:t>
      </w:r>
      <w:proofErr w:type="spellEnd"/>
      <w:r w:rsidR="009B063C" w:rsidRPr="009B063C">
        <w:rPr>
          <w:rFonts w:eastAsia="Times New Roman" w:cs="Times New Roman"/>
          <w:sz w:val="26"/>
          <w:szCs w:val="26"/>
        </w:rPr>
        <w:t xml:space="preserve"> </w:t>
      </w:r>
      <w:r w:rsidR="009B063C">
        <w:rPr>
          <w:rFonts w:eastAsia="Times New Roman" w:cs="Times New Roman"/>
          <w:sz w:val="26"/>
          <w:szCs w:val="26"/>
          <w:lang w:val="en-US"/>
        </w:rPr>
        <w:t>c</w:t>
      </w:r>
      <w:proofErr w:type="spellStart"/>
      <w:r w:rsidR="009B063C" w:rsidRPr="009B063C">
        <w:rPr>
          <w:rFonts w:eastAsia="Times New Roman" w:cs="Times New Roman"/>
          <w:sz w:val="26"/>
          <w:szCs w:val="26"/>
        </w:rPr>
        <w:t>onvergence</w:t>
      </w:r>
      <w:proofErr w:type="spellEnd"/>
      <w:r w:rsidR="009B063C" w:rsidRPr="009B063C">
        <w:rPr>
          <w:rFonts w:eastAsia="Times New Roman" w:cs="Times New Roman"/>
          <w:sz w:val="26"/>
          <w:szCs w:val="26"/>
        </w:rPr>
        <w:t xml:space="preserve"> </w:t>
      </w:r>
      <w:proofErr w:type="spellStart"/>
      <w:r w:rsidR="009B063C" w:rsidRPr="009B063C">
        <w:rPr>
          <w:rFonts w:eastAsia="Times New Roman" w:cs="Times New Roman"/>
          <w:sz w:val="26"/>
          <w:szCs w:val="26"/>
        </w:rPr>
        <w:t>of</w:t>
      </w:r>
      <w:proofErr w:type="spellEnd"/>
      <w:r w:rsidR="009B063C" w:rsidRPr="009B063C">
        <w:rPr>
          <w:rFonts w:eastAsia="Times New Roman" w:cs="Times New Roman"/>
          <w:sz w:val="26"/>
          <w:szCs w:val="26"/>
        </w:rPr>
        <w:t xml:space="preserve"> </w:t>
      </w:r>
      <w:r w:rsidR="009B063C">
        <w:rPr>
          <w:rFonts w:eastAsia="Times New Roman" w:cs="Times New Roman"/>
          <w:sz w:val="26"/>
          <w:szCs w:val="26"/>
          <w:lang w:val="en-US"/>
        </w:rPr>
        <w:t>c</w:t>
      </w:r>
      <w:proofErr w:type="spellStart"/>
      <w:r w:rsidR="009B063C" w:rsidRPr="009B063C">
        <w:rPr>
          <w:rFonts w:eastAsia="Times New Roman" w:cs="Times New Roman"/>
          <w:sz w:val="26"/>
          <w:szCs w:val="26"/>
        </w:rPr>
        <w:t>apital</w:t>
      </w:r>
      <w:proofErr w:type="spellEnd"/>
      <w:r w:rsidR="009B063C" w:rsidRPr="009B063C">
        <w:rPr>
          <w:rFonts w:eastAsia="Times New Roman" w:cs="Times New Roman"/>
          <w:sz w:val="26"/>
          <w:szCs w:val="26"/>
        </w:rPr>
        <w:t xml:space="preserve"> </w:t>
      </w:r>
      <w:r w:rsidR="009B063C">
        <w:rPr>
          <w:rFonts w:eastAsia="Times New Roman" w:cs="Times New Roman"/>
          <w:sz w:val="26"/>
          <w:szCs w:val="26"/>
          <w:lang w:val="en-US"/>
        </w:rPr>
        <w:t>m</w:t>
      </w:r>
      <w:proofErr w:type="spellStart"/>
      <w:r w:rsidR="009B063C" w:rsidRPr="009B063C">
        <w:rPr>
          <w:rFonts w:eastAsia="Times New Roman" w:cs="Times New Roman"/>
          <w:sz w:val="26"/>
          <w:szCs w:val="26"/>
        </w:rPr>
        <w:t>easurement</w:t>
      </w:r>
      <w:proofErr w:type="spellEnd"/>
      <w:r w:rsidR="009B063C" w:rsidRPr="009B063C">
        <w:rPr>
          <w:rFonts w:eastAsia="Times New Roman" w:cs="Times New Roman"/>
          <w:sz w:val="26"/>
          <w:szCs w:val="26"/>
        </w:rPr>
        <w:t xml:space="preserve"> </w:t>
      </w:r>
      <w:proofErr w:type="spellStart"/>
      <w:r w:rsidR="009B063C" w:rsidRPr="009B063C">
        <w:rPr>
          <w:rFonts w:eastAsia="Times New Roman" w:cs="Times New Roman"/>
          <w:sz w:val="26"/>
          <w:szCs w:val="26"/>
        </w:rPr>
        <w:t>and</w:t>
      </w:r>
      <w:proofErr w:type="spellEnd"/>
      <w:r w:rsidR="009B063C" w:rsidRPr="009B063C">
        <w:rPr>
          <w:rFonts w:eastAsia="Times New Roman" w:cs="Times New Roman"/>
          <w:sz w:val="26"/>
          <w:szCs w:val="26"/>
        </w:rPr>
        <w:t xml:space="preserve"> </w:t>
      </w:r>
      <w:r w:rsidR="009B063C">
        <w:rPr>
          <w:rFonts w:eastAsia="Times New Roman" w:cs="Times New Roman"/>
          <w:sz w:val="26"/>
          <w:szCs w:val="26"/>
          <w:lang w:val="en-US"/>
        </w:rPr>
        <w:t>c</w:t>
      </w:r>
      <w:proofErr w:type="spellStart"/>
      <w:r w:rsidR="009B063C" w:rsidRPr="009B063C">
        <w:rPr>
          <w:rFonts w:eastAsia="Times New Roman" w:cs="Times New Roman"/>
          <w:sz w:val="26"/>
          <w:szCs w:val="26"/>
        </w:rPr>
        <w:t>apital</w:t>
      </w:r>
      <w:proofErr w:type="spellEnd"/>
      <w:r w:rsidR="009B063C" w:rsidRPr="009B063C">
        <w:rPr>
          <w:rFonts w:eastAsia="Times New Roman" w:cs="Times New Roman"/>
          <w:sz w:val="26"/>
          <w:szCs w:val="26"/>
        </w:rPr>
        <w:t xml:space="preserve"> </w:t>
      </w:r>
      <w:r w:rsidR="009B063C">
        <w:rPr>
          <w:rFonts w:eastAsia="Times New Roman" w:cs="Times New Roman"/>
          <w:sz w:val="26"/>
          <w:szCs w:val="26"/>
          <w:lang w:val="en-US"/>
        </w:rPr>
        <w:t>s</w:t>
      </w:r>
      <w:proofErr w:type="spellStart"/>
      <w:r w:rsidR="009B063C" w:rsidRPr="009B063C">
        <w:rPr>
          <w:rFonts w:eastAsia="Times New Roman" w:cs="Times New Roman"/>
          <w:sz w:val="26"/>
          <w:szCs w:val="26"/>
        </w:rPr>
        <w:t>tandards</w:t>
      </w:r>
      <w:proofErr w:type="spellEnd"/>
      <w:r w:rsidR="009B063C">
        <w:rPr>
          <w:rFonts w:eastAsia="Times New Roman" w:cs="Times New Roman"/>
          <w:sz w:val="26"/>
          <w:szCs w:val="26"/>
        </w:rPr>
        <w:t>»</w:t>
      </w:r>
      <w:r w:rsidR="009B063C" w:rsidRPr="009B063C">
        <w:rPr>
          <w:rFonts w:eastAsia="Times New Roman" w:cs="Times New Roman"/>
          <w:sz w:val="26"/>
          <w:szCs w:val="26"/>
        </w:rPr>
        <w:t xml:space="preserve"> (</w:t>
      </w:r>
      <w:proofErr w:type="spellStart"/>
      <w:r w:rsidR="009B063C" w:rsidRPr="009B063C">
        <w:rPr>
          <w:rFonts w:eastAsia="Times New Roman" w:cs="Times New Roman"/>
          <w:sz w:val="26"/>
          <w:szCs w:val="26"/>
        </w:rPr>
        <w:t>June</w:t>
      </w:r>
      <w:proofErr w:type="spellEnd"/>
      <w:r w:rsidR="009B063C" w:rsidRPr="009B063C">
        <w:rPr>
          <w:rFonts w:eastAsia="Times New Roman" w:cs="Times New Roman"/>
          <w:sz w:val="26"/>
          <w:szCs w:val="26"/>
        </w:rPr>
        <w:t xml:space="preserve"> 2006).</w:t>
      </w:r>
    </w:p>
    <w:p w:rsidR="009B063C" w:rsidRPr="000F2666" w:rsidRDefault="009B063C" w:rsidP="009B063C">
      <w:pPr>
        <w:shd w:val="clear" w:color="auto" w:fill="FFFFFF"/>
        <w:spacing w:after="0"/>
        <w:ind w:left="0" w:right="10" w:firstLine="538"/>
        <w:rPr>
          <w:rFonts w:eastAsia="Times New Roman" w:cs="Times New Roman"/>
          <w:sz w:val="26"/>
          <w:szCs w:val="26"/>
        </w:rPr>
      </w:pPr>
    </w:p>
    <w:p w:rsidR="00E40E2C" w:rsidRPr="00E40E2C" w:rsidRDefault="00E40E2C" w:rsidP="00E40E2C">
      <w:pPr>
        <w:shd w:val="clear" w:color="auto" w:fill="FFFFFF"/>
        <w:spacing w:after="0"/>
        <w:ind w:left="24" w:right="5" w:firstLine="706"/>
        <w:rPr>
          <w:rFonts w:eastAsia="Times New Roman" w:cs="Times New Roman"/>
          <w:b/>
          <w:bCs/>
          <w:sz w:val="26"/>
          <w:szCs w:val="26"/>
        </w:rPr>
      </w:pPr>
      <w:r w:rsidRPr="00E40E2C">
        <w:rPr>
          <w:rFonts w:eastAsia="Times New Roman" w:cs="Times New Roman"/>
          <w:b/>
          <w:bCs/>
          <w:sz w:val="26"/>
          <w:szCs w:val="26"/>
        </w:rPr>
        <w:t xml:space="preserve">Вопрос 6. </w:t>
      </w:r>
      <w:proofErr w:type="gramStart"/>
      <w:r w:rsidRPr="00E40E2C">
        <w:rPr>
          <w:rFonts w:eastAsia="Times New Roman" w:cs="Times New Roman"/>
          <w:b/>
          <w:bCs/>
          <w:sz w:val="26"/>
          <w:szCs w:val="26"/>
        </w:rPr>
        <w:t>Согласно п. 1.9 Положения № 511-П размер валютного риска принимается в расчет величины рыночного риска в случае, когда на дату расчета величины рыночного риска процентное соотношение суммы открытых валютных позиций в отдельных иностранных валютах и отдельных драгоценных металлах и величины собственных средств (капитала) кредитной организации будет равно 2 процентам или превысит 2 процента.</w:t>
      </w:r>
      <w:proofErr w:type="gramEnd"/>
    </w:p>
    <w:p w:rsidR="00E40E2C" w:rsidRPr="00E40E2C" w:rsidRDefault="00E40E2C" w:rsidP="00E40E2C">
      <w:pPr>
        <w:shd w:val="clear" w:color="auto" w:fill="FFFFFF"/>
        <w:spacing w:after="0"/>
        <w:ind w:left="24" w:right="5" w:firstLine="706"/>
        <w:rPr>
          <w:rFonts w:eastAsia="Times New Roman" w:cs="Times New Roman"/>
          <w:b/>
          <w:bCs/>
          <w:sz w:val="26"/>
          <w:szCs w:val="26"/>
        </w:rPr>
      </w:pPr>
      <w:r w:rsidRPr="00E40E2C">
        <w:rPr>
          <w:rFonts w:eastAsia="Times New Roman" w:cs="Times New Roman"/>
          <w:b/>
          <w:bCs/>
          <w:sz w:val="26"/>
          <w:szCs w:val="26"/>
        </w:rPr>
        <w:t xml:space="preserve">Просим подтвердить позицию кредитной организации, что при расчете указанного процентного соотношения необходимо использовать только </w:t>
      </w:r>
      <w:r w:rsidRPr="00E40E2C">
        <w:rPr>
          <w:rFonts w:eastAsia="Times New Roman" w:cs="Times New Roman"/>
          <w:b/>
          <w:bCs/>
          <w:sz w:val="26"/>
          <w:szCs w:val="26"/>
        </w:rPr>
        <w:lastRenderedPageBreak/>
        <w:t>суммы открытых валютных позиций в отдельных иностранных валютах и золоте (исключая суммы открытых позиций в драгоценных металлах (кроме золота), так как они участвуют в расчете товарного риска).</w:t>
      </w:r>
    </w:p>
    <w:p w:rsidR="00E40E2C" w:rsidRPr="00E40E2C" w:rsidRDefault="00405DD9" w:rsidP="00E40E2C">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E40E2C" w:rsidRPr="00E40E2C">
        <w:rPr>
          <w:rFonts w:eastAsia="Times New Roman" w:cs="Times New Roman"/>
          <w:sz w:val="26"/>
          <w:szCs w:val="26"/>
        </w:rPr>
        <w:t>Банк России подтверждает позицию кредитной организации, изложенную в вопросе 6, с учетом порядка определения величины, включаемой в расчет валютного риска, согласно ответу на вопрос 5.</w:t>
      </w:r>
    </w:p>
    <w:p w:rsidR="00E40E2C" w:rsidRPr="00E40E2C" w:rsidRDefault="00E40E2C" w:rsidP="00E40E2C">
      <w:pPr>
        <w:shd w:val="clear" w:color="auto" w:fill="FFFFFF"/>
        <w:spacing w:after="0"/>
        <w:ind w:left="24" w:right="5" w:firstLine="706"/>
        <w:rPr>
          <w:rFonts w:eastAsia="Times New Roman" w:cs="Times New Roman"/>
          <w:b/>
          <w:bCs/>
          <w:sz w:val="26"/>
          <w:szCs w:val="26"/>
        </w:rPr>
      </w:pPr>
    </w:p>
    <w:p w:rsidR="007D334B" w:rsidRDefault="007D334B" w:rsidP="007D334B">
      <w:pPr>
        <w:shd w:val="clear" w:color="auto" w:fill="FFFFFF"/>
        <w:spacing w:before="187" w:line="490" w:lineRule="exact"/>
        <w:ind w:left="1565" w:hanging="1430"/>
      </w:pPr>
      <w:r>
        <w:rPr>
          <w:rFonts w:eastAsia="Times New Roman" w:cs="Times New Roman"/>
          <w:i/>
          <w:iCs/>
          <w:spacing w:val="-1"/>
          <w:sz w:val="28"/>
          <w:szCs w:val="28"/>
          <w:u w:val="single"/>
        </w:rPr>
        <w:t xml:space="preserve">Раздел </w:t>
      </w:r>
      <w:r>
        <w:rPr>
          <w:rFonts w:eastAsia="Times New Roman" w:cs="Times New Roman"/>
          <w:i/>
          <w:iCs/>
          <w:spacing w:val="-1"/>
          <w:sz w:val="28"/>
          <w:szCs w:val="28"/>
          <w:u w:val="single"/>
          <w:lang w:val="en-US"/>
        </w:rPr>
        <w:t>V</w:t>
      </w:r>
      <w:r w:rsidRPr="00396803">
        <w:rPr>
          <w:rFonts w:eastAsia="Times New Roman" w:cs="Times New Roman"/>
          <w:i/>
          <w:iCs/>
          <w:spacing w:val="-1"/>
          <w:sz w:val="28"/>
          <w:szCs w:val="28"/>
          <w:u w:val="single"/>
        </w:rPr>
        <w:t xml:space="preserve">: </w:t>
      </w:r>
      <w:r>
        <w:rPr>
          <w:rFonts w:eastAsia="Times New Roman" w:cs="Times New Roman"/>
          <w:i/>
          <w:iCs/>
          <w:spacing w:val="-1"/>
          <w:sz w:val="28"/>
          <w:szCs w:val="28"/>
          <w:u w:val="single"/>
        </w:rPr>
        <w:t xml:space="preserve">Предложения, касающиеся изменения правил расчета рыночного </w:t>
      </w:r>
      <w:r>
        <w:rPr>
          <w:rFonts w:eastAsia="Times New Roman" w:cs="Times New Roman"/>
          <w:i/>
          <w:iCs/>
          <w:sz w:val="28"/>
          <w:szCs w:val="28"/>
          <w:u w:val="single"/>
        </w:rPr>
        <w:t>риска по производным финансовым инструментам</w:t>
      </w:r>
    </w:p>
    <w:p w:rsidR="007D334B" w:rsidRPr="007D334B" w:rsidRDefault="007D334B" w:rsidP="007D334B">
      <w:pPr>
        <w:shd w:val="clear" w:color="auto" w:fill="FFFFFF"/>
        <w:spacing w:after="0"/>
        <w:ind w:left="24" w:right="5" w:firstLine="706"/>
        <w:rPr>
          <w:rFonts w:eastAsia="Times New Roman" w:cs="Times New Roman"/>
          <w:b/>
          <w:bCs/>
          <w:sz w:val="26"/>
          <w:szCs w:val="26"/>
        </w:rPr>
      </w:pPr>
      <w:r w:rsidRPr="007D334B">
        <w:rPr>
          <w:rFonts w:eastAsia="Times New Roman" w:cs="Times New Roman"/>
          <w:b/>
          <w:bCs/>
          <w:sz w:val="26"/>
          <w:szCs w:val="26"/>
        </w:rPr>
        <w:t xml:space="preserve">Предложение 1. На практике существует проблема возможности взаимозачета коротких и длинных позиций ПФИ на один базовый актив, имеющих разную стоимость пункта базисного (базового) актива. При расчете чистой позиции по ПФИ должен происходить взаимозачет противоположных позиций по ПФИ (п.3.2 Положения № 387-П), которые удовлетворяют определенным условиям (п. 2.11.3_1). </w:t>
      </w:r>
      <w:proofErr w:type="gramStart"/>
      <w:r w:rsidRPr="007D334B">
        <w:rPr>
          <w:rFonts w:eastAsia="Times New Roman" w:cs="Times New Roman"/>
          <w:b/>
          <w:bCs/>
          <w:sz w:val="26"/>
          <w:szCs w:val="26"/>
        </w:rPr>
        <w:t>При этом среди биржевых ПФИ существуют контракты, имеющие одинаковый базовый актив и совпадающие сроки исполнения, но отличающиеся по стоимости базисного актива: стандартный контракт, так называемые "мини" и "микро" контракты (зачастую имеют более высокую ликвидность и сниженный размер гарантийного обеспечения).</w:t>
      </w:r>
      <w:proofErr w:type="gramEnd"/>
      <w:r w:rsidRPr="007D334B">
        <w:rPr>
          <w:rFonts w:eastAsia="Times New Roman" w:cs="Times New Roman"/>
          <w:b/>
          <w:bCs/>
          <w:sz w:val="26"/>
          <w:szCs w:val="26"/>
        </w:rPr>
        <w:t xml:space="preserve"> Примером таких ПФИ могут быть фьючерсы и опционы на фьючерс на </w:t>
      </w:r>
      <w:proofErr w:type="spellStart"/>
      <w:r w:rsidRPr="007D334B">
        <w:rPr>
          <w:rFonts w:eastAsia="Times New Roman" w:cs="Times New Roman"/>
          <w:b/>
          <w:bCs/>
          <w:sz w:val="26"/>
          <w:szCs w:val="26"/>
        </w:rPr>
        <w:t>страновой</w:t>
      </w:r>
      <w:proofErr w:type="spellEnd"/>
      <w:r w:rsidRPr="007D334B">
        <w:rPr>
          <w:rFonts w:eastAsia="Times New Roman" w:cs="Times New Roman"/>
          <w:b/>
          <w:bCs/>
          <w:sz w:val="26"/>
          <w:szCs w:val="26"/>
        </w:rPr>
        <w:t xml:space="preserve"> индекс широкого рынка М1СЕХ (Россия) со стоимостью пункта 100 для стандартного контракта и 10 рублей для «мини» контракта (обращаются на бирже МОЕХ);</w:t>
      </w:r>
    </w:p>
    <w:p w:rsidR="007D334B" w:rsidRPr="007D334B" w:rsidRDefault="007D334B" w:rsidP="007D334B">
      <w:pPr>
        <w:shd w:val="clear" w:color="auto" w:fill="FFFFFF"/>
        <w:spacing w:after="0"/>
        <w:ind w:left="24" w:right="5" w:firstLine="706"/>
        <w:rPr>
          <w:rFonts w:eastAsia="Times New Roman" w:cs="Times New Roman"/>
          <w:b/>
          <w:bCs/>
          <w:sz w:val="26"/>
          <w:szCs w:val="26"/>
        </w:rPr>
      </w:pPr>
      <w:r w:rsidRPr="007D334B">
        <w:rPr>
          <w:rFonts w:eastAsia="Times New Roman" w:cs="Times New Roman"/>
          <w:b/>
          <w:bCs/>
          <w:sz w:val="26"/>
          <w:szCs w:val="26"/>
        </w:rPr>
        <w:t>Предлагаем внести соответствующие изменения в Положение № 387-П.</w:t>
      </w:r>
    </w:p>
    <w:p w:rsidR="007D334B" w:rsidRPr="007D334B" w:rsidRDefault="00405DD9" w:rsidP="007D334B">
      <w:pPr>
        <w:shd w:val="clear" w:color="auto" w:fill="FFFFFF"/>
        <w:spacing w:after="0"/>
        <w:ind w:left="0" w:right="10" w:firstLine="538"/>
        <w:rPr>
          <w:rFonts w:eastAsia="Times New Roman" w:cs="Times New Roman"/>
          <w:sz w:val="26"/>
          <w:szCs w:val="26"/>
        </w:rPr>
      </w:pPr>
      <w:r>
        <w:rPr>
          <w:rFonts w:eastAsia="Times New Roman" w:cs="Times New Roman"/>
          <w:b/>
          <w:sz w:val="26"/>
          <w:szCs w:val="26"/>
        </w:rPr>
        <w:t>КОММЕНТАРИЙ</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7D334B" w:rsidRPr="007D334B">
        <w:rPr>
          <w:rFonts w:eastAsia="Times New Roman" w:cs="Times New Roman"/>
          <w:sz w:val="26"/>
          <w:szCs w:val="26"/>
        </w:rPr>
        <w:t>Одновременное наличие в портфеле банка коротких и длинных позиций по производным финансовым инструментам на один базисный (базовый) актив, но характеризующихся различной стоимостью пункта базисного (базового) актива, является примером арбитражной стратегии, основанной на различной доступности рассматриваемых контрактов участникам рынка. Взаимозачет данных позиций в целях расчета величины рыночного риска приведет к недооценке величины риска, так как не будут учитываться риски, связанные с различной оценкой и переоценкой справедливой стоимости указанных инструментов и с возможными проблемами в реализации избранной банком стратегии. В то же время параграфами 718(</w:t>
      </w:r>
      <w:proofErr w:type="spellStart"/>
      <w:r w:rsidR="007D334B" w:rsidRPr="007D334B">
        <w:rPr>
          <w:rFonts w:eastAsia="Times New Roman" w:cs="Times New Roman"/>
          <w:sz w:val="26"/>
          <w:szCs w:val="26"/>
        </w:rPr>
        <w:t>хх</w:t>
      </w:r>
      <w:proofErr w:type="spellEnd"/>
      <w:r w:rsidR="007D334B">
        <w:rPr>
          <w:rFonts w:eastAsia="Times New Roman" w:cs="Times New Roman"/>
          <w:sz w:val="26"/>
          <w:szCs w:val="26"/>
          <w:lang w:val="en-US"/>
        </w:rPr>
        <w:t>vi</w:t>
      </w:r>
      <w:r w:rsidR="007D334B" w:rsidRPr="007D334B">
        <w:rPr>
          <w:rFonts w:eastAsia="Times New Roman" w:cs="Times New Roman"/>
          <w:sz w:val="26"/>
          <w:szCs w:val="26"/>
        </w:rPr>
        <w:t>) - 718(</w:t>
      </w:r>
      <w:proofErr w:type="spellStart"/>
      <w:proofErr w:type="gramStart"/>
      <w:r w:rsidR="007D334B" w:rsidRPr="007D334B">
        <w:rPr>
          <w:rFonts w:eastAsia="Times New Roman" w:cs="Times New Roman"/>
          <w:sz w:val="26"/>
          <w:szCs w:val="26"/>
        </w:rPr>
        <w:t>хх</w:t>
      </w:r>
      <w:proofErr w:type="spellEnd"/>
      <w:proofErr w:type="gramEnd"/>
      <w:r w:rsidR="007D334B">
        <w:rPr>
          <w:rFonts w:eastAsia="Times New Roman" w:cs="Times New Roman"/>
          <w:sz w:val="26"/>
          <w:szCs w:val="26"/>
          <w:lang w:val="en-US"/>
        </w:rPr>
        <w:t>vii</w:t>
      </w:r>
      <w:r w:rsidR="007D334B" w:rsidRPr="007D334B">
        <w:rPr>
          <w:rFonts w:eastAsia="Times New Roman" w:cs="Times New Roman"/>
          <w:sz w:val="26"/>
          <w:szCs w:val="26"/>
        </w:rPr>
        <w:t xml:space="preserve">) Базеля II (документ </w:t>
      </w:r>
      <w:proofErr w:type="spellStart"/>
      <w:r w:rsidR="007D334B" w:rsidRPr="007D334B">
        <w:rPr>
          <w:rFonts w:eastAsia="Times New Roman" w:cs="Times New Roman"/>
          <w:sz w:val="26"/>
          <w:szCs w:val="26"/>
        </w:rPr>
        <w:t>Базельского</w:t>
      </w:r>
      <w:proofErr w:type="spellEnd"/>
      <w:r w:rsidR="007D334B" w:rsidRPr="007D334B">
        <w:rPr>
          <w:rFonts w:eastAsia="Times New Roman" w:cs="Times New Roman"/>
          <w:sz w:val="26"/>
          <w:szCs w:val="26"/>
        </w:rPr>
        <w:t xml:space="preserve"> комитета по банковскому надзору </w:t>
      </w:r>
      <w:r w:rsidR="007D334B" w:rsidRPr="009B063C">
        <w:rPr>
          <w:rFonts w:eastAsia="Times New Roman" w:cs="Times New Roman"/>
          <w:sz w:val="26"/>
          <w:szCs w:val="26"/>
        </w:rPr>
        <w:t>«</w:t>
      </w:r>
      <w:proofErr w:type="spellStart"/>
      <w:r w:rsidR="007D334B" w:rsidRPr="009B063C">
        <w:rPr>
          <w:rFonts w:eastAsia="Times New Roman" w:cs="Times New Roman"/>
          <w:sz w:val="26"/>
          <w:szCs w:val="26"/>
        </w:rPr>
        <w:t>International</w:t>
      </w:r>
      <w:proofErr w:type="spellEnd"/>
      <w:r w:rsidR="007D334B" w:rsidRPr="009B063C">
        <w:rPr>
          <w:rFonts w:eastAsia="Times New Roman" w:cs="Times New Roman"/>
          <w:sz w:val="26"/>
          <w:szCs w:val="26"/>
        </w:rPr>
        <w:t xml:space="preserve"> </w:t>
      </w:r>
      <w:r w:rsidR="007D334B">
        <w:rPr>
          <w:rFonts w:eastAsia="Times New Roman" w:cs="Times New Roman"/>
          <w:sz w:val="26"/>
          <w:szCs w:val="26"/>
          <w:lang w:val="en-US"/>
        </w:rPr>
        <w:t>c</w:t>
      </w:r>
      <w:proofErr w:type="spellStart"/>
      <w:r w:rsidR="007D334B" w:rsidRPr="009B063C">
        <w:rPr>
          <w:rFonts w:eastAsia="Times New Roman" w:cs="Times New Roman"/>
          <w:sz w:val="26"/>
          <w:szCs w:val="26"/>
        </w:rPr>
        <w:t>onvergence</w:t>
      </w:r>
      <w:proofErr w:type="spellEnd"/>
      <w:r w:rsidR="007D334B" w:rsidRPr="009B063C">
        <w:rPr>
          <w:rFonts w:eastAsia="Times New Roman" w:cs="Times New Roman"/>
          <w:sz w:val="26"/>
          <w:szCs w:val="26"/>
        </w:rPr>
        <w:t xml:space="preserve"> </w:t>
      </w:r>
      <w:proofErr w:type="spellStart"/>
      <w:r w:rsidR="007D334B" w:rsidRPr="009B063C">
        <w:rPr>
          <w:rFonts w:eastAsia="Times New Roman" w:cs="Times New Roman"/>
          <w:sz w:val="26"/>
          <w:szCs w:val="26"/>
        </w:rPr>
        <w:t>of</w:t>
      </w:r>
      <w:proofErr w:type="spellEnd"/>
      <w:r w:rsidR="007D334B" w:rsidRPr="009B063C">
        <w:rPr>
          <w:rFonts w:eastAsia="Times New Roman" w:cs="Times New Roman"/>
          <w:sz w:val="26"/>
          <w:szCs w:val="26"/>
        </w:rPr>
        <w:t xml:space="preserve"> </w:t>
      </w:r>
      <w:r w:rsidR="007D334B">
        <w:rPr>
          <w:rFonts w:eastAsia="Times New Roman" w:cs="Times New Roman"/>
          <w:sz w:val="26"/>
          <w:szCs w:val="26"/>
          <w:lang w:val="en-US"/>
        </w:rPr>
        <w:t>c</w:t>
      </w:r>
      <w:proofErr w:type="spellStart"/>
      <w:r w:rsidR="007D334B" w:rsidRPr="009B063C">
        <w:rPr>
          <w:rFonts w:eastAsia="Times New Roman" w:cs="Times New Roman"/>
          <w:sz w:val="26"/>
          <w:szCs w:val="26"/>
        </w:rPr>
        <w:t>apital</w:t>
      </w:r>
      <w:proofErr w:type="spellEnd"/>
      <w:r w:rsidR="007D334B" w:rsidRPr="009B063C">
        <w:rPr>
          <w:rFonts w:eastAsia="Times New Roman" w:cs="Times New Roman"/>
          <w:sz w:val="26"/>
          <w:szCs w:val="26"/>
        </w:rPr>
        <w:t xml:space="preserve"> </w:t>
      </w:r>
      <w:r w:rsidR="007D334B">
        <w:rPr>
          <w:rFonts w:eastAsia="Times New Roman" w:cs="Times New Roman"/>
          <w:sz w:val="26"/>
          <w:szCs w:val="26"/>
          <w:lang w:val="en-US"/>
        </w:rPr>
        <w:t>m</w:t>
      </w:r>
      <w:proofErr w:type="spellStart"/>
      <w:r w:rsidR="007D334B" w:rsidRPr="009B063C">
        <w:rPr>
          <w:rFonts w:eastAsia="Times New Roman" w:cs="Times New Roman"/>
          <w:sz w:val="26"/>
          <w:szCs w:val="26"/>
        </w:rPr>
        <w:t>easurement</w:t>
      </w:r>
      <w:proofErr w:type="spellEnd"/>
      <w:r w:rsidR="007D334B" w:rsidRPr="009B063C">
        <w:rPr>
          <w:rFonts w:eastAsia="Times New Roman" w:cs="Times New Roman"/>
          <w:sz w:val="26"/>
          <w:szCs w:val="26"/>
        </w:rPr>
        <w:t xml:space="preserve"> </w:t>
      </w:r>
      <w:proofErr w:type="spellStart"/>
      <w:r w:rsidR="007D334B" w:rsidRPr="009B063C">
        <w:rPr>
          <w:rFonts w:eastAsia="Times New Roman" w:cs="Times New Roman"/>
          <w:sz w:val="26"/>
          <w:szCs w:val="26"/>
        </w:rPr>
        <w:t>and</w:t>
      </w:r>
      <w:proofErr w:type="spellEnd"/>
      <w:r w:rsidR="007D334B" w:rsidRPr="009B063C">
        <w:rPr>
          <w:rFonts w:eastAsia="Times New Roman" w:cs="Times New Roman"/>
          <w:sz w:val="26"/>
          <w:szCs w:val="26"/>
        </w:rPr>
        <w:t xml:space="preserve"> </w:t>
      </w:r>
      <w:r w:rsidR="007D334B">
        <w:rPr>
          <w:rFonts w:eastAsia="Times New Roman" w:cs="Times New Roman"/>
          <w:sz w:val="26"/>
          <w:szCs w:val="26"/>
          <w:lang w:val="en-US"/>
        </w:rPr>
        <w:t>c</w:t>
      </w:r>
      <w:proofErr w:type="spellStart"/>
      <w:r w:rsidR="007D334B" w:rsidRPr="009B063C">
        <w:rPr>
          <w:rFonts w:eastAsia="Times New Roman" w:cs="Times New Roman"/>
          <w:sz w:val="26"/>
          <w:szCs w:val="26"/>
        </w:rPr>
        <w:t>apital</w:t>
      </w:r>
      <w:proofErr w:type="spellEnd"/>
      <w:r w:rsidR="007D334B" w:rsidRPr="009B063C">
        <w:rPr>
          <w:rFonts w:eastAsia="Times New Roman" w:cs="Times New Roman"/>
          <w:sz w:val="26"/>
          <w:szCs w:val="26"/>
        </w:rPr>
        <w:t xml:space="preserve"> </w:t>
      </w:r>
      <w:r w:rsidR="007D334B">
        <w:rPr>
          <w:rFonts w:eastAsia="Times New Roman" w:cs="Times New Roman"/>
          <w:sz w:val="26"/>
          <w:szCs w:val="26"/>
          <w:lang w:val="en-US"/>
        </w:rPr>
        <w:t>s</w:t>
      </w:r>
      <w:proofErr w:type="spellStart"/>
      <w:r w:rsidR="007D334B" w:rsidRPr="009B063C">
        <w:rPr>
          <w:rFonts w:eastAsia="Times New Roman" w:cs="Times New Roman"/>
          <w:sz w:val="26"/>
          <w:szCs w:val="26"/>
        </w:rPr>
        <w:t>tandards</w:t>
      </w:r>
      <w:proofErr w:type="spellEnd"/>
      <w:r w:rsidR="007D334B">
        <w:rPr>
          <w:rFonts w:eastAsia="Times New Roman" w:cs="Times New Roman"/>
          <w:sz w:val="26"/>
          <w:szCs w:val="26"/>
        </w:rPr>
        <w:t>»</w:t>
      </w:r>
      <w:r w:rsidR="007D334B" w:rsidRPr="009B063C">
        <w:rPr>
          <w:rFonts w:eastAsia="Times New Roman" w:cs="Times New Roman"/>
          <w:sz w:val="26"/>
          <w:szCs w:val="26"/>
        </w:rPr>
        <w:t xml:space="preserve"> (</w:t>
      </w:r>
      <w:proofErr w:type="spellStart"/>
      <w:r w:rsidR="007D334B" w:rsidRPr="009B063C">
        <w:rPr>
          <w:rFonts w:eastAsia="Times New Roman" w:cs="Times New Roman"/>
          <w:sz w:val="26"/>
          <w:szCs w:val="26"/>
        </w:rPr>
        <w:t>June</w:t>
      </w:r>
      <w:proofErr w:type="spellEnd"/>
      <w:r w:rsidR="007D334B" w:rsidRPr="009B063C">
        <w:rPr>
          <w:rFonts w:eastAsia="Times New Roman" w:cs="Times New Roman"/>
          <w:sz w:val="26"/>
          <w:szCs w:val="26"/>
        </w:rPr>
        <w:t xml:space="preserve"> 2006)</w:t>
      </w:r>
      <w:r w:rsidR="007D334B">
        <w:rPr>
          <w:rFonts w:eastAsia="Times New Roman" w:cs="Times New Roman"/>
          <w:sz w:val="26"/>
          <w:szCs w:val="26"/>
        </w:rPr>
        <w:t>»</w:t>
      </w:r>
      <w:r w:rsidR="007D334B" w:rsidRPr="007D334B">
        <w:rPr>
          <w:rFonts w:eastAsia="Times New Roman" w:cs="Times New Roman"/>
          <w:sz w:val="26"/>
          <w:szCs w:val="26"/>
        </w:rPr>
        <w:t xml:space="preserve"> допускается исключение из расчета величины рыночного риска одной из позиций, входящих в арбитражную стратегию, с одновременным повышением коэффициента риска, применяемого к позиции по индексу, включаемой в расчет. Поскольку одновременное наличие у российских кредитных организаций короткой и длинной позиций по производным </w:t>
      </w:r>
      <w:r w:rsidR="007D334B" w:rsidRPr="007D334B">
        <w:rPr>
          <w:rFonts w:eastAsia="Times New Roman" w:cs="Times New Roman"/>
          <w:sz w:val="26"/>
          <w:szCs w:val="26"/>
        </w:rPr>
        <w:lastRenderedPageBreak/>
        <w:t>финансовым инструментам на один базисный (базовый) актив, но характеризующихся различной стоимость базисного (базового) актива, не имеет широкого распространения, соответствующие нормы не были включены в № 511-П.</w:t>
      </w:r>
    </w:p>
    <w:p w:rsidR="007D334B" w:rsidRPr="007D334B" w:rsidRDefault="007D334B" w:rsidP="007D334B">
      <w:pPr>
        <w:shd w:val="clear" w:color="auto" w:fill="FFFFFF"/>
        <w:spacing w:after="0"/>
        <w:ind w:left="0" w:right="10" w:firstLine="538"/>
        <w:rPr>
          <w:rFonts w:eastAsia="Times New Roman" w:cs="Times New Roman"/>
          <w:sz w:val="26"/>
          <w:szCs w:val="26"/>
        </w:rPr>
      </w:pPr>
      <w:r w:rsidRPr="007D334B">
        <w:rPr>
          <w:rFonts w:eastAsia="Times New Roman" w:cs="Times New Roman"/>
          <w:sz w:val="26"/>
          <w:szCs w:val="26"/>
        </w:rPr>
        <w:t>Банк России рассмотрит возможность дополнения Положения № 511-П нормами, устанавливающими отдельные требования к включению позиций, связанных с арбитражными стратегиями, в расчет величины рыночного риска.</w:t>
      </w:r>
    </w:p>
    <w:p w:rsidR="007D334B" w:rsidRPr="007D334B" w:rsidRDefault="007D334B" w:rsidP="007D334B">
      <w:pPr>
        <w:shd w:val="clear" w:color="auto" w:fill="FFFFFF"/>
        <w:spacing w:after="0"/>
        <w:ind w:left="0" w:right="10" w:firstLine="538"/>
        <w:rPr>
          <w:rFonts w:eastAsia="Times New Roman" w:cs="Times New Roman"/>
          <w:sz w:val="26"/>
          <w:szCs w:val="26"/>
        </w:rPr>
      </w:pPr>
    </w:p>
    <w:p w:rsidR="00F12028" w:rsidRPr="00CE7FC9" w:rsidRDefault="00F12028" w:rsidP="00CE7FC9">
      <w:pPr>
        <w:shd w:val="clear" w:color="auto" w:fill="FFFFFF"/>
        <w:spacing w:after="0"/>
        <w:ind w:left="24" w:right="5" w:firstLine="706"/>
        <w:rPr>
          <w:rFonts w:eastAsia="Times New Roman" w:cs="Times New Roman"/>
          <w:b/>
          <w:bCs/>
          <w:sz w:val="26"/>
          <w:szCs w:val="26"/>
        </w:rPr>
      </w:pPr>
      <w:r w:rsidRPr="00CE7FC9">
        <w:rPr>
          <w:rFonts w:eastAsia="Times New Roman" w:cs="Times New Roman"/>
          <w:b/>
          <w:bCs/>
          <w:sz w:val="26"/>
          <w:szCs w:val="26"/>
        </w:rPr>
        <w:t>Предложение 2. На практике существует проблема ограниченности списка индикаторов в Приложении № 7 к Инструкции 139-И. Ряд индексов, для которых может быть использован пониженный коэффициент 2% для расчета специального фондового риска, не занимают лидирующие места по объему торгов (например, индекс KOSPI 200 по сравнению с KOSPI 100). Кроме того, не понятен общий принцип формирования списка индексов Приложения № 7 к Инструкции № 139-И.</w:t>
      </w:r>
    </w:p>
    <w:p w:rsidR="00CE7FC9" w:rsidRPr="00CE7FC9" w:rsidRDefault="00CE7FC9" w:rsidP="00CE7FC9">
      <w:pPr>
        <w:shd w:val="clear" w:color="auto" w:fill="FFFFFF"/>
        <w:spacing w:after="0"/>
        <w:ind w:left="24" w:right="5" w:firstLine="706"/>
        <w:rPr>
          <w:rFonts w:eastAsia="Times New Roman" w:cs="Times New Roman"/>
          <w:b/>
          <w:bCs/>
          <w:sz w:val="26"/>
          <w:szCs w:val="26"/>
        </w:rPr>
      </w:pPr>
      <w:r w:rsidRPr="00CE7FC9">
        <w:rPr>
          <w:rFonts w:eastAsia="Times New Roman" w:cs="Times New Roman"/>
          <w:b/>
          <w:bCs/>
          <w:sz w:val="26"/>
          <w:szCs w:val="26"/>
        </w:rPr>
        <w:t xml:space="preserve">Предлагаем рассмотреть возможность включения в состав фондовых индексов Приложения № 7 следующие индексы: KOSPI 200 (Южная Корея), RDX (Австрия), </w:t>
      </w:r>
      <w:proofErr w:type="spellStart"/>
      <w:r w:rsidRPr="00CE7FC9">
        <w:rPr>
          <w:rFonts w:eastAsia="Times New Roman" w:cs="Times New Roman"/>
          <w:b/>
          <w:bCs/>
          <w:sz w:val="26"/>
          <w:szCs w:val="26"/>
        </w:rPr>
        <w:t>Euro</w:t>
      </w:r>
      <w:proofErr w:type="spellEnd"/>
      <w:r w:rsidRPr="00CE7FC9">
        <w:rPr>
          <w:rFonts w:eastAsia="Times New Roman" w:cs="Times New Roman"/>
          <w:b/>
          <w:bCs/>
          <w:sz w:val="26"/>
          <w:szCs w:val="26"/>
        </w:rPr>
        <w:t xml:space="preserve"> </w:t>
      </w:r>
      <w:proofErr w:type="spellStart"/>
      <w:r w:rsidRPr="00CE7FC9">
        <w:rPr>
          <w:rFonts w:eastAsia="Times New Roman" w:cs="Times New Roman"/>
          <w:b/>
          <w:bCs/>
          <w:sz w:val="26"/>
          <w:szCs w:val="26"/>
        </w:rPr>
        <w:t>Stoxx</w:t>
      </w:r>
      <w:proofErr w:type="spellEnd"/>
      <w:r w:rsidRPr="00CE7FC9">
        <w:rPr>
          <w:rFonts w:eastAsia="Times New Roman" w:cs="Times New Roman"/>
          <w:b/>
          <w:bCs/>
          <w:sz w:val="26"/>
          <w:szCs w:val="26"/>
        </w:rPr>
        <w:t xml:space="preserve"> 50 (Еврозона, Германия), S&amp;Р500 (США).</w:t>
      </w:r>
    </w:p>
    <w:p w:rsidR="00CE7FC9" w:rsidRPr="00CE7FC9" w:rsidRDefault="00405DD9" w:rsidP="00CE7FC9">
      <w:pPr>
        <w:shd w:val="clear" w:color="auto" w:fill="FFFFFF"/>
        <w:spacing w:after="0"/>
        <w:ind w:left="0" w:right="10" w:firstLine="538"/>
        <w:rPr>
          <w:rFonts w:eastAsia="Times New Roman" w:cs="Times New Roman"/>
          <w:sz w:val="26"/>
          <w:szCs w:val="26"/>
        </w:rPr>
      </w:pPr>
      <w:r>
        <w:rPr>
          <w:rFonts w:eastAsia="Times New Roman" w:cs="Times New Roman"/>
          <w:b/>
          <w:sz w:val="26"/>
          <w:szCs w:val="26"/>
        </w:rPr>
        <w:t>КОММЕНТАРИЙ</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CE7FC9" w:rsidRPr="00CE7FC9">
        <w:rPr>
          <w:rFonts w:eastAsia="Times New Roman" w:cs="Times New Roman"/>
          <w:sz w:val="26"/>
          <w:szCs w:val="26"/>
        </w:rPr>
        <w:t>В настоящее время профильным подразделением Банка России рассматриваются вопросы целесообразности изменения перечня фондовых индексов, указанных в Приложении 7 к Инструкции Банка России от 03.12.2012 № 139-И «Об обязательных нормативах банков», и применения указанного перечня в целях расчета величины рыночного риска. О результатах рассмотрения данного вопроса будет сообщено дополнительно.</w:t>
      </w:r>
    </w:p>
    <w:p w:rsidR="00E40E2C" w:rsidRPr="00CE7FC9" w:rsidRDefault="00E40E2C" w:rsidP="00CE7FC9">
      <w:pPr>
        <w:shd w:val="clear" w:color="auto" w:fill="FFFFFF"/>
        <w:spacing w:after="0"/>
        <w:ind w:left="24" w:right="5" w:firstLine="706"/>
        <w:rPr>
          <w:rFonts w:eastAsia="Times New Roman" w:cs="Times New Roman"/>
          <w:b/>
          <w:bCs/>
          <w:sz w:val="26"/>
          <w:szCs w:val="26"/>
        </w:rPr>
      </w:pPr>
    </w:p>
    <w:p w:rsidR="00733819" w:rsidRPr="00733819" w:rsidRDefault="00733819" w:rsidP="00733819">
      <w:pPr>
        <w:shd w:val="clear" w:color="auto" w:fill="FFFFFF"/>
        <w:spacing w:after="0"/>
        <w:ind w:left="0" w:right="10" w:firstLine="538"/>
        <w:rPr>
          <w:rFonts w:eastAsia="Times New Roman" w:cs="Times New Roman"/>
          <w:b/>
          <w:sz w:val="26"/>
          <w:szCs w:val="26"/>
        </w:rPr>
      </w:pPr>
      <w:r w:rsidRPr="00733819">
        <w:rPr>
          <w:rFonts w:eastAsia="Times New Roman" w:cs="Times New Roman"/>
          <w:b/>
          <w:sz w:val="26"/>
          <w:szCs w:val="26"/>
        </w:rPr>
        <w:t>Предложение 3. Невозможность взаимозачета позиций в опционах и фьючерсах, базисным активом которых являются ценные бумаги и индексы ценных бумаг, определяется п.2.11.3_1, что существенно завышает оценку размера фондового риска. Предлагаем разрешить взаимозачет фьючерсов и опционов, базовым активом которых является тот же фьючерс, при расчете показателя чистой позиции для целей расчета СФР.</w:t>
      </w:r>
    </w:p>
    <w:p w:rsidR="00733819" w:rsidRPr="00733819" w:rsidRDefault="00733819" w:rsidP="00733819">
      <w:pPr>
        <w:shd w:val="clear" w:color="auto" w:fill="FFFFFF"/>
        <w:spacing w:after="0"/>
        <w:ind w:left="0" w:right="10" w:firstLine="538"/>
        <w:rPr>
          <w:rFonts w:eastAsia="Times New Roman" w:cs="Times New Roman"/>
          <w:b/>
          <w:sz w:val="26"/>
          <w:szCs w:val="26"/>
        </w:rPr>
      </w:pPr>
      <w:r w:rsidRPr="00733819">
        <w:rPr>
          <w:rFonts w:eastAsia="Times New Roman" w:cs="Times New Roman"/>
          <w:b/>
          <w:sz w:val="26"/>
          <w:szCs w:val="26"/>
        </w:rPr>
        <w:t>Какова позиция Банка России по данным предложениям?</w:t>
      </w:r>
    </w:p>
    <w:p w:rsidR="000D2CF3" w:rsidRPr="000F2666" w:rsidRDefault="00405DD9" w:rsidP="003D350D">
      <w:pPr>
        <w:shd w:val="clear" w:color="auto" w:fill="FFFFFF"/>
        <w:spacing w:after="0"/>
        <w:ind w:left="0" w:right="10" w:firstLine="538"/>
        <w:rPr>
          <w:rFonts w:eastAsia="Times New Roman" w:cs="Times New Roman"/>
          <w:sz w:val="26"/>
          <w:szCs w:val="26"/>
        </w:rPr>
      </w:pPr>
      <w:r>
        <w:rPr>
          <w:rFonts w:eastAsia="Times New Roman" w:cs="Times New Roman"/>
          <w:b/>
          <w:sz w:val="26"/>
          <w:szCs w:val="26"/>
        </w:rPr>
        <w:t>КОММЕНТАРИЙ</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000D2CF3" w:rsidRPr="000D2CF3">
        <w:rPr>
          <w:rFonts w:eastAsia="Times New Roman" w:cs="Times New Roman"/>
          <w:sz w:val="26"/>
          <w:szCs w:val="26"/>
        </w:rPr>
        <w:t>Опцион и фьючерс являются различными финансовыми инструментами, связанными с различным набором прав и обязанностей, и, соответственно, имеющими различную чувствительность изменения справедливой стоимости к изменению стоимости базисного (базового) актива. В соответствии с параграфом 718(xiv) Базеля II взаимозачет допускается только по финансовым инструментам одной и той же категории. Аналогичные требования к взаимозачету позиций при расчете величины рыночного риска были реализованы в Положении № 511-П. Предложение Банка о взаимозачете позиций по опционам на фьючерс и позиций по соответствующему фьючерсу не может быть учтено, так как не соответствует нормам Базеля II.</w:t>
      </w:r>
    </w:p>
    <w:sectPr w:rsidR="000D2CF3" w:rsidRPr="000F2666" w:rsidSect="00AF0F4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56" w:rsidRDefault="00055B56" w:rsidP="000704E8">
      <w:pPr>
        <w:spacing w:after="0" w:line="240" w:lineRule="auto"/>
      </w:pPr>
      <w:r>
        <w:separator/>
      </w:r>
    </w:p>
  </w:endnote>
  <w:endnote w:type="continuationSeparator" w:id="0">
    <w:p w:rsidR="00055B56" w:rsidRDefault="00055B56" w:rsidP="0007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2817"/>
      <w:docPartObj>
        <w:docPartGallery w:val="Page Numbers (Bottom of Page)"/>
        <w:docPartUnique/>
      </w:docPartObj>
    </w:sdtPr>
    <w:sdtContent>
      <w:p w:rsidR="00055B56" w:rsidRDefault="00055B56">
        <w:pPr>
          <w:pStyle w:val="ab"/>
          <w:jc w:val="center"/>
        </w:pPr>
        <w:fldSimple w:instr=" PAGE   \* MERGEFORMAT ">
          <w:r w:rsidR="003D350D">
            <w:rPr>
              <w:noProof/>
            </w:rPr>
            <w:t>2</w:t>
          </w:r>
        </w:fldSimple>
      </w:p>
    </w:sdtContent>
  </w:sdt>
  <w:p w:rsidR="00055B56" w:rsidRDefault="00055B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56" w:rsidRDefault="00055B56" w:rsidP="000704E8">
      <w:pPr>
        <w:spacing w:after="0" w:line="240" w:lineRule="auto"/>
      </w:pPr>
      <w:r>
        <w:separator/>
      </w:r>
    </w:p>
  </w:footnote>
  <w:footnote w:type="continuationSeparator" w:id="0">
    <w:p w:rsidR="00055B56" w:rsidRDefault="00055B56" w:rsidP="00070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1AFD30"/>
    <w:lvl w:ilvl="0">
      <w:numFmt w:val="bullet"/>
      <w:lvlText w:val="*"/>
      <w:lvlJc w:val="left"/>
    </w:lvl>
  </w:abstractNum>
  <w:abstractNum w:abstractNumId="1">
    <w:nsid w:val="102F7E77"/>
    <w:multiLevelType w:val="hybridMultilevel"/>
    <w:tmpl w:val="D53844B4"/>
    <w:lvl w:ilvl="0" w:tplc="64E4024C">
      <w:start w:val="1"/>
      <w:numFmt w:val="decimal"/>
      <w:lvlText w:val="%1."/>
      <w:lvlJc w:val="left"/>
      <w:pPr>
        <w:ind w:left="1440" w:hanging="360"/>
      </w:pPr>
      <w:rPr>
        <w:rFonts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7C66FE8"/>
    <w:multiLevelType w:val="hybridMultilevel"/>
    <w:tmpl w:val="DED4F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9220937"/>
    <w:multiLevelType w:val="hybridMultilevel"/>
    <w:tmpl w:val="01DC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195D98"/>
    <w:multiLevelType w:val="singleLevel"/>
    <w:tmpl w:val="A3C2B78C"/>
    <w:lvl w:ilvl="0">
      <w:start w:val="1"/>
      <w:numFmt w:val="decimal"/>
      <w:lvlText w:val="29.%1."/>
      <w:legacy w:legacy="1" w:legacySpace="0" w:legacyIndent="662"/>
      <w:lvlJc w:val="left"/>
      <w:rPr>
        <w:rFonts w:ascii="Times New Roman" w:hAnsi="Times New Roman" w:cs="Times New Roman" w:hint="default"/>
      </w:rPr>
    </w:lvl>
  </w:abstractNum>
  <w:abstractNum w:abstractNumId="5">
    <w:nsid w:val="40FD754E"/>
    <w:multiLevelType w:val="hybridMultilevel"/>
    <w:tmpl w:val="2376AB4E"/>
    <w:lvl w:ilvl="0" w:tplc="64E4024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93946F4"/>
    <w:multiLevelType w:val="multilevel"/>
    <w:tmpl w:val="B8067756"/>
    <w:lvl w:ilvl="0">
      <w:start w:val="1"/>
      <w:numFmt w:val="decimal"/>
      <w:lvlText w:val="%1."/>
      <w:lvlJc w:val="left"/>
      <w:pPr>
        <w:ind w:left="1494"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C040AA1"/>
    <w:multiLevelType w:val="hybridMultilevel"/>
    <w:tmpl w:val="DF542668"/>
    <w:lvl w:ilvl="0" w:tplc="8DC44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2887702"/>
    <w:multiLevelType w:val="hybridMultilevel"/>
    <w:tmpl w:val="89B2F52E"/>
    <w:lvl w:ilvl="0" w:tplc="7D1E7D1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4977BC7"/>
    <w:multiLevelType w:val="hybridMultilevel"/>
    <w:tmpl w:val="B0728F06"/>
    <w:lvl w:ilvl="0" w:tplc="64E4024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F9E001E"/>
    <w:multiLevelType w:val="hybridMultilevel"/>
    <w:tmpl w:val="739C94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14265A"/>
    <w:multiLevelType w:val="hybridMultilevel"/>
    <w:tmpl w:val="7BAC0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8AB31CE"/>
    <w:multiLevelType w:val="hybridMultilevel"/>
    <w:tmpl w:val="F036C7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CB5323E"/>
    <w:multiLevelType w:val="multilevel"/>
    <w:tmpl w:val="B8067756"/>
    <w:lvl w:ilvl="0">
      <w:start w:val="1"/>
      <w:numFmt w:val="decimal"/>
      <w:lvlText w:val="%1."/>
      <w:lvlJc w:val="left"/>
      <w:pPr>
        <w:ind w:left="1494"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D465468"/>
    <w:multiLevelType w:val="hybridMultilevel"/>
    <w:tmpl w:val="F92821D2"/>
    <w:lvl w:ilvl="0" w:tplc="64E402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0F60B7"/>
    <w:multiLevelType w:val="singleLevel"/>
    <w:tmpl w:val="C0C4C664"/>
    <w:lvl w:ilvl="0">
      <w:start w:val="1"/>
      <w:numFmt w:val="decimal"/>
      <w:lvlText w:val="6.%1."/>
      <w:legacy w:legacy="1" w:legacySpace="0" w:legacyIndent="543"/>
      <w:lvlJc w:val="left"/>
      <w:rPr>
        <w:rFonts w:ascii="Times New Roman" w:hAnsi="Times New Roman" w:cs="Times New Roman" w:hint="default"/>
      </w:rPr>
    </w:lvl>
  </w:abstractNum>
  <w:num w:numId="1">
    <w:abstractNumId w:val="14"/>
  </w:num>
  <w:num w:numId="2">
    <w:abstractNumId w:val="1"/>
  </w:num>
  <w:num w:numId="3">
    <w:abstractNumId w:val="2"/>
  </w:num>
  <w:num w:numId="4">
    <w:abstractNumId w:val="8"/>
  </w:num>
  <w:num w:numId="5">
    <w:abstractNumId w:val="3"/>
  </w:num>
  <w:num w:numId="6">
    <w:abstractNumId w:val="9"/>
  </w:num>
  <w:num w:numId="7">
    <w:abstractNumId w:val="10"/>
  </w:num>
  <w:num w:numId="8">
    <w:abstractNumId w:val="12"/>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7"/>
  </w:num>
  <w:num w:numId="1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5">
    <w:abstractNumId w:val="15"/>
  </w:num>
  <w:num w:numId="16">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7">
    <w:abstractNumId w:val="4"/>
  </w:num>
  <w:num w:numId="1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704E8"/>
    <w:rsid w:val="00052553"/>
    <w:rsid w:val="00053B82"/>
    <w:rsid w:val="00055B56"/>
    <w:rsid w:val="00063691"/>
    <w:rsid w:val="000704E8"/>
    <w:rsid w:val="0007206C"/>
    <w:rsid w:val="0007671E"/>
    <w:rsid w:val="00090416"/>
    <w:rsid w:val="000945BF"/>
    <w:rsid w:val="0009677C"/>
    <w:rsid w:val="000B0A91"/>
    <w:rsid w:val="000B7992"/>
    <w:rsid w:val="000D2CF3"/>
    <w:rsid w:val="000E4CB0"/>
    <w:rsid w:val="000E7E47"/>
    <w:rsid w:val="000F265E"/>
    <w:rsid w:val="000F2666"/>
    <w:rsid w:val="000F4D44"/>
    <w:rsid w:val="000F584D"/>
    <w:rsid w:val="00105054"/>
    <w:rsid w:val="00107745"/>
    <w:rsid w:val="001226EA"/>
    <w:rsid w:val="001252E6"/>
    <w:rsid w:val="00125F81"/>
    <w:rsid w:val="0014296A"/>
    <w:rsid w:val="00160FC2"/>
    <w:rsid w:val="00164CED"/>
    <w:rsid w:val="0016564D"/>
    <w:rsid w:val="00174DB3"/>
    <w:rsid w:val="001945B7"/>
    <w:rsid w:val="00195C15"/>
    <w:rsid w:val="00197802"/>
    <w:rsid w:val="001B4DF0"/>
    <w:rsid w:val="001E619F"/>
    <w:rsid w:val="001F5EE5"/>
    <w:rsid w:val="00205084"/>
    <w:rsid w:val="00207B03"/>
    <w:rsid w:val="00215617"/>
    <w:rsid w:val="0022783B"/>
    <w:rsid w:val="0024079F"/>
    <w:rsid w:val="00241091"/>
    <w:rsid w:val="0026584C"/>
    <w:rsid w:val="00272E39"/>
    <w:rsid w:val="00287F06"/>
    <w:rsid w:val="002937AC"/>
    <w:rsid w:val="002A4B5F"/>
    <w:rsid w:val="002B3F09"/>
    <w:rsid w:val="002B5360"/>
    <w:rsid w:val="002B6043"/>
    <w:rsid w:val="002B78FE"/>
    <w:rsid w:val="002C271A"/>
    <w:rsid w:val="002C3387"/>
    <w:rsid w:val="002D0B0C"/>
    <w:rsid w:val="002E0D7C"/>
    <w:rsid w:val="002E247D"/>
    <w:rsid w:val="002E3ECA"/>
    <w:rsid w:val="002E7D99"/>
    <w:rsid w:val="002F3EBF"/>
    <w:rsid w:val="002F5FD0"/>
    <w:rsid w:val="00325569"/>
    <w:rsid w:val="00335E61"/>
    <w:rsid w:val="0034044A"/>
    <w:rsid w:val="00361E80"/>
    <w:rsid w:val="00366A0D"/>
    <w:rsid w:val="00381060"/>
    <w:rsid w:val="00386A0A"/>
    <w:rsid w:val="00390814"/>
    <w:rsid w:val="0039726B"/>
    <w:rsid w:val="003B09CF"/>
    <w:rsid w:val="003D350D"/>
    <w:rsid w:val="003D5770"/>
    <w:rsid w:val="003D5A7B"/>
    <w:rsid w:val="003E1BF2"/>
    <w:rsid w:val="003F7866"/>
    <w:rsid w:val="00405DD9"/>
    <w:rsid w:val="004068EB"/>
    <w:rsid w:val="004167F7"/>
    <w:rsid w:val="004218C1"/>
    <w:rsid w:val="00426B28"/>
    <w:rsid w:val="00441C70"/>
    <w:rsid w:val="004519B8"/>
    <w:rsid w:val="00470081"/>
    <w:rsid w:val="00477335"/>
    <w:rsid w:val="00485CD2"/>
    <w:rsid w:val="004A0BAE"/>
    <w:rsid w:val="004E32ED"/>
    <w:rsid w:val="004F18CC"/>
    <w:rsid w:val="004F361A"/>
    <w:rsid w:val="004F6E7A"/>
    <w:rsid w:val="0050502A"/>
    <w:rsid w:val="00507BBF"/>
    <w:rsid w:val="00512B7F"/>
    <w:rsid w:val="005165B3"/>
    <w:rsid w:val="0052022D"/>
    <w:rsid w:val="005313E4"/>
    <w:rsid w:val="005411C0"/>
    <w:rsid w:val="00542670"/>
    <w:rsid w:val="00546010"/>
    <w:rsid w:val="00575EBF"/>
    <w:rsid w:val="0058749C"/>
    <w:rsid w:val="00587FF2"/>
    <w:rsid w:val="005950A7"/>
    <w:rsid w:val="005A1021"/>
    <w:rsid w:val="005A6085"/>
    <w:rsid w:val="005A6299"/>
    <w:rsid w:val="005B1EC2"/>
    <w:rsid w:val="005B542F"/>
    <w:rsid w:val="005C4C64"/>
    <w:rsid w:val="005D0465"/>
    <w:rsid w:val="005D3C4E"/>
    <w:rsid w:val="005E0A26"/>
    <w:rsid w:val="005E7B45"/>
    <w:rsid w:val="005F45A6"/>
    <w:rsid w:val="0060039D"/>
    <w:rsid w:val="00604B89"/>
    <w:rsid w:val="00606D5C"/>
    <w:rsid w:val="00626633"/>
    <w:rsid w:val="00630484"/>
    <w:rsid w:val="006327C7"/>
    <w:rsid w:val="00632E12"/>
    <w:rsid w:val="0065022D"/>
    <w:rsid w:val="006968F8"/>
    <w:rsid w:val="006C0C22"/>
    <w:rsid w:val="006C6454"/>
    <w:rsid w:val="006D742D"/>
    <w:rsid w:val="00701074"/>
    <w:rsid w:val="007045C9"/>
    <w:rsid w:val="007312D1"/>
    <w:rsid w:val="00733819"/>
    <w:rsid w:val="00735F5D"/>
    <w:rsid w:val="00735F79"/>
    <w:rsid w:val="00737F3E"/>
    <w:rsid w:val="00745AB4"/>
    <w:rsid w:val="0075726D"/>
    <w:rsid w:val="007577A8"/>
    <w:rsid w:val="007A14A4"/>
    <w:rsid w:val="007A2052"/>
    <w:rsid w:val="007A7A16"/>
    <w:rsid w:val="007B0DB4"/>
    <w:rsid w:val="007B2EDA"/>
    <w:rsid w:val="007B3018"/>
    <w:rsid w:val="007D334B"/>
    <w:rsid w:val="007E3678"/>
    <w:rsid w:val="0081243B"/>
    <w:rsid w:val="00832E69"/>
    <w:rsid w:val="008339A0"/>
    <w:rsid w:val="008360A8"/>
    <w:rsid w:val="00842B60"/>
    <w:rsid w:val="008431FC"/>
    <w:rsid w:val="00845AD8"/>
    <w:rsid w:val="00865775"/>
    <w:rsid w:val="008675F5"/>
    <w:rsid w:val="00875DF0"/>
    <w:rsid w:val="0088561C"/>
    <w:rsid w:val="00892D8C"/>
    <w:rsid w:val="0089398C"/>
    <w:rsid w:val="00893BBD"/>
    <w:rsid w:val="008B09D9"/>
    <w:rsid w:val="008B238C"/>
    <w:rsid w:val="008B2E8B"/>
    <w:rsid w:val="008C4B1F"/>
    <w:rsid w:val="008D0B9A"/>
    <w:rsid w:val="008D5CA8"/>
    <w:rsid w:val="008D7E87"/>
    <w:rsid w:val="008E2E77"/>
    <w:rsid w:val="008F222B"/>
    <w:rsid w:val="008F6167"/>
    <w:rsid w:val="0091189B"/>
    <w:rsid w:val="00913DDE"/>
    <w:rsid w:val="009243AC"/>
    <w:rsid w:val="0093317F"/>
    <w:rsid w:val="00936DA4"/>
    <w:rsid w:val="00941068"/>
    <w:rsid w:val="009413A3"/>
    <w:rsid w:val="0096300B"/>
    <w:rsid w:val="009777F9"/>
    <w:rsid w:val="00985088"/>
    <w:rsid w:val="0099103D"/>
    <w:rsid w:val="009A0C34"/>
    <w:rsid w:val="009A3F6D"/>
    <w:rsid w:val="009A6EB8"/>
    <w:rsid w:val="009B063C"/>
    <w:rsid w:val="009D63CC"/>
    <w:rsid w:val="009D7213"/>
    <w:rsid w:val="009E153C"/>
    <w:rsid w:val="009F4C6E"/>
    <w:rsid w:val="00A13C76"/>
    <w:rsid w:val="00A419AE"/>
    <w:rsid w:val="00A65AE1"/>
    <w:rsid w:val="00A665AF"/>
    <w:rsid w:val="00A91999"/>
    <w:rsid w:val="00AA3FFD"/>
    <w:rsid w:val="00AC301A"/>
    <w:rsid w:val="00AD40C7"/>
    <w:rsid w:val="00AF0F40"/>
    <w:rsid w:val="00B055BC"/>
    <w:rsid w:val="00B33087"/>
    <w:rsid w:val="00B473B1"/>
    <w:rsid w:val="00B709D3"/>
    <w:rsid w:val="00BA3DBD"/>
    <w:rsid w:val="00BC78E4"/>
    <w:rsid w:val="00BD1059"/>
    <w:rsid w:val="00BD2903"/>
    <w:rsid w:val="00BF500B"/>
    <w:rsid w:val="00C112CB"/>
    <w:rsid w:val="00C11B85"/>
    <w:rsid w:val="00C226E7"/>
    <w:rsid w:val="00C3487F"/>
    <w:rsid w:val="00C4071E"/>
    <w:rsid w:val="00C4272C"/>
    <w:rsid w:val="00C4510E"/>
    <w:rsid w:val="00C46881"/>
    <w:rsid w:val="00C617B7"/>
    <w:rsid w:val="00C63F70"/>
    <w:rsid w:val="00C7422A"/>
    <w:rsid w:val="00C95926"/>
    <w:rsid w:val="00CB3C25"/>
    <w:rsid w:val="00CC1ED6"/>
    <w:rsid w:val="00CE7FC9"/>
    <w:rsid w:val="00CF4E5F"/>
    <w:rsid w:val="00CF761D"/>
    <w:rsid w:val="00D13BF3"/>
    <w:rsid w:val="00D20310"/>
    <w:rsid w:val="00D31ABB"/>
    <w:rsid w:val="00D354D3"/>
    <w:rsid w:val="00D45388"/>
    <w:rsid w:val="00D8692F"/>
    <w:rsid w:val="00D9264B"/>
    <w:rsid w:val="00DA2475"/>
    <w:rsid w:val="00DA2A22"/>
    <w:rsid w:val="00DF38AA"/>
    <w:rsid w:val="00E14483"/>
    <w:rsid w:val="00E33F9B"/>
    <w:rsid w:val="00E40E2C"/>
    <w:rsid w:val="00E469E2"/>
    <w:rsid w:val="00E47AF2"/>
    <w:rsid w:val="00E54E52"/>
    <w:rsid w:val="00E70DD3"/>
    <w:rsid w:val="00E71039"/>
    <w:rsid w:val="00E728C5"/>
    <w:rsid w:val="00E736E6"/>
    <w:rsid w:val="00E7428C"/>
    <w:rsid w:val="00E8235B"/>
    <w:rsid w:val="00E90BC1"/>
    <w:rsid w:val="00E90D7D"/>
    <w:rsid w:val="00EB396D"/>
    <w:rsid w:val="00EC4AB4"/>
    <w:rsid w:val="00ED049D"/>
    <w:rsid w:val="00ED0C4F"/>
    <w:rsid w:val="00EE18BC"/>
    <w:rsid w:val="00EE780B"/>
    <w:rsid w:val="00F12028"/>
    <w:rsid w:val="00F353FB"/>
    <w:rsid w:val="00F55336"/>
    <w:rsid w:val="00F6799C"/>
    <w:rsid w:val="00F96FF3"/>
    <w:rsid w:val="00FA4219"/>
    <w:rsid w:val="00FB35F5"/>
    <w:rsid w:val="00FD2B88"/>
    <w:rsid w:val="00FD6DB7"/>
    <w:rsid w:val="00FD6E77"/>
    <w:rsid w:val="00FF0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4E8"/>
    <w:pPr>
      <w:ind w:left="720"/>
      <w:contextualSpacing/>
    </w:pPr>
  </w:style>
  <w:style w:type="paragraph" w:customStyle="1" w:styleId="ConsPlusNormal">
    <w:name w:val="ConsPlusNormal"/>
    <w:rsid w:val="000704E8"/>
    <w:pPr>
      <w:widowControl w:val="0"/>
      <w:autoSpaceDE w:val="0"/>
      <w:autoSpaceDN w:val="0"/>
      <w:spacing w:after="0" w:line="240" w:lineRule="auto"/>
      <w:ind w:left="0" w:firstLine="0"/>
      <w:jc w:val="left"/>
    </w:pPr>
    <w:rPr>
      <w:rFonts w:eastAsia="Times New Roman" w:cs="Times New Roman"/>
      <w:szCs w:val="20"/>
      <w:lang w:eastAsia="ru-RU"/>
    </w:rPr>
  </w:style>
  <w:style w:type="character" w:customStyle="1" w:styleId="dbfmultilinelbl">
    <w:name w:val="dbf_multiline_lbl"/>
    <w:basedOn w:val="a0"/>
    <w:rsid w:val="000704E8"/>
  </w:style>
  <w:style w:type="paragraph" w:styleId="a4">
    <w:name w:val="footnote text"/>
    <w:basedOn w:val="a"/>
    <w:link w:val="a5"/>
    <w:uiPriority w:val="99"/>
    <w:semiHidden/>
    <w:unhideWhenUsed/>
    <w:rsid w:val="000704E8"/>
    <w:pPr>
      <w:spacing w:after="0" w:line="240" w:lineRule="auto"/>
      <w:ind w:left="0" w:firstLine="0"/>
      <w:jc w:val="left"/>
    </w:pPr>
    <w:rPr>
      <w:rFonts w:asciiTheme="minorHAnsi" w:hAnsiTheme="minorHAnsi"/>
      <w:sz w:val="20"/>
      <w:szCs w:val="20"/>
    </w:rPr>
  </w:style>
  <w:style w:type="character" w:customStyle="1" w:styleId="a5">
    <w:name w:val="Текст сноски Знак"/>
    <w:basedOn w:val="a0"/>
    <w:link w:val="a4"/>
    <w:uiPriority w:val="99"/>
    <w:semiHidden/>
    <w:rsid w:val="000704E8"/>
    <w:rPr>
      <w:rFonts w:asciiTheme="minorHAnsi" w:hAnsiTheme="minorHAnsi"/>
      <w:sz w:val="20"/>
      <w:szCs w:val="20"/>
    </w:rPr>
  </w:style>
  <w:style w:type="character" w:styleId="a6">
    <w:name w:val="footnote reference"/>
    <w:basedOn w:val="a0"/>
    <w:uiPriority w:val="99"/>
    <w:semiHidden/>
    <w:unhideWhenUsed/>
    <w:rsid w:val="000704E8"/>
    <w:rPr>
      <w:vertAlign w:val="superscript"/>
    </w:rPr>
  </w:style>
  <w:style w:type="character" w:styleId="a7">
    <w:name w:val="Hyperlink"/>
    <w:basedOn w:val="a0"/>
    <w:uiPriority w:val="99"/>
    <w:unhideWhenUsed/>
    <w:rsid w:val="00EB396D"/>
    <w:rPr>
      <w:color w:val="0000FF" w:themeColor="hyperlink"/>
      <w:u w:val="single"/>
    </w:rPr>
  </w:style>
  <w:style w:type="character" w:styleId="a8">
    <w:name w:val="FollowedHyperlink"/>
    <w:basedOn w:val="a0"/>
    <w:uiPriority w:val="99"/>
    <w:semiHidden/>
    <w:unhideWhenUsed/>
    <w:rsid w:val="00EB396D"/>
    <w:rPr>
      <w:color w:val="800080" w:themeColor="followedHyperlink"/>
      <w:u w:val="single"/>
    </w:rPr>
  </w:style>
  <w:style w:type="paragraph" w:styleId="a9">
    <w:name w:val="header"/>
    <w:basedOn w:val="a"/>
    <w:link w:val="aa"/>
    <w:uiPriority w:val="99"/>
    <w:semiHidden/>
    <w:unhideWhenUsed/>
    <w:rsid w:val="001050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5054"/>
  </w:style>
  <w:style w:type="paragraph" w:styleId="ab">
    <w:name w:val="footer"/>
    <w:basedOn w:val="a"/>
    <w:link w:val="ac"/>
    <w:uiPriority w:val="99"/>
    <w:unhideWhenUsed/>
    <w:rsid w:val="001050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5054"/>
  </w:style>
  <w:style w:type="paragraph" w:styleId="ad">
    <w:name w:val="Balloon Text"/>
    <w:basedOn w:val="a"/>
    <w:link w:val="ae"/>
    <w:uiPriority w:val="99"/>
    <w:semiHidden/>
    <w:unhideWhenUsed/>
    <w:rsid w:val="001B4D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4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4E8"/>
    <w:pPr>
      <w:ind w:left="720"/>
      <w:contextualSpacing/>
    </w:pPr>
  </w:style>
  <w:style w:type="paragraph" w:customStyle="1" w:styleId="ConsPlusNormal">
    <w:name w:val="ConsPlusNormal"/>
    <w:rsid w:val="000704E8"/>
    <w:pPr>
      <w:widowControl w:val="0"/>
      <w:autoSpaceDE w:val="0"/>
      <w:autoSpaceDN w:val="0"/>
      <w:spacing w:after="0" w:line="240" w:lineRule="auto"/>
      <w:ind w:left="0" w:firstLine="0"/>
      <w:jc w:val="left"/>
    </w:pPr>
    <w:rPr>
      <w:rFonts w:eastAsia="Times New Roman" w:cs="Times New Roman"/>
      <w:szCs w:val="20"/>
      <w:lang w:eastAsia="ru-RU"/>
    </w:rPr>
  </w:style>
  <w:style w:type="character" w:customStyle="1" w:styleId="dbfmultilinelbl">
    <w:name w:val="dbf_multiline_lbl"/>
    <w:basedOn w:val="a0"/>
    <w:rsid w:val="000704E8"/>
  </w:style>
  <w:style w:type="paragraph" w:styleId="a4">
    <w:name w:val="footnote text"/>
    <w:basedOn w:val="a"/>
    <w:link w:val="a5"/>
    <w:uiPriority w:val="99"/>
    <w:semiHidden/>
    <w:unhideWhenUsed/>
    <w:rsid w:val="000704E8"/>
    <w:pPr>
      <w:spacing w:after="0" w:line="240" w:lineRule="auto"/>
      <w:ind w:left="0" w:firstLine="0"/>
      <w:jc w:val="left"/>
    </w:pPr>
    <w:rPr>
      <w:rFonts w:asciiTheme="minorHAnsi" w:hAnsiTheme="minorHAnsi"/>
      <w:sz w:val="20"/>
      <w:szCs w:val="20"/>
    </w:rPr>
  </w:style>
  <w:style w:type="character" w:customStyle="1" w:styleId="a5">
    <w:name w:val="Текст сноски Знак"/>
    <w:basedOn w:val="a0"/>
    <w:link w:val="a4"/>
    <w:uiPriority w:val="99"/>
    <w:semiHidden/>
    <w:rsid w:val="000704E8"/>
    <w:rPr>
      <w:rFonts w:asciiTheme="minorHAnsi" w:hAnsiTheme="minorHAnsi"/>
      <w:sz w:val="20"/>
      <w:szCs w:val="20"/>
    </w:rPr>
  </w:style>
  <w:style w:type="character" w:styleId="a6">
    <w:name w:val="footnote reference"/>
    <w:basedOn w:val="a0"/>
    <w:uiPriority w:val="99"/>
    <w:semiHidden/>
    <w:unhideWhenUsed/>
    <w:rsid w:val="000704E8"/>
    <w:rPr>
      <w:vertAlign w:val="superscript"/>
    </w:rPr>
  </w:style>
  <w:style w:type="character" w:styleId="a7">
    <w:name w:val="Hyperlink"/>
    <w:basedOn w:val="a0"/>
    <w:uiPriority w:val="99"/>
    <w:unhideWhenUsed/>
    <w:rsid w:val="00EB396D"/>
    <w:rPr>
      <w:color w:val="0000FF" w:themeColor="hyperlink"/>
      <w:u w:val="single"/>
    </w:rPr>
  </w:style>
  <w:style w:type="character" w:styleId="a8">
    <w:name w:val="FollowedHyperlink"/>
    <w:basedOn w:val="a0"/>
    <w:uiPriority w:val="99"/>
    <w:semiHidden/>
    <w:unhideWhenUsed/>
    <w:rsid w:val="00EB396D"/>
    <w:rPr>
      <w:color w:val="800080" w:themeColor="followedHyperlink"/>
      <w:u w:val="single"/>
    </w:rPr>
  </w:style>
  <w:style w:type="paragraph" w:styleId="a9">
    <w:name w:val="header"/>
    <w:basedOn w:val="a"/>
    <w:link w:val="aa"/>
    <w:uiPriority w:val="99"/>
    <w:semiHidden/>
    <w:unhideWhenUsed/>
    <w:rsid w:val="001050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5054"/>
  </w:style>
  <w:style w:type="paragraph" w:styleId="ab">
    <w:name w:val="footer"/>
    <w:basedOn w:val="a"/>
    <w:link w:val="ac"/>
    <w:uiPriority w:val="99"/>
    <w:unhideWhenUsed/>
    <w:rsid w:val="001050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50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095FF-8242-4CF0-974E-02804C09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7765</Words>
  <Characters>44263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51925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7</cp:revision>
  <dcterms:created xsi:type="dcterms:W3CDTF">2016-05-17T15:26:00Z</dcterms:created>
  <dcterms:modified xsi:type="dcterms:W3CDTF">2016-05-17T15:33:00Z</dcterms:modified>
</cp:coreProperties>
</file>