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770D7" w14:textId="6280B19C" w:rsidR="001F21F5" w:rsidRDefault="001F21F5"/>
    <w:p w14:paraId="6EC5240E" w14:textId="01E3F1BF" w:rsidR="009D13A0" w:rsidRDefault="001F21F5" w:rsidP="00937290">
      <w:pPr>
        <w:jc w:val="right"/>
        <w:rPr>
          <w:rFonts w:ascii="Times New Roman" w:hAnsi="Times New Roman" w:cs="Times New Roman"/>
          <w:sz w:val="26"/>
          <w:szCs w:val="26"/>
        </w:rPr>
      </w:pPr>
      <w:r w:rsidRPr="001F21F5">
        <w:rPr>
          <w:rFonts w:ascii="Times New Roman" w:hAnsi="Times New Roman" w:cs="Times New Roman"/>
          <w:sz w:val="26"/>
          <w:szCs w:val="26"/>
        </w:rPr>
        <w:t xml:space="preserve">Приложение к письму от </w:t>
      </w:r>
      <w:r w:rsidR="00937290">
        <w:rPr>
          <w:rFonts w:ascii="Times New Roman" w:hAnsi="Times New Roman" w:cs="Times New Roman"/>
          <w:sz w:val="26"/>
          <w:szCs w:val="26"/>
        </w:rPr>
        <w:t>04</w:t>
      </w:r>
      <w:r w:rsidRPr="001F21F5">
        <w:rPr>
          <w:rFonts w:ascii="Times New Roman" w:hAnsi="Times New Roman" w:cs="Times New Roman"/>
          <w:sz w:val="26"/>
          <w:szCs w:val="26"/>
        </w:rPr>
        <w:t>.08.2020 № 02-05/</w:t>
      </w:r>
      <w:r w:rsidR="00937290">
        <w:rPr>
          <w:rFonts w:ascii="Times New Roman" w:hAnsi="Times New Roman" w:cs="Times New Roman"/>
          <w:sz w:val="26"/>
          <w:szCs w:val="26"/>
        </w:rPr>
        <w:t>567</w:t>
      </w:r>
    </w:p>
    <w:p w14:paraId="5C6DA21B" w14:textId="77777777" w:rsidR="00FA7E02" w:rsidRDefault="009D13A0" w:rsidP="009D13A0">
      <w:pPr>
        <w:jc w:val="center"/>
        <w:rPr>
          <w:rFonts w:ascii="Times New Roman" w:hAnsi="Times New Roman" w:cs="Times New Roman"/>
          <w:sz w:val="26"/>
          <w:szCs w:val="26"/>
        </w:rPr>
      </w:pPr>
      <w:r>
        <w:rPr>
          <w:rFonts w:ascii="Times New Roman" w:hAnsi="Times New Roman" w:cs="Times New Roman"/>
          <w:sz w:val="26"/>
          <w:szCs w:val="26"/>
        </w:rPr>
        <w:t>Свод вопросов</w:t>
      </w:r>
    </w:p>
    <w:p w14:paraId="3DAFC933" w14:textId="477E7389" w:rsidR="001F21F5" w:rsidRDefault="009D13A0" w:rsidP="009D13A0">
      <w:pPr>
        <w:jc w:val="center"/>
        <w:rPr>
          <w:rFonts w:ascii="Times New Roman" w:hAnsi="Times New Roman" w:cs="Times New Roman"/>
          <w:sz w:val="26"/>
          <w:szCs w:val="26"/>
        </w:rPr>
      </w:pPr>
      <w:r>
        <w:rPr>
          <w:rFonts w:ascii="Times New Roman" w:hAnsi="Times New Roman" w:cs="Times New Roman"/>
          <w:sz w:val="26"/>
          <w:szCs w:val="26"/>
        </w:rPr>
        <w:t xml:space="preserve"> по порядку применения </w:t>
      </w:r>
      <w:bookmarkStart w:id="0" w:name="_Hlk47448032"/>
      <w:r w:rsidR="00FA7E02">
        <w:rPr>
          <w:rFonts w:ascii="Times New Roman" w:hAnsi="Times New Roman" w:cs="Times New Roman"/>
          <w:sz w:val="26"/>
          <w:szCs w:val="26"/>
        </w:rPr>
        <w:t>Методических рекомендаций Банка России от 09.07.2020 № 8-МР «О расчете величины процентного риска по активам (требованиям) и обязательствам (пассивам) кредитной организации (банковской группы)</w:t>
      </w:r>
      <w:r w:rsidR="005933DD">
        <w:rPr>
          <w:rFonts w:ascii="Times New Roman" w:hAnsi="Times New Roman" w:cs="Times New Roman"/>
          <w:sz w:val="26"/>
          <w:szCs w:val="26"/>
        </w:rPr>
        <w:t>»</w:t>
      </w:r>
    </w:p>
    <w:bookmarkEnd w:id="0"/>
    <w:p w14:paraId="5B472410" w14:textId="77777777" w:rsidR="00635721" w:rsidRPr="001F21F5" w:rsidRDefault="00635721" w:rsidP="009D13A0">
      <w:pPr>
        <w:jc w:val="center"/>
        <w:rPr>
          <w:rFonts w:ascii="Times New Roman" w:hAnsi="Times New Roman" w:cs="Times New Roman"/>
          <w:sz w:val="26"/>
          <w:szCs w:val="26"/>
        </w:rPr>
      </w:pPr>
    </w:p>
    <w:p w14:paraId="28AAAA55" w14:textId="77777777" w:rsidR="001F21F5" w:rsidRDefault="001F21F5"/>
    <w:tbl>
      <w:tblPr>
        <w:tblStyle w:val="a3"/>
        <w:tblW w:w="0" w:type="auto"/>
        <w:tblLook w:val="04A0" w:firstRow="1" w:lastRow="0" w:firstColumn="1" w:lastColumn="0" w:noHBand="0" w:noVBand="1"/>
      </w:tblPr>
      <w:tblGrid>
        <w:gridCol w:w="988"/>
        <w:gridCol w:w="9213"/>
        <w:gridCol w:w="4359"/>
      </w:tblGrid>
      <w:tr w:rsidR="0074520E" w14:paraId="0F321490" w14:textId="77777777" w:rsidTr="00D717FA">
        <w:tc>
          <w:tcPr>
            <w:tcW w:w="988" w:type="dxa"/>
          </w:tcPr>
          <w:p w14:paraId="40CF8DC9" w14:textId="77777777" w:rsidR="0074520E" w:rsidRDefault="0074520E" w:rsidP="0074520E">
            <w:pPr>
              <w:jc w:val="both"/>
              <w:rPr>
                <w:rFonts w:ascii="Times New Roman" w:hAnsi="Times New Roman" w:cs="Times New Roman"/>
                <w:sz w:val="24"/>
                <w:szCs w:val="24"/>
              </w:rPr>
            </w:pPr>
            <w:r>
              <w:rPr>
                <w:rFonts w:ascii="Times New Roman" w:hAnsi="Times New Roman" w:cs="Times New Roman"/>
                <w:sz w:val="24"/>
                <w:szCs w:val="24"/>
              </w:rPr>
              <w:t>№</w:t>
            </w:r>
          </w:p>
          <w:p w14:paraId="0F5B60D6" w14:textId="757F2A5D" w:rsidR="0074520E" w:rsidRDefault="0074520E" w:rsidP="0074520E">
            <w:r>
              <w:rPr>
                <w:rFonts w:ascii="Times New Roman" w:hAnsi="Times New Roman" w:cs="Times New Roman"/>
                <w:sz w:val="24"/>
                <w:szCs w:val="24"/>
              </w:rPr>
              <w:t>п/п</w:t>
            </w:r>
          </w:p>
        </w:tc>
        <w:tc>
          <w:tcPr>
            <w:tcW w:w="9213" w:type="dxa"/>
            <w:tcBorders>
              <w:top w:val="single" w:sz="4" w:space="0" w:color="auto"/>
              <w:left w:val="single" w:sz="4" w:space="0" w:color="auto"/>
              <w:bottom w:val="single" w:sz="4" w:space="0" w:color="auto"/>
              <w:right w:val="single" w:sz="4" w:space="0" w:color="auto"/>
            </w:tcBorders>
          </w:tcPr>
          <w:p w14:paraId="3F9E9DE0" w14:textId="08446485" w:rsidR="0074520E" w:rsidRDefault="0074520E" w:rsidP="0074520E">
            <w:r>
              <w:rPr>
                <w:rFonts w:ascii="Times New Roman" w:hAnsi="Times New Roman" w:cs="Times New Roman"/>
                <w:sz w:val="24"/>
                <w:szCs w:val="24"/>
              </w:rPr>
              <w:t>Содержание вопрос</w:t>
            </w:r>
            <w:r w:rsidR="001F21F5">
              <w:rPr>
                <w:rFonts w:ascii="Times New Roman" w:hAnsi="Times New Roman" w:cs="Times New Roman"/>
                <w:sz w:val="24"/>
                <w:szCs w:val="24"/>
              </w:rPr>
              <w:t>ов</w:t>
            </w:r>
            <w:r w:rsidR="00A40B6D">
              <w:rPr>
                <w:rFonts w:ascii="Times New Roman" w:hAnsi="Times New Roman" w:cs="Times New Roman"/>
                <w:sz w:val="24"/>
                <w:szCs w:val="24"/>
              </w:rPr>
              <w:t xml:space="preserve"> / групп вопросов</w:t>
            </w:r>
            <w:r w:rsidR="00D717FA">
              <w:rPr>
                <w:rFonts w:ascii="Times New Roman" w:hAnsi="Times New Roman" w:cs="Times New Roman"/>
                <w:sz w:val="24"/>
                <w:szCs w:val="24"/>
              </w:rPr>
              <w:t xml:space="preserve"> и предложений</w:t>
            </w:r>
          </w:p>
        </w:tc>
        <w:tc>
          <w:tcPr>
            <w:tcW w:w="4359" w:type="dxa"/>
            <w:tcBorders>
              <w:top w:val="single" w:sz="4" w:space="0" w:color="auto"/>
              <w:left w:val="single" w:sz="4" w:space="0" w:color="auto"/>
              <w:bottom w:val="single" w:sz="4" w:space="0" w:color="auto"/>
              <w:right w:val="single" w:sz="4" w:space="0" w:color="auto"/>
            </w:tcBorders>
          </w:tcPr>
          <w:p w14:paraId="431B73B1" w14:textId="56CCC6DE" w:rsidR="0074520E" w:rsidRDefault="0074520E" w:rsidP="0074520E">
            <w:r>
              <w:rPr>
                <w:rFonts w:ascii="Times New Roman" w:hAnsi="Times New Roman" w:cs="Times New Roman"/>
                <w:sz w:val="24"/>
                <w:szCs w:val="24"/>
              </w:rPr>
              <w:t xml:space="preserve">Пояснение </w:t>
            </w:r>
            <w:r w:rsidR="00A40B6D">
              <w:rPr>
                <w:rFonts w:ascii="Times New Roman" w:hAnsi="Times New Roman" w:cs="Times New Roman"/>
                <w:sz w:val="24"/>
                <w:szCs w:val="24"/>
              </w:rPr>
              <w:t>(при наличии)</w:t>
            </w:r>
          </w:p>
        </w:tc>
      </w:tr>
      <w:tr w:rsidR="0074520E" w14:paraId="60B737C9" w14:textId="77777777" w:rsidTr="00D717FA">
        <w:tc>
          <w:tcPr>
            <w:tcW w:w="988" w:type="dxa"/>
          </w:tcPr>
          <w:p w14:paraId="46FF1C2A" w14:textId="77777777" w:rsidR="0074520E" w:rsidRPr="00D717FA" w:rsidRDefault="0074520E" w:rsidP="00D717FA">
            <w:pPr>
              <w:pStyle w:val="a4"/>
              <w:numPr>
                <w:ilvl w:val="0"/>
                <w:numId w:val="5"/>
              </w:numPr>
              <w:rPr>
                <w:rFonts w:ascii="Times New Roman" w:hAnsi="Times New Roman" w:cs="Times New Roman"/>
                <w:sz w:val="24"/>
                <w:szCs w:val="24"/>
              </w:rPr>
            </w:pPr>
          </w:p>
        </w:tc>
        <w:tc>
          <w:tcPr>
            <w:tcW w:w="9213" w:type="dxa"/>
          </w:tcPr>
          <w:p w14:paraId="259444EF" w14:textId="02CC7CC4" w:rsidR="0074520E" w:rsidRPr="002E4227" w:rsidRDefault="0074520E" w:rsidP="0074520E">
            <w:pPr>
              <w:jc w:val="both"/>
              <w:rPr>
                <w:rFonts w:ascii="Times New Roman" w:hAnsi="Times New Roman" w:cs="Times New Roman"/>
                <w:sz w:val="24"/>
                <w:szCs w:val="24"/>
              </w:rPr>
            </w:pPr>
            <w:r w:rsidRPr="002E4227">
              <w:rPr>
                <w:rFonts w:ascii="Times New Roman" w:hAnsi="Times New Roman" w:cs="Times New Roman"/>
                <w:sz w:val="24"/>
                <w:szCs w:val="24"/>
              </w:rPr>
              <w:t xml:space="preserve">Какой срок </w:t>
            </w:r>
            <w:r>
              <w:rPr>
                <w:rFonts w:ascii="Times New Roman" w:hAnsi="Times New Roman" w:cs="Times New Roman"/>
                <w:sz w:val="24"/>
                <w:szCs w:val="24"/>
              </w:rPr>
              <w:t>Банк России</w:t>
            </w:r>
            <w:r w:rsidRPr="002E4227">
              <w:rPr>
                <w:rFonts w:ascii="Times New Roman" w:hAnsi="Times New Roman" w:cs="Times New Roman"/>
                <w:sz w:val="24"/>
                <w:szCs w:val="24"/>
              </w:rPr>
              <w:t xml:space="preserve"> дает на внедрение методики? </w:t>
            </w:r>
          </w:p>
          <w:p w14:paraId="1F1B466A" w14:textId="77777777" w:rsidR="00977DD7" w:rsidRDefault="00977DD7" w:rsidP="0074520E">
            <w:pPr>
              <w:jc w:val="both"/>
              <w:rPr>
                <w:rFonts w:ascii="Times New Roman" w:hAnsi="Times New Roman" w:cs="Times New Roman"/>
                <w:sz w:val="24"/>
                <w:szCs w:val="24"/>
              </w:rPr>
            </w:pPr>
          </w:p>
          <w:p w14:paraId="6FE40CF5" w14:textId="2185A518" w:rsidR="0074520E" w:rsidRPr="002E4227" w:rsidRDefault="0074520E" w:rsidP="0074520E">
            <w:pPr>
              <w:jc w:val="both"/>
              <w:rPr>
                <w:rFonts w:ascii="Times New Roman" w:hAnsi="Times New Roman" w:cs="Times New Roman"/>
                <w:sz w:val="24"/>
                <w:szCs w:val="24"/>
              </w:rPr>
            </w:pPr>
            <w:r w:rsidRPr="002E4227">
              <w:rPr>
                <w:rFonts w:ascii="Times New Roman" w:hAnsi="Times New Roman" w:cs="Times New Roman"/>
                <w:sz w:val="24"/>
                <w:szCs w:val="24"/>
              </w:rPr>
              <w:t>Когда нужно предоставить первый расчет?</w:t>
            </w:r>
          </w:p>
          <w:p w14:paraId="7C8863AE" w14:textId="77777777" w:rsidR="00977DD7" w:rsidRDefault="00977DD7" w:rsidP="00FA7E02">
            <w:pPr>
              <w:jc w:val="both"/>
              <w:rPr>
                <w:rFonts w:ascii="Times New Roman" w:eastAsia="Times New Roman" w:hAnsi="Times New Roman" w:cs="Times New Roman"/>
                <w:sz w:val="24"/>
                <w:szCs w:val="24"/>
              </w:rPr>
            </w:pPr>
          </w:p>
          <w:p w14:paraId="43E85871" w14:textId="746908ED" w:rsidR="0074520E" w:rsidRPr="00FA7E02" w:rsidRDefault="00FA7E02" w:rsidP="00FA7E02">
            <w:pPr>
              <w:jc w:val="both"/>
              <w:rPr>
                <w:rFonts w:ascii="Times New Roman" w:eastAsia="Times New Roman" w:hAnsi="Times New Roman" w:cs="Times New Roman"/>
                <w:sz w:val="24"/>
                <w:szCs w:val="24"/>
              </w:rPr>
            </w:pPr>
            <w:r w:rsidRPr="002E4227">
              <w:rPr>
                <w:rFonts w:ascii="Times New Roman" w:eastAsia="Times New Roman" w:hAnsi="Times New Roman" w:cs="Times New Roman"/>
                <w:sz w:val="24"/>
                <w:szCs w:val="24"/>
              </w:rPr>
              <w:t>В какие сроки и в какой форме кредитные организации и Группы должны будут начать раскрывать информацию о показателях процентного риска?</w:t>
            </w:r>
          </w:p>
        </w:tc>
        <w:tc>
          <w:tcPr>
            <w:tcW w:w="4359" w:type="dxa"/>
          </w:tcPr>
          <w:p w14:paraId="4395B114" w14:textId="351D3812" w:rsidR="0074520E" w:rsidRPr="002E4227" w:rsidRDefault="0074520E" w:rsidP="0074520E">
            <w:pPr>
              <w:jc w:val="both"/>
              <w:rPr>
                <w:rFonts w:ascii="Times New Roman" w:hAnsi="Times New Roman" w:cs="Times New Roman"/>
                <w:sz w:val="24"/>
                <w:szCs w:val="24"/>
              </w:rPr>
            </w:pPr>
          </w:p>
        </w:tc>
      </w:tr>
      <w:tr w:rsidR="0074520E" w14:paraId="7B278CEF" w14:textId="77777777" w:rsidTr="00D717FA">
        <w:tc>
          <w:tcPr>
            <w:tcW w:w="988" w:type="dxa"/>
          </w:tcPr>
          <w:p w14:paraId="3BB03372" w14:textId="77777777" w:rsidR="0074520E" w:rsidRPr="00D717FA" w:rsidRDefault="0074520E" w:rsidP="00D717FA">
            <w:pPr>
              <w:pStyle w:val="a4"/>
              <w:numPr>
                <w:ilvl w:val="0"/>
                <w:numId w:val="5"/>
              </w:numPr>
              <w:rPr>
                <w:rFonts w:ascii="Times New Roman" w:hAnsi="Times New Roman" w:cs="Times New Roman"/>
                <w:sz w:val="24"/>
                <w:szCs w:val="24"/>
              </w:rPr>
            </w:pPr>
          </w:p>
        </w:tc>
        <w:tc>
          <w:tcPr>
            <w:tcW w:w="9213" w:type="dxa"/>
          </w:tcPr>
          <w:p w14:paraId="36712ABC" w14:textId="70E5A5F9" w:rsidR="0074520E" w:rsidRPr="002E4227" w:rsidRDefault="0074520E" w:rsidP="0074520E">
            <w:pPr>
              <w:jc w:val="both"/>
              <w:rPr>
                <w:rFonts w:ascii="Times New Roman" w:hAnsi="Times New Roman" w:cs="Times New Roman"/>
                <w:sz w:val="24"/>
                <w:szCs w:val="24"/>
              </w:rPr>
            </w:pPr>
            <w:r w:rsidRPr="002E4227">
              <w:rPr>
                <w:rFonts w:ascii="Times New Roman" w:hAnsi="Times New Roman" w:cs="Times New Roman"/>
                <w:sz w:val="24"/>
                <w:szCs w:val="24"/>
              </w:rPr>
              <w:t xml:space="preserve">Просим уточнить планируемый Банком России срок перевода </w:t>
            </w:r>
            <w:r w:rsidR="00FA7E02">
              <w:rPr>
                <w:rFonts w:ascii="Times New Roman" w:hAnsi="Times New Roman" w:cs="Times New Roman"/>
                <w:sz w:val="24"/>
                <w:szCs w:val="24"/>
              </w:rPr>
              <w:t xml:space="preserve">Методических рекомендаций </w:t>
            </w:r>
            <w:r w:rsidRPr="002E4227">
              <w:rPr>
                <w:rFonts w:ascii="Times New Roman" w:hAnsi="Times New Roman" w:cs="Times New Roman"/>
                <w:sz w:val="24"/>
                <w:szCs w:val="24"/>
              </w:rPr>
              <w:t>8-МР из разряда рекомендаций в разряд обязательных требований.</w:t>
            </w:r>
            <w:r w:rsidRPr="002E4227">
              <w:rPr>
                <w:rFonts w:ascii="Times New Roman" w:hAnsi="Times New Roman" w:cs="Times New Roman"/>
                <w:sz w:val="24"/>
                <w:szCs w:val="24"/>
              </w:rPr>
              <w:tab/>
            </w:r>
          </w:p>
          <w:p w14:paraId="30ECF60F" w14:textId="77777777" w:rsidR="0074520E" w:rsidRPr="002E4227" w:rsidRDefault="0074520E" w:rsidP="0074520E">
            <w:pPr>
              <w:jc w:val="both"/>
              <w:rPr>
                <w:rFonts w:ascii="Times New Roman" w:hAnsi="Times New Roman" w:cs="Times New Roman"/>
                <w:sz w:val="24"/>
                <w:szCs w:val="24"/>
              </w:rPr>
            </w:pPr>
          </w:p>
          <w:p w14:paraId="49E9D2CC" w14:textId="571290C0" w:rsidR="0074520E" w:rsidRPr="002E4227" w:rsidRDefault="0074520E" w:rsidP="0074520E">
            <w:pPr>
              <w:jc w:val="both"/>
              <w:rPr>
                <w:rFonts w:ascii="Times New Roman" w:hAnsi="Times New Roman" w:cs="Times New Roman"/>
                <w:sz w:val="24"/>
                <w:szCs w:val="24"/>
              </w:rPr>
            </w:pPr>
            <w:r w:rsidRPr="002E4227">
              <w:rPr>
                <w:rFonts w:ascii="Times New Roman" w:hAnsi="Times New Roman" w:cs="Times New Roman"/>
                <w:sz w:val="24"/>
                <w:szCs w:val="24"/>
              </w:rPr>
              <w:t xml:space="preserve">Какие ориентировочные сроки перевод показателей </w:t>
            </w:r>
            <w:proofErr w:type="gramStart"/>
            <w:r w:rsidRPr="002E4227">
              <w:rPr>
                <w:rFonts w:ascii="Times New Roman" w:hAnsi="Times New Roman" w:cs="Times New Roman"/>
                <w:sz w:val="24"/>
                <w:szCs w:val="24"/>
              </w:rPr>
              <w:t>в статуса</w:t>
            </w:r>
            <w:proofErr w:type="gramEnd"/>
            <w:r w:rsidRPr="002E4227">
              <w:rPr>
                <w:rFonts w:ascii="Times New Roman" w:hAnsi="Times New Roman" w:cs="Times New Roman"/>
                <w:sz w:val="24"/>
                <w:szCs w:val="24"/>
              </w:rPr>
              <w:t xml:space="preserve"> обязательных требований? </w:t>
            </w:r>
          </w:p>
          <w:p w14:paraId="71B27A72" w14:textId="46B40672" w:rsidR="0074520E" w:rsidRPr="002E4227" w:rsidRDefault="0074520E" w:rsidP="0074520E">
            <w:pPr>
              <w:jc w:val="both"/>
              <w:rPr>
                <w:rFonts w:ascii="Times New Roman" w:hAnsi="Times New Roman" w:cs="Times New Roman"/>
                <w:sz w:val="24"/>
                <w:szCs w:val="24"/>
              </w:rPr>
            </w:pPr>
          </w:p>
        </w:tc>
        <w:tc>
          <w:tcPr>
            <w:tcW w:w="4359" w:type="dxa"/>
          </w:tcPr>
          <w:p w14:paraId="6710660A" w14:textId="3CFCD2B2" w:rsidR="0074520E" w:rsidRPr="002E4227" w:rsidRDefault="0074520E" w:rsidP="00FA7E02">
            <w:pPr>
              <w:jc w:val="both"/>
              <w:rPr>
                <w:rFonts w:ascii="Times New Roman" w:hAnsi="Times New Roman" w:cs="Times New Roman"/>
                <w:sz w:val="24"/>
                <w:szCs w:val="24"/>
              </w:rPr>
            </w:pPr>
            <w:r w:rsidRPr="002E4227">
              <w:rPr>
                <w:rFonts w:ascii="Times New Roman" w:hAnsi="Times New Roman" w:cs="Times New Roman"/>
                <w:sz w:val="24"/>
                <w:szCs w:val="24"/>
              </w:rPr>
              <w:t>От этого в критической степени зависит приоритет внутреннего проекта по автоматизации и внедрению данных рекомендаций в регулярные расчеты по процентному риску, в том числе приоритет выделения ресурсов IT.</w:t>
            </w:r>
          </w:p>
        </w:tc>
      </w:tr>
      <w:tr w:rsidR="0074520E" w14:paraId="72D86C99" w14:textId="77777777" w:rsidTr="00D717FA">
        <w:tc>
          <w:tcPr>
            <w:tcW w:w="988" w:type="dxa"/>
          </w:tcPr>
          <w:p w14:paraId="6CF2B848" w14:textId="77777777" w:rsidR="0074520E" w:rsidRPr="00D717FA" w:rsidRDefault="0074520E" w:rsidP="00D717FA">
            <w:pPr>
              <w:pStyle w:val="a4"/>
              <w:numPr>
                <w:ilvl w:val="0"/>
                <w:numId w:val="5"/>
              </w:numPr>
              <w:rPr>
                <w:rFonts w:ascii="Times New Roman" w:hAnsi="Times New Roman" w:cs="Times New Roman"/>
                <w:sz w:val="24"/>
                <w:szCs w:val="24"/>
              </w:rPr>
            </w:pPr>
          </w:p>
        </w:tc>
        <w:tc>
          <w:tcPr>
            <w:tcW w:w="9213" w:type="dxa"/>
          </w:tcPr>
          <w:p w14:paraId="36949BC4" w14:textId="1FF5EC94" w:rsidR="0074520E" w:rsidRPr="002E4227" w:rsidRDefault="0074520E" w:rsidP="0074520E">
            <w:pPr>
              <w:jc w:val="both"/>
              <w:rPr>
                <w:rFonts w:ascii="Times New Roman" w:hAnsi="Times New Roman" w:cs="Times New Roman"/>
                <w:sz w:val="24"/>
                <w:szCs w:val="24"/>
              </w:rPr>
            </w:pPr>
            <w:r w:rsidRPr="002E4227">
              <w:rPr>
                <w:rFonts w:ascii="Times New Roman" w:hAnsi="Times New Roman" w:cs="Times New Roman"/>
                <w:sz w:val="24"/>
                <w:szCs w:val="24"/>
              </w:rPr>
              <w:t>В связи с переносом введения документа по процентному риску, изменения также вводить не стали. Планируются ли данные изменения сейчас?</w:t>
            </w:r>
          </w:p>
        </w:tc>
        <w:tc>
          <w:tcPr>
            <w:tcW w:w="4359" w:type="dxa"/>
          </w:tcPr>
          <w:p w14:paraId="7E28808C" w14:textId="3881AB7B" w:rsidR="0074520E" w:rsidRPr="002E4227" w:rsidRDefault="00FA7E02" w:rsidP="0074520E">
            <w:pPr>
              <w:jc w:val="both"/>
              <w:rPr>
                <w:rFonts w:ascii="Times New Roman" w:hAnsi="Times New Roman" w:cs="Times New Roman"/>
                <w:sz w:val="24"/>
                <w:szCs w:val="24"/>
              </w:rPr>
            </w:pPr>
            <w:r w:rsidRPr="002E4227">
              <w:rPr>
                <w:rFonts w:ascii="Times New Roman" w:hAnsi="Times New Roman" w:cs="Times New Roman"/>
                <w:sz w:val="24"/>
                <w:szCs w:val="24"/>
              </w:rPr>
              <w:t xml:space="preserve">В 2018 году </w:t>
            </w:r>
            <w:r>
              <w:rPr>
                <w:rFonts w:ascii="Times New Roman" w:hAnsi="Times New Roman" w:cs="Times New Roman"/>
                <w:sz w:val="24"/>
                <w:szCs w:val="24"/>
              </w:rPr>
              <w:t>Банк России</w:t>
            </w:r>
            <w:r w:rsidRPr="002E4227">
              <w:rPr>
                <w:rFonts w:ascii="Times New Roman" w:hAnsi="Times New Roman" w:cs="Times New Roman"/>
                <w:sz w:val="24"/>
                <w:szCs w:val="24"/>
              </w:rPr>
              <w:t xml:space="preserve"> публиковал ожидаемые изменения к </w:t>
            </w:r>
            <w:r>
              <w:rPr>
                <w:rFonts w:ascii="Times New Roman" w:hAnsi="Times New Roman" w:cs="Times New Roman"/>
                <w:sz w:val="24"/>
                <w:szCs w:val="24"/>
              </w:rPr>
              <w:t xml:space="preserve">Указанию </w:t>
            </w:r>
            <w:r w:rsidRPr="002E4227">
              <w:rPr>
                <w:rFonts w:ascii="Times New Roman" w:hAnsi="Times New Roman" w:cs="Times New Roman"/>
                <w:sz w:val="24"/>
                <w:szCs w:val="24"/>
              </w:rPr>
              <w:t xml:space="preserve">3624-У касательно </w:t>
            </w:r>
            <w:r>
              <w:rPr>
                <w:rFonts w:ascii="Times New Roman" w:hAnsi="Times New Roman" w:cs="Times New Roman"/>
                <w:sz w:val="24"/>
                <w:szCs w:val="24"/>
              </w:rPr>
              <w:t>м</w:t>
            </w:r>
            <w:r w:rsidRPr="002E4227">
              <w:rPr>
                <w:rFonts w:ascii="Times New Roman" w:hAnsi="Times New Roman" w:cs="Times New Roman"/>
                <w:sz w:val="24"/>
                <w:szCs w:val="24"/>
              </w:rPr>
              <w:t>етодических рекомендаций о ПРБП, в которых были описаны изменения в отчете о процентном риске. </w:t>
            </w:r>
          </w:p>
        </w:tc>
      </w:tr>
      <w:tr w:rsidR="0074520E" w14:paraId="0712DAEE" w14:textId="77777777" w:rsidTr="00D717FA">
        <w:tc>
          <w:tcPr>
            <w:tcW w:w="988" w:type="dxa"/>
          </w:tcPr>
          <w:p w14:paraId="07225CF5" w14:textId="77777777" w:rsidR="0074520E" w:rsidRPr="00D717FA" w:rsidRDefault="0074520E" w:rsidP="00D717FA">
            <w:pPr>
              <w:pStyle w:val="a4"/>
              <w:numPr>
                <w:ilvl w:val="0"/>
                <w:numId w:val="5"/>
              </w:numPr>
              <w:rPr>
                <w:rFonts w:ascii="Times New Roman" w:hAnsi="Times New Roman" w:cs="Times New Roman"/>
                <w:sz w:val="24"/>
                <w:szCs w:val="24"/>
              </w:rPr>
            </w:pPr>
          </w:p>
        </w:tc>
        <w:tc>
          <w:tcPr>
            <w:tcW w:w="9213" w:type="dxa"/>
          </w:tcPr>
          <w:p w14:paraId="3F99CFE5" w14:textId="33EC30B8" w:rsidR="0074520E" w:rsidRPr="002E4227" w:rsidRDefault="0074520E" w:rsidP="0074520E">
            <w:pPr>
              <w:jc w:val="both"/>
              <w:rPr>
                <w:rFonts w:ascii="Times New Roman" w:eastAsia="Times New Roman" w:hAnsi="Times New Roman" w:cs="Times New Roman"/>
                <w:sz w:val="24"/>
                <w:szCs w:val="24"/>
              </w:rPr>
            </w:pPr>
            <w:r w:rsidRPr="002E4227">
              <w:rPr>
                <w:rFonts w:ascii="Times New Roman" w:eastAsia="Times New Roman" w:hAnsi="Times New Roman" w:cs="Times New Roman"/>
                <w:sz w:val="24"/>
                <w:szCs w:val="24"/>
              </w:rPr>
              <w:t>Какое дополнительное раскрытие требуется в случае, если показатели ЧПД и ЭСК окажутся выше допустимых?</w:t>
            </w:r>
          </w:p>
          <w:p w14:paraId="0715DFD5" w14:textId="77777777" w:rsidR="0074520E" w:rsidRPr="002E4227" w:rsidRDefault="0074520E" w:rsidP="0074520E">
            <w:pPr>
              <w:jc w:val="both"/>
              <w:rPr>
                <w:rFonts w:ascii="Times New Roman" w:eastAsia="Times New Roman" w:hAnsi="Times New Roman" w:cs="Times New Roman"/>
                <w:sz w:val="24"/>
                <w:szCs w:val="24"/>
              </w:rPr>
            </w:pPr>
          </w:p>
          <w:p w14:paraId="4C54C9D1" w14:textId="52AEEECE" w:rsidR="0074520E" w:rsidRPr="00A40B6D" w:rsidRDefault="0074520E" w:rsidP="0074520E">
            <w:pPr>
              <w:jc w:val="both"/>
              <w:rPr>
                <w:rFonts w:ascii="Times New Roman" w:eastAsia="Times New Roman" w:hAnsi="Times New Roman" w:cs="Times New Roman"/>
                <w:sz w:val="24"/>
                <w:szCs w:val="24"/>
              </w:rPr>
            </w:pPr>
            <w:r w:rsidRPr="002E4227">
              <w:rPr>
                <w:rFonts w:ascii="Times New Roman" w:eastAsia="Times New Roman" w:hAnsi="Times New Roman" w:cs="Times New Roman"/>
                <w:sz w:val="24"/>
                <w:szCs w:val="24"/>
              </w:rPr>
              <w:lastRenderedPageBreak/>
              <w:t>К каким регуляторным последствиям может привести превышение установленных уровней ЧПД и ЭСК при использовании методологии, описанной в Методических рекомендациях</w:t>
            </w:r>
            <w:r w:rsidR="00FA7E02">
              <w:rPr>
                <w:rFonts w:ascii="Times New Roman" w:eastAsia="Times New Roman" w:hAnsi="Times New Roman" w:cs="Times New Roman"/>
                <w:sz w:val="24"/>
                <w:szCs w:val="24"/>
              </w:rPr>
              <w:t xml:space="preserve"> 8</w:t>
            </w:r>
            <w:r w:rsidR="00977DD7">
              <w:rPr>
                <w:rFonts w:ascii="Times New Roman" w:eastAsia="Times New Roman" w:hAnsi="Times New Roman" w:cs="Times New Roman"/>
                <w:sz w:val="24"/>
                <w:szCs w:val="24"/>
              </w:rPr>
              <w:t>-</w:t>
            </w:r>
            <w:r w:rsidR="00FA7E02">
              <w:rPr>
                <w:rFonts w:ascii="Times New Roman" w:eastAsia="Times New Roman" w:hAnsi="Times New Roman" w:cs="Times New Roman"/>
                <w:sz w:val="24"/>
                <w:szCs w:val="24"/>
              </w:rPr>
              <w:t>МР</w:t>
            </w:r>
            <w:r w:rsidRPr="002E4227">
              <w:rPr>
                <w:rFonts w:ascii="Times New Roman" w:eastAsia="Times New Roman" w:hAnsi="Times New Roman" w:cs="Times New Roman"/>
                <w:sz w:val="24"/>
                <w:szCs w:val="24"/>
              </w:rPr>
              <w:t>, а также при использовании внутренних методологий кредитной организации?</w:t>
            </w:r>
          </w:p>
        </w:tc>
        <w:tc>
          <w:tcPr>
            <w:tcW w:w="4359" w:type="dxa"/>
          </w:tcPr>
          <w:p w14:paraId="6BCF3436" w14:textId="7DE30640" w:rsidR="0074520E" w:rsidRPr="002E4227" w:rsidRDefault="0074520E" w:rsidP="0074520E">
            <w:pPr>
              <w:jc w:val="both"/>
              <w:rPr>
                <w:rFonts w:ascii="Times New Roman" w:hAnsi="Times New Roman" w:cs="Times New Roman"/>
                <w:sz w:val="24"/>
                <w:szCs w:val="24"/>
              </w:rPr>
            </w:pPr>
          </w:p>
        </w:tc>
      </w:tr>
      <w:tr w:rsidR="0074520E" w14:paraId="2E82C83A" w14:textId="77777777" w:rsidTr="00D717FA">
        <w:tc>
          <w:tcPr>
            <w:tcW w:w="988" w:type="dxa"/>
          </w:tcPr>
          <w:p w14:paraId="655CFCEF" w14:textId="77777777" w:rsidR="0074520E" w:rsidRPr="00D717FA" w:rsidRDefault="0074520E" w:rsidP="00D717FA">
            <w:pPr>
              <w:pStyle w:val="a4"/>
              <w:numPr>
                <w:ilvl w:val="0"/>
                <w:numId w:val="5"/>
              </w:numPr>
              <w:rPr>
                <w:rFonts w:ascii="Times New Roman" w:hAnsi="Times New Roman" w:cs="Times New Roman"/>
                <w:sz w:val="24"/>
                <w:szCs w:val="24"/>
              </w:rPr>
            </w:pPr>
          </w:p>
        </w:tc>
        <w:tc>
          <w:tcPr>
            <w:tcW w:w="9213" w:type="dxa"/>
          </w:tcPr>
          <w:p w14:paraId="173E50EA" w14:textId="77777777" w:rsidR="00977DD7" w:rsidRPr="00046D7A" w:rsidRDefault="00977DD7" w:rsidP="00977DD7">
            <w:pPr>
              <w:jc w:val="both"/>
              <w:rPr>
                <w:rFonts w:ascii="Times New Roman" w:eastAsia="Times New Roman" w:hAnsi="Times New Roman" w:cs="Times New Roman"/>
                <w:sz w:val="24"/>
                <w:szCs w:val="24"/>
              </w:rPr>
            </w:pPr>
            <w:r w:rsidRPr="00046D7A">
              <w:rPr>
                <w:rFonts w:ascii="Times New Roman" w:eastAsia="Times New Roman" w:hAnsi="Times New Roman" w:cs="Times New Roman"/>
                <w:sz w:val="24"/>
                <w:szCs w:val="24"/>
              </w:rPr>
              <w:t>Нужно ли в связи с выпуском Методических рекомендаций раскрывать информацию по форме 0409127к?</w:t>
            </w:r>
          </w:p>
          <w:p w14:paraId="3A531CD3" w14:textId="77777777" w:rsidR="00977DD7" w:rsidRDefault="00977DD7" w:rsidP="0074520E">
            <w:pPr>
              <w:pStyle w:val="a4"/>
              <w:ind w:left="0"/>
              <w:jc w:val="both"/>
              <w:rPr>
                <w:rFonts w:ascii="Times New Roman" w:hAnsi="Times New Roman" w:cs="Times New Roman"/>
                <w:sz w:val="24"/>
                <w:szCs w:val="24"/>
              </w:rPr>
            </w:pPr>
          </w:p>
          <w:p w14:paraId="72A69475" w14:textId="7564E286" w:rsidR="0074520E" w:rsidRDefault="0074520E" w:rsidP="0074520E">
            <w:pPr>
              <w:pStyle w:val="a4"/>
              <w:ind w:left="0"/>
              <w:jc w:val="both"/>
              <w:rPr>
                <w:rFonts w:ascii="Times New Roman" w:hAnsi="Times New Roman" w:cs="Times New Roman"/>
                <w:sz w:val="24"/>
                <w:szCs w:val="24"/>
              </w:rPr>
            </w:pPr>
            <w:r w:rsidRPr="00046D7A">
              <w:rPr>
                <w:rFonts w:ascii="Times New Roman" w:hAnsi="Times New Roman" w:cs="Times New Roman"/>
                <w:sz w:val="24"/>
                <w:szCs w:val="24"/>
              </w:rPr>
              <w:t>В случае перевода в разряд обязательных требований, заменит ли данная отчетность форму 0409127 по процентному риску? Планирует ли Банк России собирать (как минимум) с системно-значимых банков какую-либо отчетность в соответствии с 8-МР в период их действия в статусе рекомендаций? Если да, начиная с какого отчетного периода?</w:t>
            </w:r>
          </w:p>
          <w:p w14:paraId="64FCF85D" w14:textId="77777777" w:rsidR="0074520E" w:rsidRDefault="0074520E" w:rsidP="0074520E">
            <w:pPr>
              <w:pStyle w:val="a4"/>
              <w:ind w:left="0"/>
              <w:jc w:val="both"/>
              <w:rPr>
                <w:rFonts w:ascii="Times New Roman" w:hAnsi="Times New Roman" w:cs="Times New Roman"/>
                <w:sz w:val="24"/>
                <w:szCs w:val="24"/>
              </w:rPr>
            </w:pPr>
          </w:p>
          <w:p w14:paraId="3B60522A" w14:textId="7B9A2EA9" w:rsidR="0074520E" w:rsidRPr="007151AD" w:rsidRDefault="0074520E" w:rsidP="0074520E">
            <w:pPr>
              <w:pStyle w:val="a4"/>
              <w:ind w:left="0"/>
              <w:jc w:val="both"/>
              <w:rPr>
                <w:rFonts w:ascii="Times New Roman" w:hAnsi="Times New Roman" w:cs="Times New Roman"/>
                <w:sz w:val="24"/>
                <w:szCs w:val="24"/>
              </w:rPr>
            </w:pPr>
            <w:r w:rsidRPr="00046D7A">
              <w:rPr>
                <w:rFonts w:ascii="Times New Roman" w:hAnsi="Times New Roman" w:cs="Times New Roman"/>
                <w:sz w:val="24"/>
                <w:szCs w:val="24"/>
              </w:rPr>
              <w:t xml:space="preserve">Возможно ли со стороны Банка России предоставить прототип отчетной формы (по аналогии с формой 0409127), посредством которой планируется собирать информацию в соответствии с 8-МР? </w:t>
            </w:r>
          </w:p>
        </w:tc>
        <w:tc>
          <w:tcPr>
            <w:tcW w:w="4359" w:type="dxa"/>
          </w:tcPr>
          <w:p w14:paraId="0290A31D" w14:textId="77777777" w:rsidR="0074520E" w:rsidRPr="00046D7A" w:rsidRDefault="0074520E" w:rsidP="0074520E">
            <w:pPr>
              <w:pStyle w:val="a4"/>
              <w:ind w:left="0"/>
              <w:jc w:val="both"/>
              <w:rPr>
                <w:rFonts w:ascii="Times New Roman" w:hAnsi="Times New Roman" w:cs="Times New Roman"/>
                <w:sz w:val="24"/>
                <w:szCs w:val="24"/>
              </w:rPr>
            </w:pPr>
            <w:r w:rsidRPr="00046D7A">
              <w:rPr>
                <w:rFonts w:ascii="Times New Roman" w:hAnsi="Times New Roman" w:cs="Times New Roman"/>
                <w:sz w:val="24"/>
                <w:szCs w:val="24"/>
              </w:rPr>
              <w:t>Это также важно с точки зрения формулирования требований по автоматизации.</w:t>
            </w:r>
          </w:p>
          <w:p w14:paraId="793CD9F7" w14:textId="5B7F56F8" w:rsidR="0074520E" w:rsidRPr="00046D7A" w:rsidRDefault="0074520E" w:rsidP="0074520E">
            <w:pPr>
              <w:jc w:val="both"/>
              <w:rPr>
                <w:rFonts w:ascii="Times New Roman" w:hAnsi="Times New Roman" w:cs="Times New Roman"/>
                <w:sz w:val="24"/>
                <w:szCs w:val="24"/>
              </w:rPr>
            </w:pPr>
            <w:r w:rsidRPr="00046D7A">
              <w:rPr>
                <w:rFonts w:ascii="Times New Roman" w:hAnsi="Times New Roman" w:cs="Times New Roman"/>
                <w:sz w:val="24"/>
                <w:szCs w:val="24"/>
              </w:rPr>
              <w:t>Открытие</w:t>
            </w:r>
          </w:p>
        </w:tc>
      </w:tr>
      <w:tr w:rsidR="0074520E" w14:paraId="112791CD" w14:textId="77777777" w:rsidTr="00D717FA">
        <w:tc>
          <w:tcPr>
            <w:tcW w:w="988" w:type="dxa"/>
          </w:tcPr>
          <w:p w14:paraId="483084F1" w14:textId="77777777" w:rsidR="0074520E" w:rsidRPr="00D717FA" w:rsidRDefault="0074520E" w:rsidP="00D717FA">
            <w:pPr>
              <w:pStyle w:val="a4"/>
              <w:numPr>
                <w:ilvl w:val="0"/>
                <w:numId w:val="5"/>
              </w:numPr>
              <w:rPr>
                <w:rFonts w:ascii="Times New Roman" w:hAnsi="Times New Roman" w:cs="Times New Roman"/>
                <w:sz w:val="24"/>
                <w:szCs w:val="24"/>
              </w:rPr>
            </w:pPr>
          </w:p>
        </w:tc>
        <w:tc>
          <w:tcPr>
            <w:tcW w:w="9213" w:type="dxa"/>
          </w:tcPr>
          <w:p w14:paraId="761A4AA6" w14:textId="1C1F40BC" w:rsidR="0074520E" w:rsidRPr="00A40B6D" w:rsidRDefault="0074520E" w:rsidP="00A40B6D">
            <w:pPr>
              <w:pStyle w:val="a4"/>
              <w:ind w:left="0"/>
              <w:jc w:val="both"/>
              <w:rPr>
                <w:rFonts w:ascii="Times New Roman" w:hAnsi="Times New Roman" w:cs="Times New Roman"/>
                <w:sz w:val="24"/>
                <w:szCs w:val="24"/>
              </w:rPr>
            </w:pPr>
            <w:r w:rsidRPr="00A40B6D">
              <w:rPr>
                <w:rFonts w:ascii="Times New Roman" w:hAnsi="Times New Roman" w:cs="Times New Roman"/>
                <w:sz w:val="24"/>
                <w:szCs w:val="24"/>
              </w:rPr>
              <w:t>Просим разъяснить мнение Банка России в отношении ситуации, когда прибыль банка до налогообложения может быть невелика из-за крупных потерь в результате реализации кредитного риска (создания резервов), либо высоких расходов / инвестиций в отчетном периоде. В этом случае ПРБП как относительная величина будет иметь высокое значение, но по причинам, не связанным с уровнем процентного риска. Не является ли более логически корректным оценивать ПРБП как отношение хотя бы к прибыли до резервов, либо как отношение только к ЧПД (за двенадцать календарных месяцев, предшествующих дате расчета), либо как отношение к капиталу?</w:t>
            </w:r>
          </w:p>
          <w:p w14:paraId="121306E0" w14:textId="77777777" w:rsidR="0074520E" w:rsidRPr="00A40B6D" w:rsidRDefault="0074520E" w:rsidP="00A40B6D">
            <w:pPr>
              <w:pStyle w:val="a4"/>
              <w:ind w:left="0"/>
              <w:jc w:val="both"/>
              <w:rPr>
                <w:rFonts w:ascii="Times New Roman" w:hAnsi="Times New Roman" w:cs="Times New Roman"/>
                <w:sz w:val="24"/>
                <w:szCs w:val="24"/>
              </w:rPr>
            </w:pPr>
          </w:p>
          <w:p w14:paraId="3C3498AF" w14:textId="38759647" w:rsidR="0074520E" w:rsidRPr="00A40B6D" w:rsidRDefault="0074520E" w:rsidP="00A40B6D">
            <w:pPr>
              <w:pStyle w:val="a4"/>
              <w:ind w:left="0"/>
              <w:jc w:val="both"/>
              <w:rPr>
                <w:rFonts w:ascii="Times New Roman" w:hAnsi="Times New Roman" w:cs="Times New Roman"/>
                <w:sz w:val="24"/>
                <w:szCs w:val="24"/>
              </w:rPr>
            </w:pPr>
            <w:r w:rsidRPr="00A40B6D">
              <w:rPr>
                <w:rFonts w:ascii="Times New Roman" w:hAnsi="Times New Roman" w:cs="Times New Roman"/>
                <w:sz w:val="24"/>
                <w:szCs w:val="24"/>
              </w:rPr>
              <w:t>Просим пояснить математическую методологию расчета показателя дЧПД/Прибыль в случае значения прибыли до налогообложения близкого к нулю или отрицательного.</w:t>
            </w:r>
          </w:p>
          <w:p w14:paraId="4FF26098" w14:textId="77777777" w:rsidR="0074520E" w:rsidRDefault="0074520E" w:rsidP="00A40B6D">
            <w:pPr>
              <w:pStyle w:val="a4"/>
              <w:ind w:left="0"/>
              <w:jc w:val="both"/>
              <w:rPr>
                <w:rFonts w:ascii="Times New Roman" w:hAnsi="Times New Roman" w:cs="Times New Roman"/>
                <w:sz w:val="24"/>
                <w:szCs w:val="24"/>
              </w:rPr>
            </w:pPr>
          </w:p>
          <w:p w14:paraId="0868EE8A" w14:textId="120344F3" w:rsidR="00D35AA3" w:rsidRPr="00D35AA3" w:rsidRDefault="00D35AA3" w:rsidP="00D35AA3">
            <w:pPr>
              <w:jc w:val="both"/>
              <w:rPr>
                <w:rFonts w:ascii="Times New Roman" w:eastAsia="Times New Roman" w:hAnsi="Times New Roman" w:cs="Times New Roman"/>
                <w:sz w:val="24"/>
                <w:szCs w:val="24"/>
              </w:rPr>
            </w:pPr>
            <w:r w:rsidRPr="00D35AA3">
              <w:rPr>
                <w:rFonts w:ascii="Times New Roman" w:eastAsia="Times New Roman" w:hAnsi="Times New Roman" w:cs="Times New Roman"/>
                <w:sz w:val="24"/>
                <w:szCs w:val="24"/>
              </w:rPr>
              <w:t>Согласно п.1.8. Рекомендаций, при расчете IRRBB методами ЭКС и ЧПД необходимо корректировать объемы финансовых инструментов, сгруппированных по принципу однородности, на размер расчетного резерва. Почему нельзя использовать фактически начисленный резерв, который отражает реальную картину? Мы считаем, что в части формирования резервов необходимо оставить действующий в каждой кредитной организации механизм, т.к. величина фактических резервов проходит аудит и поэтому точно отражает корректный уровень резервирования.</w:t>
            </w:r>
          </w:p>
        </w:tc>
        <w:tc>
          <w:tcPr>
            <w:tcW w:w="4359" w:type="dxa"/>
          </w:tcPr>
          <w:p w14:paraId="3C93E792" w14:textId="32A113CC" w:rsidR="0074520E" w:rsidRPr="00A40B6D" w:rsidRDefault="00A40B6D" w:rsidP="00A40B6D">
            <w:pPr>
              <w:pStyle w:val="a4"/>
              <w:ind w:left="0"/>
              <w:jc w:val="both"/>
              <w:rPr>
                <w:rFonts w:ascii="Times New Roman" w:hAnsi="Times New Roman" w:cs="Times New Roman"/>
                <w:sz w:val="24"/>
                <w:szCs w:val="24"/>
              </w:rPr>
            </w:pPr>
            <w:r w:rsidRPr="00A40B6D">
              <w:rPr>
                <w:rFonts w:ascii="Times New Roman" w:hAnsi="Times New Roman" w:cs="Times New Roman"/>
                <w:sz w:val="24"/>
                <w:szCs w:val="24"/>
              </w:rPr>
              <w:t xml:space="preserve">8-МР предлагает рассчитывать величину ПРБП, рассчитанную методом оценки ЧПД, как величину отношения, выраженную в процентах от величины прибыли до налогообложения кредитной организации, рассчитанной за двенадцать календарных месяцев, предшествующих дате расчета величины ПРБП. То есть данная статья прибыли уже включает резервы, и не включает только налоги. </w:t>
            </w:r>
          </w:p>
        </w:tc>
      </w:tr>
      <w:tr w:rsidR="0074520E" w14:paraId="5282CD4F" w14:textId="77777777" w:rsidTr="00D717FA">
        <w:tc>
          <w:tcPr>
            <w:tcW w:w="988" w:type="dxa"/>
          </w:tcPr>
          <w:p w14:paraId="5C92FD2D" w14:textId="77777777" w:rsidR="0074520E" w:rsidRPr="00D717FA" w:rsidRDefault="0074520E" w:rsidP="00D717FA">
            <w:pPr>
              <w:pStyle w:val="a4"/>
              <w:numPr>
                <w:ilvl w:val="0"/>
                <w:numId w:val="5"/>
              </w:numPr>
              <w:rPr>
                <w:rFonts w:ascii="Times New Roman" w:hAnsi="Times New Roman" w:cs="Times New Roman"/>
                <w:sz w:val="24"/>
                <w:szCs w:val="24"/>
              </w:rPr>
            </w:pPr>
          </w:p>
        </w:tc>
        <w:tc>
          <w:tcPr>
            <w:tcW w:w="9213" w:type="dxa"/>
          </w:tcPr>
          <w:p w14:paraId="0E077FFE" w14:textId="0F27F565" w:rsidR="0074520E" w:rsidRPr="00D35AA3" w:rsidRDefault="0074520E" w:rsidP="00D35AA3">
            <w:pPr>
              <w:pStyle w:val="a4"/>
              <w:ind w:left="0"/>
              <w:jc w:val="both"/>
              <w:rPr>
                <w:rFonts w:ascii="Times New Roman" w:hAnsi="Times New Roman" w:cs="Times New Roman"/>
                <w:sz w:val="24"/>
                <w:szCs w:val="24"/>
              </w:rPr>
            </w:pPr>
            <w:r w:rsidRPr="00D35AA3">
              <w:rPr>
                <w:rFonts w:ascii="Times New Roman" w:hAnsi="Times New Roman" w:cs="Times New Roman"/>
                <w:sz w:val="24"/>
                <w:szCs w:val="24"/>
              </w:rPr>
              <w:t>Существует ли методологический взгляд Банка России на уровень величины ПРБП, самостоятельно устанавливаемый кредитной организацией во внутренних документах как отношение к величине прибыли до налогообложения? Какая величина считается существенной / средней / низкой?</w:t>
            </w:r>
          </w:p>
        </w:tc>
        <w:tc>
          <w:tcPr>
            <w:tcW w:w="4359" w:type="dxa"/>
          </w:tcPr>
          <w:p w14:paraId="50C5E22E" w14:textId="2278CB9C" w:rsidR="0074520E" w:rsidRDefault="0074520E" w:rsidP="0074520E">
            <w:pPr>
              <w:pStyle w:val="a4"/>
              <w:ind w:left="0"/>
              <w:jc w:val="both"/>
              <w:rPr>
                <w:rFonts w:ascii="Times New Roman" w:hAnsi="Times New Roman" w:cs="Times New Roman"/>
              </w:rPr>
            </w:pPr>
          </w:p>
        </w:tc>
      </w:tr>
      <w:tr w:rsidR="0074520E" w14:paraId="4DF03967" w14:textId="77777777" w:rsidTr="00D717FA">
        <w:tc>
          <w:tcPr>
            <w:tcW w:w="988" w:type="dxa"/>
          </w:tcPr>
          <w:p w14:paraId="1550A6AF" w14:textId="77777777" w:rsidR="0074520E" w:rsidRPr="00D717FA" w:rsidRDefault="0074520E" w:rsidP="00D717FA">
            <w:pPr>
              <w:pStyle w:val="a4"/>
              <w:numPr>
                <w:ilvl w:val="0"/>
                <w:numId w:val="5"/>
              </w:numPr>
              <w:rPr>
                <w:rFonts w:ascii="Times New Roman" w:hAnsi="Times New Roman" w:cs="Times New Roman"/>
                <w:sz w:val="24"/>
                <w:szCs w:val="24"/>
              </w:rPr>
            </w:pPr>
          </w:p>
        </w:tc>
        <w:tc>
          <w:tcPr>
            <w:tcW w:w="9213" w:type="dxa"/>
          </w:tcPr>
          <w:p w14:paraId="52CDE9D9" w14:textId="1DD1F609" w:rsidR="0074520E" w:rsidRDefault="00D35AA3" w:rsidP="0074520E">
            <w:pPr>
              <w:pStyle w:val="a4"/>
              <w:ind w:left="0"/>
              <w:rPr>
                <w:rFonts w:ascii="Times New Roman" w:hAnsi="Times New Roman" w:cs="Times New Roman"/>
              </w:rPr>
            </w:pPr>
            <w:r>
              <w:rPr>
                <w:rFonts w:ascii="Times New Roman" w:hAnsi="Times New Roman" w:cs="Times New Roman"/>
              </w:rPr>
              <w:t>В</w:t>
            </w:r>
            <w:r w:rsidR="0074520E">
              <w:rPr>
                <w:rFonts w:ascii="Times New Roman" w:hAnsi="Times New Roman" w:cs="Times New Roman"/>
              </w:rPr>
              <w:t>озможно ли отнесение к чувствительным части остатков на корреспондентских счетах (в т.ч. в Банке России) и кассе в части отклонения значения на расчетную дату от среднемесячной величины (величины, необходимой для осуществления деятельности), то есть используя подход превалирования экономической сути статей отчетности над их формальным отражением?</w:t>
            </w:r>
          </w:p>
          <w:p w14:paraId="52174395" w14:textId="77777777" w:rsidR="0074520E" w:rsidRDefault="0074520E" w:rsidP="0074520E">
            <w:pPr>
              <w:pStyle w:val="a4"/>
              <w:ind w:left="0"/>
              <w:rPr>
                <w:rFonts w:ascii="Times New Roman" w:hAnsi="Times New Roman" w:cs="Times New Roman"/>
              </w:rPr>
            </w:pPr>
          </w:p>
        </w:tc>
        <w:tc>
          <w:tcPr>
            <w:tcW w:w="4359" w:type="dxa"/>
          </w:tcPr>
          <w:p w14:paraId="618888AD" w14:textId="1AD8795C" w:rsidR="0074520E" w:rsidRDefault="00D35AA3" w:rsidP="0074520E">
            <w:pPr>
              <w:pStyle w:val="a4"/>
              <w:ind w:left="0"/>
              <w:jc w:val="both"/>
              <w:rPr>
                <w:rFonts w:ascii="Times New Roman" w:hAnsi="Times New Roman" w:cs="Times New Roman"/>
              </w:rPr>
            </w:pPr>
            <w:r>
              <w:rPr>
                <w:rFonts w:ascii="Times New Roman" w:hAnsi="Times New Roman" w:cs="Times New Roman"/>
              </w:rPr>
              <w:t xml:space="preserve">В связи с тем, что расчет показателей процентного риска осуществляется на отчетную дату, может возникнуть ситуация, связанная с особенностями управления ликвидными активами банка, когда фактические значения на корреспондентских счетах (в т.ч. в Банке России) и кассе могут существенно отличаться от средних (необходимых для осуществления деятельности). Учитывая, что расчет процентного риска методом дЧПД чувствителен к изменениям объемов требований и обязательств с коротким сроком, описанные выше особенности управления ликвидной позицией оказывают существенное влияние на показатель дЧПД. </w:t>
            </w:r>
          </w:p>
        </w:tc>
      </w:tr>
      <w:tr w:rsidR="0074520E" w14:paraId="66B392AC" w14:textId="77777777" w:rsidTr="00D717FA">
        <w:tc>
          <w:tcPr>
            <w:tcW w:w="988" w:type="dxa"/>
          </w:tcPr>
          <w:p w14:paraId="4AD1F0F4" w14:textId="77777777" w:rsidR="0074520E" w:rsidRPr="00D717FA" w:rsidRDefault="0074520E" w:rsidP="00D717FA">
            <w:pPr>
              <w:pStyle w:val="a4"/>
              <w:numPr>
                <w:ilvl w:val="0"/>
                <w:numId w:val="5"/>
              </w:numPr>
              <w:rPr>
                <w:rFonts w:ascii="Times New Roman" w:hAnsi="Times New Roman" w:cs="Times New Roman"/>
                <w:sz w:val="24"/>
                <w:szCs w:val="24"/>
              </w:rPr>
            </w:pPr>
          </w:p>
        </w:tc>
        <w:tc>
          <w:tcPr>
            <w:tcW w:w="9213" w:type="dxa"/>
          </w:tcPr>
          <w:p w14:paraId="7315AEEF" w14:textId="58D20295" w:rsidR="0074520E" w:rsidRPr="005949D9" w:rsidRDefault="0074520E" w:rsidP="005949D9">
            <w:pPr>
              <w:pStyle w:val="a4"/>
              <w:ind w:left="0"/>
              <w:jc w:val="both"/>
              <w:rPr>
                <w:rFonts w:ascii="Times New Roman" w:hAnsi="Times New Roman" w:cs="Times New Roman"/>
                <w:sz w:val="24"/>
                <w:szCs w:val="24"/>
              </w:rPr>
            </w:pPr>
            <w:r w:rsidRPr="005949D9">
              <w:rPr>
                <w:rFonts w:ascii="Times New Roman" w:hAnsi="Times New Roman" w:cs="Times New Roman"/>
                <w:sz w:val="24"/>
                <w:szCs w:val="24"/>
              </w:rPr>
              <w:t>Планируется ли изменение параметров сценариев по сдвигам ставок в сторону снижения либо роста в зависимости от текущего уровня ставок. На текущий момент сценарий снижения процентных ставок в евро и долларах на 2% и в рублях на 4% или коротких ставок в рублях на 5% выглядит нереалистично, что дает повод усомниться в прикладном характере всего расчета. Если да, с какой периодичностью Банк России планирует актуализировать сценарии?</w:t>
            </w:r>
          </w:p>
        </w:tc>
        <w:tc>
          <w:tcPr>
            <w:tcW w:w="4359" w:type="dxa"/>
          </w:tcPr>
          <w:p w14:paraId="21E4EF0D" w14:textId="03DBB49F" w:rsidR="0074520E" w:rsidRPr="005949D9" w:rsidRDefault="0074520E" w:rsidP="005949D9">
            <w:pPr>
              <w:pStyle w:val="a4"/>
              <w:ind w:left="0"/>
              <w:jc w:val="both"/>
              <w:rPr>
                <w:rFonts w:ascii="Times New Roman" w:hAnsi="Times New Roman" w:cs="Times New Roman"/>
                <w:sz w:val="24"/>
                <w:szCs w:val="24"/>
              </w:rPr>
            </w:pPr>
          </w:p>
        </w:tc>
      </w:tr>
      <w:tr w:rsidR="0074520E" w14:paraId="7B6B470B" w14:textId="77777777" w:rsidTr="00D717FA">
        <w:tc>
          <w:tcPr>
            <w:tcW w:w="988" w:type="dxa"/>
          </w:tcPr>
          <w:p w14:paraId="5F197D3B" w14:textId="77777777" w:rsidR="0074520E" w:rsidRPr="00D717FA" w:rsidRDefault="0074520E" w:rsidP="00D717FA">
            <w:pPr>
              <w:pStyle w:val="a4"/>
              <w:numPr>
                <w:ilvl w:val="0"/>
                <w:numId w:val="5"/>
              </w:numPr>
              <w:rPr>
                <w:rFonts w:ascii="Times New Roman" w:hAnsi="Times New Roman" w:cs="Times New Roman"/>
                <w:sz w:val="24"/>
                <w:szCs w:val="24"/>
              </w:rPr>
            </w:pPr>
          </w:p>
        </w:tc>
        <w:tc>
          <w:tcPr>
            <w:tcW w:w="9213" w:type="dxa"/>
          </w:tcPr>
          <w:p w14:paraId="6FE6182C" w14:textId="708BF746" w:rsidR="0074520E" w:rsidRPr="005949D9" w:rsidRDefault="0074520E" w:rsidP="005949D9">
            <w:pPr>
              <w:pStyle w:val="a4"/>
              <w:ind w:left="0"/>
              <w:jc w:val="both"/>
              <w:rPr>
                <w:rFonts w:ascii="Times New Roman" w:hAnsi="Times New Roman" w:cs="Times New Roman"/>
                <w:sz w:val="24"/>
                <w:szCs w:val="24"/>
              </w:rPr>
            </w:pPr>
            <w:r w:rsidRPr="005949D9">
              <w:rPr>
                <w:rFonts w:ascii="Times New Roman" w:hAnsi="Times New Roman" w:cs="Times New Roman"/>
                <w:sz w:val="24"/>
                <w:szCs w:val="24"/>
              </w:rPr>
              <w:t>Планирует ли Банк России актуализировать параметры поведенческих моделей, приведенные в 8-МР? Если да, с какой периодичностью либо по какому событию?</w:t>
            </w:r>
          </w:p>
        </w:tc>
        <w:tc>
          <w:tcPr>
            <w:tcW w:w="4359" w:type="dxa"/>
          </w:tcPr>
          <w:p w14:paraId="693A44B8" w14:textId="1EACF954" w:rsidR="0074520E" w:rsidRPr="005949D9" w:rsidRDefault="0074520E" w:rsidP="005949D9">
            <w:pPr>
              <w:pStyle w:val="a4"/>
              <w:ind w:left="0"/>
              <w:jc w:val="both"/>
              <w:rPr>
                <w:rFonts w:ascii="Times New Roman" w:hAnsi="Times New Roman" w:cs="Times New Roman"/>
                <w:sz w:val="24"/>
                <w:szCs w:val="24"/>
              </w:rPr>
            </w:pPr>
          </w:p>
        </w:tc>
      </w:tr>
      <w:tr w:rsidR="0074520E" w14:paraId="36416495" w14:textId="77777777" w:rsidTr="00D717FA">
        <w:tc>
          <w:tcPr>
            <w:tcW w:w="988" w:type="dxa"/>
          </w:tcPr>
          <w:p w14:paraId="0DE0D50A" w14:textId="77777777" w:rsidR="0074520E" w:rsidRPr="00D717FA" w:rsidRDefault="0074520E" w:rsidP="00D717FA">
            <w:pPr>
              <w:pStyle w:val="a4"/>
              <w:numPr>
                <w:ilvl w:val="0"/>
                <w:numId w:val="5"/>
              </w:numPr>
              <w:rPr>
                <w:rFonts w:ascii="Times New Roman" w:hAnsi="Times New Roman" w:cs="Times New Roman"/>
                <w:sz w:val="24"/>
                <w:szCs w:val="24"/>
              </w:rPr>
            </w:pPr>
          </w:p>
        </w:tc>
        <w:tc>
          <w:tcPr>
            <w:tcW w:w="9213" w:type="dxa"/>
          </w:tcPr>
          <w:p w14:paraId="05599B28" w14:textId="103E0CBA" w:rsidR="0074520E" w:rsidRPr="005949D9" w:rsidRDefault="0074520E" w:rsidP="005949D9">
            <w:pPr>
              <w:pStyle w:val="a4"/>
              <w:ind w:left="0"/>
              <w:jc w:val="both"/>
              <w:rPr>
                <w:rFonts w:ascii="Times New Roman" w:hAnsi="Times New Roman" w:cs="Times New Roman"/>
                <w:sz w:val="24"/>
                <w:szCs w:val="24"/>
              </w:rPr>
            </w:pPr>
            <w:r w:rsidRPr="005949D9">
              <w:rPr>
                <w:rFonts w:ascii="Times New Roman" w:hAnsi="Times New Roman" w:cs="Times New Roman"/>
                <w:sz w:val="24"/>
                <w:szCs w:val="24"/>
              </w:rPr>
              <w:t>Стоит ли признавать процентный риск потенциально высоким и вводить дополнительные ограничения на структуру баланса, если негативным для дочерней организации является сценарий снижения ставок, при этом для ГО негативным является сценарий роста ставок? Иными словами, позиции по процентному риску дочерней организации и ГО развернуты в противоположную сторону, т.е. при использовании одинакового сценария изменения ставок результат дочерней организации улучшает результат ГО. Однако при этом, при расчете по отдельности, наихудшим для дочерней организации и ГО является противоположный сценарий.</w:t>
            </w:r>
          </w:p>
        </w:tc>
        <w:tc>
          <w:tcPr>
            <w:tcW w:w="4359" w:type="dxa"/>
          </w:tcPr>
          <w:p w14:paraId="59A1FBB0" w14:textId="6CE5BC84" w:rsidR="0074520E" w:rsidRPr="005949D9" w:rsidRDefault="0074520E" w:rsidP="005949D9">
            <w:pPr>
              <w:pStyle w:val="a4"/>
              <w:ind w:left="0"/>
              <w:jc w:val="both"/>
              <w:rPr>
                <w:rFonts w:ascii="Times New Roman" w:hAnsi="Times New Roman" w:cs="Times New Roman"/>
                <w:sz w:val="24"/>
                <w:szCs w:val="24"/>
              </w:rPr>
            </w:pPr>
          </w:p>
        </w:tc>
      </w:tr>
      <w:tr w:rsidR="0074520E" w14:paraId="20B51B94" w14:textId="77777777" w:rsidTr="00D717FA">
        <w:tc>
          <w:tcPr>
            <w:tcW w:w="988" w:type="dxa"/>
          </w:tcPr>
          <w:p w14:paraId="0F4B81D3" w14:textId="77777777" w:rsidR="0074520E" w:rsidRPr="00D717FA" w:rsidRDefault="0074520E" w:rsidP="00D717FA">
            <w:pPr>
              <w:pStyle w:val="a4"/>
              <w:numPr>
                <w:ilvl w:val="0"/>
                <w:numId w:val="5"/>
              </w:numPr>
              <w:rPr>
                <w:rFonts w:ascii="Times New Roman" w:hAnsi="Times New Roman" w:cs="Times New Roman"/>
                <w:sz w:val="24"/>
                <w:szCs w:val="24"/>
              </w:rPr>
            </w:pPr>
          </w:p>
        </w:tc>
        <w:tc>
          <w:tcPr>
            <w:tcW w:w="9213" w:type="dxa"/>
          </w:tcPr>
          <w:p w14:paraId="5EC04741" w14:textId="684F592A" w:rsidR="0074520E" w:rsidRPr="005949D9" w:rsidRDefault="0074520E" w:rsidP="005949D9">
            <w:pPr>
              <w:pStyle w:val="a4"/>
              <w:ind w:left="0"/>
              <w:jc w:val="both"/>
              <w:rPr>
                <w:rFonts w:ascii="Times New Roman" w:hAnsi="Times New Roman" w:cs="Times New Roman"/>
                <w:sz w:val="24"/>
                <w:szCs w:val="24"/>
              </w:rPr>
            </w:pPr>
            <w:r w:rsidRPr="005949D9">
              <w:rPr>
                <w:rFonts w:ascii="Times New Roman" w:hAnsi="Times New Roman" w:cs="Times New Roman"/>
                <w:sz w:val="24"/>
                <w:szCs w:val="24"/>
              </w:rPr>
              <w:t>Допускается ли при расчете показателя процентного риска Группы осуществлять расчет риска по каждому участнику отдельно с последующим суммированием результатов оценки каждого участника в разрезе применимых сценариев?</w:t>
            </w:r>
          </w:p>
        </w:tc>
        <w:tc>
          <w:tcPr>
            <w:tcW w:w="4359" w:type="dxa"/>
          </w:tcPr>
          <w:p w14:paraId="117A6D05" w14:textId="447E0C37" w:rsidR="0074520E" w:rsidRPr="005949D9" w:rsidRDefault="0074520E" w:rsidP="005949D9">
            <w:pPr>
              <w:jc w:val="both"/>
              <w:rPr>
                <w:rFonts w:ascii="Times New Roman" w:hAnsi="Times New Roman" w:cs="Times New Roman"/>
                <w:sz w:val="24"/>
                <w:szCs w:val="24"/>
              </w:rPr>
            </w:pPr>
          </w:p>
        </w:tc>
      </w:tr>
      <w:tr w:rsidR="0074520E" w14:paraId="7F4069C1" w14:textId="77777777" w:rsidTr="00D717FA">
        <w:tc>
          <w:tcPr>
            <w:tcW w:w="988" w:type="dxa"/>
          </w:tcPr>
          <w:p w14:paraId="5F4556C0" w14:textId="77777777" w:rsidR="0074520E" w:rsidRPr="00D717FA" w:rsidRDefault="0074520E" w:rsidP="00D717FA">
            <w:pPr>
              <w:pStyle w:val="a4"/>
              <w:numPr>
                <w:ilvl w:val="0"/>
                <w:numId w:val="5"/>
              </w:numPr>
              <w:rPr>
                <w:rFonts w:ascii="Times New Roman" w:hAnsi="Times New Roman" w:cs="Times New Roman"/>
                <w:sz w:val="24"/>
                <w:szCs w:val="24"/>
              </w:rPr>
            </w:pPr>
          </w:p>
        </w:tc>
        <w:tc>
          <w:tcPr>
            <w:tcW w:w="9213" w:type="dxa"/>
          </w:tcPr>
          <w:p w14:paraId="02338E00" w14:textId="3661191F" w:rsidR="0074520E" w:rsidRPr="005949D9" w:rsidRDefault="0074520E" w:rsidP="005949D9">
            <w:pPr>
              <w:jc w:val="both"/>
              <w:rPr>
                <w:rFonts w:ascii="Times New Roman" w:hAnsi="Times New Roman" w:cs="Times New Roman"/>
                <w:sz w:val="24"/>
                <w:szCs w:val="24"/>
              </w:rPr>
            </w:pPr>
            <w:r w:rsidRPr="005949D9">
              <w:rPr>
                <w:rFonts w:ascii="Times New Roman" w:hAnsi="Times New Roman" w:cs="Times New Roman"/>
                <w:sz w:val="24"/>
                <w:szCs w:val="24"/>
              </w:rPr>
              <w:t>Предлагаем учесть в Методических рекомендациях, что «</w:t>
            </w:r>
            <w:proofErr w:type="gramStart"/>
            <w:r w:rsidRPr="005949D9">
              <w:rPr>
                <w:rFonts w:ascii="Times New Roman" w:hAnsi="Times New Roman" w:cs="Times New Roman"/>
                <w:sz w:val="24"/>
                <w:szCs w:val="24"/>
              </w:rPr>
              <w:t>Продукты</w:t>
            </w:r>
            <w:proofErr w:type="gramEnd"/>
            <w:r w:rsidRPr="005949D9">
              <w:rPr>
                <w:rFonts w:ascii="Times New Roman" w:hAnsi="Times New Roman" w:cs="Times New Roman"/>
                <w:sz w:val="24"/>
                <w:szCs w:val="24"/>
              </w:rPr>
              <w:t xml:space="preserve"> по которым у клиентов (контрагентов) возникают обоснованные ожидания об изменении величины процентных платежей отражаются в ГЭП отчете по сроку до ближайшего планового изменения ставок в соответствии с методологией Банка.»</w:t>
            </w:r>
          </w:p>
          <w:p w14:paraId="021DF4AC" w14:textId="77777777" w:rsidR="0074520E" w:rsidRPr="005949D9" w:rsidRDefault="0074520E" w:rsidP="005949D9">
            <w:pPr>
              <w:pStyle w:val="a4"/>
              <w:ind w:left="0"/>
              <w:jc w:val="both"/>
              <w:rPr>
                <w:rFonts w:ascii="Times New Roman" w:hAnsi="Times New Roman" w:cs="Times New Roman"/>
                <w:sz w:val="24"/>
                <w:szCs w:val="24"/>
              </w:rPr>
            </w:pPr>
          </w:p>
        </w:tc>
        <w:tc>
          <w:tcPr>
            <w:tcW w:w="4359" w:type="dxa"/>
          </w:tcPr>
          <w:p w14:paraId="524013B2" w14:textId="32A761FD" w:rsidR="0074520E" w:rsidRPr="005949D9" w:rsidRDefault="005949D9" w:rsidP="005949D9">
            <w:pPr>
              <w:jc w:val="both"/>
              <w:rPr>
                <w:rFonts w:ascii="Times New Roman" w:hAnsi="Times New Roman" w:cs="Times New Roman"/>
                <w:sz w:val="24"/>
                <w:szCs w:val="24"/>
              </w:rPr>
            </w:pPr>
            <w:r w:rsidRPr="005949D9">
              <w:rPr>
                <w:rFonts w:ascii="Times New Roman" w:hAnsi="Times New Roman" w:cs="Times New Roman"/>
                <w:sz w:val="24"/>
                <w:szCs w:val="24"/>
              </w:rPr>
              <w:t xml:space="preserve">По некоторым кредитным продуктам для юридических лиц в банке ежеквартально пересматриваются процентные ставки по действующим кредитным договорам. Формально величина пересмотра ставок не привязана к рыночным индикаторам. В результате у клиентов (контрагентов) возникают обоснованные ожидания, что банк будет осуществлять ежеквартальное изменение и дальше. </w:t>
            </w:r>
          </w:p>
        </w:tc>
      </w:tr>
      <w:tr w:rsidR="0074520E" w14:paraId="00091839" w14:textId="77777777" w:rsidTr="00D717FA">
        <w:tc>
          <w:tcPr>
            <w:tcW w:w="988" w:type="dxa"/>
          </w:tcPr>
          <w:p w14:paraId="1A37F7DC" w14:textId="77777777" w:rsidR="0074520E" w:rsidRPr="00D717FA" w:rsidRDefault="0074520E" w:rsidP="00D717FA">
            <w:pPr>
              <w:pStyle w:val="a4"/>
              <w:numPr>
                <w:ilvl w:val="0"/>
                <w:numId w:val="5"/>
              </w:numPr>
              <w:rPr>
                <w:rFonts w:ascii="Times New Roman" w:hAnsi="Times New Roman" w:cs="Times New Roman"/>
                <w:sz w:val="24"/>
                <w:szCs w:val="24"/>
              </w:rPr>
            </w:pPr>
          </w:p>
        </w:tc>
        <w:tc>
          <w:tcPr>
            <w:tcW w:w="9213" w:type="dxa"/>
          </w:tcPr>
          <w:p w14:paraId="3D210FA7" w14:textId="77777777" w:rsidR="003E4166" w:rsidRPr="003E4166" w:rsidRDefault="0074520E" w:rsidP="003E4166">
            <w:pPr>
              <w:jc w:val="both"/>
              <w:rPr>
                <w:rFonts w:ascii="Times New Roman" w:hAnsi="Times New Roman" w:cs="Times New Roman"/>
                <w:sz w:val="24"/>
                <w:szCs w:val="24"/>
              </w:rPr>
            </w:pPr>
            <w:r w:rsidRPr="003E4166">
              <w:rPr>
                <w:rFonts w:ascii="Times New Roman" w:hAnsi="Times New Roman" w:cs="Times New Roman"/>
                <w:sz w:val="24"/>
                <w:szCs w:val="24"/>
              </w:rPr>
              <w:t xml:space="preserve">По мнению </w:t>
            </w:r>
            <w:r w:rsidR="003E4166" w:rsidRPr="003E4166">
              <w:rPr>
                <w:rFonts w:ascii="Times New Roman" w:hAnsi="Times New Roman" w:cs="Times New Roman"/>
                <w:sz w:val="24"/>
                <w:szCs w:val="24"/>
              </w:rPr>
              <w:t>б</w:t>
            </w:r>
            <w:r w:rsidRPr="003E4166">
              <w:rPr>
                <w:rFonts w:ascii="Times New Roman" w:hAnsi="Times New Roman" w:cs="Times New Roman"/>
                <w:sz w:val="24"/>
                <w:szCs w:val="24"/>
              </w:rPr>
              <w:t xml:space="preserve">анка, маржа за кредитный риск не должна участвовать в расчете процентного риска. Таким образом, более правильным будет являться использование одной кривой трансфертных цен для дисконтирования. </w:t>
            </w:r>
          </w:p>
          <w:p w14:paraId="08E2B983" w14:textId="77777777" w:rsidR="003E4166" w:rsidRPr="003E4166" w:rsidRDefault="0074520E" w:rsidP="003E4166">
            <w:pPr>
              <w:jc w:val="both"/>
              <w:rPr>
                <w:rFonts w:ascii="Times New Roman" w:hAnsi="Times New Roman" w:cs="Times New Roman"/>
                <w:sz w:val="24"/>
                <w:szCs w:val="24"/>
              </w:rPr>
            </w:pPr>
            <w:r w:rsidRPr="003E4166">
              <w:rPr>
                <w:rFonts w:ascii="Times New Roman" w:hAnsi="Times New Roman" w:cs="Times New Roman"/>
                <w:sz w:val="24"/>
                <w:szCs w:val="24"/>
              </w:rPr>
              <w:t xml:space="preserve">Кроме того в </w:t>
            </w:r>
            <w:r w:rsidR="003E4166" w:rsidRPr="003E4166">
              <w:rPr>
                <w:rFonts w:ascii="Times New Roman" w:hAnsi="Times New Roman" w:cs="Times New Roman"/>
                <w:sz w:val="24"/>
                <w:szCs w:val="24"/>
              </w:rPr>
              <w:t>б</w:t>
            </w:r>
            <w:r w:rsidRPr="003E4166">
              <w:rPr>
                <w:rFonts w:ascii="Times New Roman" w:hAnsi="Times New Roman" w:cs="Times New Roman"/>
                <w:sz w:val="24"/>
                <w:szCs w:val="24"/>
              </w:rPr>
              <w:t xml:space="preserve">анках с развитой методологией трансфертного ценообразования, ТЦ раскладывается на компоненты, процентного риска (безрисковая ставка) и </w:t>
            </w:r>
            <w:proofErr w:type="gramStart"/>
            <w:r w:rsidRPr="003E4166">
              <w:rPr>
                <w:rFonts w:ascii="Times New Roman" w:hAnsi="Times New Roman" w:cs="Times New Roman"/>
                <w:sz w:val="24"/>
                <w:szCs w:val="24"/>
              </w:rPr>
              <w:t>ликвидности( маржа</w:t>
            </w:r>
            <w:proofErr w:type="gramEnd"/>
            <w:r w:rsidRPr="003E4166">
              <w:rPr>
                <w:rFonts w:ascii="Times New Roman" w:hAnsi="Times New Roman" w:cs="Times New Roman"/>
                <w:sz w:val="24"/>
                <w:szCs w:val="24"/>
              </w:rPr>
              <w:t xml:space="preserve"> ликвидности, стоимость риска на Банк.) По мнению </w:t>
            </w:r>
            <w:r w:rsidR="003E4166" w:rsidRPr="003E4166">
              <w:rPr>
                <w:rFonts w:ascii="Times New Roman" w:hAnsi="Times New Roman" w:cs="Times New Roman"/>
                <w:sz w:val="24"/>
                <w:szCs w:val="24"/>
              </w:rPr>
              <w:t>б</w:t>
            </w:r>
            <w:r w:rsidRPr="003E4166">
              <w:rPr>
                <w:rFonts w:ascii="Times New Roman" w:hAnsi="Times New Roman" w:cs="Times New Roman"/>
                <w:sz w:val="24"/>
                <w:szCs w:val="24"/>
              </w:rPr>
              <w:t xml:space="preserve">анка компоненты ставки относящиеся к стоимости ликвидности так же не должны учитываться в процентном риске. </w:t>
            </w:r>
          </w:p>
          <w:p w14:paraId="600C65C9" w14:textId="01007059" w:rsidR="0074520E" w:rsidRPr="003E4166" w:rsidRDefault="0074520E" w:rsidP="003E4166">
            <w:pPr>
              <w:jc w:val="both"/>
              <w:rPr>
                <w:rFonts w:ascii="Times New Roman" w:hAnsi="Times New Roman" w:cs="Times New Roman"/>
                <w:sz w:val="24"/>
                <w:szCs w:val="24"/>
              </w:rPr>
            </w:pPr>
            <w:r w:rsidRPr="003E4166">
              <w:rPr>
                <w:rFonts w:ascii="Times New Roman" w:hAnsi="Times New Roman" w:cs="Times New Roman"/>
                <w:sz w:val="24"/>
                <w:szCs w:val="24"/>
              </w:rPr>
              <w:t xml:space="preserve">Таким образом, </w:t>
            </w:r>
            <w:r w:rsidR="003E4166" w:rsidRPr="003E4166">
              <w:rPr>
                <w:rFonts w:ascii="Times New Roman" w:hAnsi="Times New Roman" w:cs="Times New Roman"/>
                <w:sz w:val="24"/>
                <w:szCs w:val="24"/>
              </w:rPr>
              <w:t>б</w:t>
            </w:r>
            <w:r w:rsidRPr="003E4166">
              <w:rPr>
                <w:rFonts w:ascii="Times New Roman" w:hAnsi="Times New Roman" w:cs="Times New Roman"/>
                <w:sz w:val="24"/>
                <w:szCs w:val="24"/>
              </w:rPr>
              <w:t>анк предлагает использовать дисконтирование по безрисковым ставкам, как основной способ расчета ЭСК.</w:t>
            </w:r>
          </w:p>
          <w:p w14:paraId="702C80FF" w14:textId="77777777" w:rsidR="0074520E" w:rsidRPr="003E4166" w:rsidRDefault="0074520E" w:rsidP="003E4166">
            <w:pPr>
              <w:jc w:val="both"/>
              <w:rPr>
                <w:rFonts w:ascii="Times New Roman" w:hAnsi="Times New Roman" w:cs="Times New Roman"/>
                <w:sz w:val="24"/>
                <w:szCs w:val="24"/>
              </w:rPr>
            </w:pPr>
          </w:p>
        </w:tc>
        <w:tc>
          <w:tcPr>
            <w:tcW w:w="4359" w:type="dxa"/>
          </w:tcPr>
          <w:p w14:paraId="765D9AD0" w14:textId="0203880E" w:rsidR="0074520E" w:rsidRPr="003E4166" w:rsidRDefault="003E4166" w:rsidP="003E4166">
            <w:pPr>
              <w:jc w:val="both"/>
              <w:rPr>
                <w:rFonts w:ascii="Times New Roman" w:hAnsi="Times New Roman" w:cs="Times New Roman"/>
                <w:sz w:val="24"/>
                <w:szCs w:val="24"/>
              </w:rPr>
            </w:pPr>
            <w:r w:rsidRPr="003E4166">
              <w:rPr>
                <w:rFonts w:ascii="Times New Roman" w:hAnsi="Times New Roman" w:cs="Times New Roman"/>
                <w:sz w:val="24"/>
                <w:szCs w:val="24"/>
              </w:rPr>
              <w:t>По мнению банка, использование безрисковых ставок в качестве ставок дисконтирования для оценки процентного риска методологически более верный вариант, который и должен быть основным, как отражающий потери именно от процентного риска. При использовании подхода по определению базовых ставок дисконтирования через средневзвешенные ставки по операциям Банк России рекомендует очищать ставки от маржи прибыли банка.  Таким образом, для ставок по пассивным операциям должна использоваться трансфертная цена, а по активным операциям трансфертная цена + маржа за кредитный риск.</w:t>
            </w:r>
          </w:p>
        </w:tc>
      </w:tr>
      <w:tr w:rsidR="0074520E" w14:paraId="7D06AA38" w14:textId="77777777" w:rsidTr="00D717FA">
        <w:tc>
          <w:tcPr>
            <w:tcW w:w="988" w:type="dxa"/>
          </w:tcPr>
          <w:p w14:paraId="681E6ED0" w14:textId="77777777" w:rsidR="0074520E" w:rsidRPr="00D717FA" w:rsidRDefault="0074520E" w:rsidP="00D717FA">
            <w:pPr>
              <w:pStyle w:val="a4"/>
              <w:numPr>
                <w:ilvl w:val="0"/>
                <w:numId w:val="5"/>
              </w:numPr>
              <w:rPr>
                <w:rFonts w:ascii="Times New Roman" w:hAnsi="Times New Roman" w:cs="Times New Roman"/>
                <w:sz w:val="24"/>
                <w:szCs w:val="24"/>
              </w:rPr>
            </w:pPr>
          </w:p>
        </w:tc>
        <w:tc>
          <w:tcPr>
            <w:tcW w:w="9213" w:type="dxa"/>
          </w:tcPr>
          <w:p w14:paraId="728E0FA1" w14:textId="2568ADF1" w:rsidR="0074520E" w:rsidRPr="007C4731" w:rsidRDefault="0074520E" w:rsidP="007C4731">
            <w:pPr>
              <w:jc w:val="both"/>
              <w:rPr>
                <w:rFonts w:ascii="Times New Roman" w:eastAsia="Times New Roman" w:hAnsi="Times New Roman" w:cs="Times New Roman"/>
                <w:sz w:val="24"/>
                <w:szCs w:val="24"/>
              </w:rPr>
            </w:pPr>
            <w:r w:rsidRPr="007C4731">
              <w:rPr>
                <w:rFonts w:ascii="Times New Roman" w:eastAsia="Times New Roman" w:hAnsi="Times New Roman" w:cs="Times New Roman"/>
                <w:sz w:val="24"/>
                <w:szCs w:val="24"/>
              </w:rPr>
              <w:t xml:space="preserve">Считаем, что предложенные в п.3.2 (абзацы 2 и 3) методы дисконтирования денежных потоков чрезмерно сложны, не соответствуют банковской практике и рекомендациям Базельского комитета, в частности, не ясно, как предлагается «очищать» ставки в абзаце 3 п.3.2 предложенного варианта Методических рекомендаций для получения безрисковых ставок. Предлагаем использовать, в соответствие с требованиями Базельского комитета, внутренние трансфертные ставки в качестве базовых ставок дисконтирования. </w:t>
            </w:r>
          </w:p>
        </w:tc>
        <w:tc>
          <w:tcPr>
            <w:tcW w:w="4359" w:type="dxa"/>
          </w:tcPr>
          <w:p w14:paraId="4EFA8D2C" w14:textId="27CA00C9" w:rsidR="0074520E" w:rsidRPr="007C4731" w:rsidRDefault="0074520E" w:rsidP="007C4731">
            <w:pPr>
              <w:jc w:val="both"/>
              <w:rPr>
                <w:rFonts w:ascii="Times New Roman" w:hAnsi="Times New Roman" w:cs="Times New Roman"/>
                <w:sz w:val="24"/>
                <w:szCs w:val="24"/>
              </w:rPr>
            </w:pPr>
          </w:p>
        </w:tc>
      </w:tr>
      <w:tr w:rsidR="0074520E" w14:paraId="5ADB0CD5" w14:textId="77777777" w:rsidTr="00D717FA">
        <w:tc>
          <w:tcPr>
            <w:tcW w:w="988" w:type="dxa"/>
          </w:tcPr>
          <w:p w14:paraId="0FF00FA4" w14:textId="77777777" w:rsidR="0074520E" w:rsidRPr="00D717FA" w:rsidRDefault="0074520E" w:rsidP="00D717FA">
            <w:pPr>
              <w:pStyle w:val="a4"/>
              <w:numPr>
                <w:ilvl w:val="0"/>
                <w:numId w:val="5"/>
              </w:numPr>
              <w:rPr>
                <w:rFonts w:ascii="Times New Roman" w:hAnsi="Times New Roman" w:cs="Times New Roman"/>
                <w:sz w:val="24"/>
                <w:szCs w:val="24"/>
              </w:rPr>
            </w:pPr>
          </w:p>
        </w:tc>
        <w:tc>
          <w:tcPr>
            <w:tcW w:w="9213" w:type="dxa"/>
          </w:tcPr>
          <w:p w14:paraId="0794B3EA" w14:textId="62AC46C2" w:rsidR="0074520E" w:rsidRPr="007C4731" w:rsidRDefault="0074520E" w:rsidP="007C4731">
            <w:pPr>
              <w:jc w:val="both"/>
              <w:rPr>
                <w:rFonts w:ascii="Times New Roman" w:eastAsia="Times New Roman" w:hAnsi="Times New Roman" w:cs="Times New Roman"/>
                <w:sz w:val="24"/>
                <w:szCs w:val="24"/>
              </w:rPr>
            </w:pPr>
            <w:r w:rsidRPr="007C4731">
              <w:rPr>
                <w:rFonts w:ascii="Times New Roman" w:eastAsia="Times New Roman" w:hAnsi="Times New Roman" w:cs="Times New Roman"/>
                <w:sz w:val="24"/>
                <w:szCs w:val="24"/>
              </w:rPr>
              <w:t>Т.к. банковским Группам необходимо осуществлять расчет по Группе, просьба разъяснить применение Методических рекомендаций в ситуации, когда европейский дочерний банк выполняет требования Базельского комитета по IRRBB. Считаем, что введение параллельного расчёта для такого банка ещё и в соответствие с Методическими рекомендациями неэффективно и нецелесообразно. Кроме того, считаем возможным применение упрощённых локальных подходов к дочерним банкам с простой бизнес-моделью и структурой процентного риска, например, дочерним банкам в СНГ.</w:t>
            </w:r>
          </w:p>
        </w:tc>
        <w:tc>
          <w:tcPr>
            <w:tcW w:w="4359" w:type="dxa"/>
          </w:tcPr>
          <w:p w14:paraId="6EC6C75C" w14:textId="0B8CEFDF" w:rsidR="0074520E" w:rsidRPr="007C4731" w:rsidRDefault="0074520E" w:rsidP="007C4731">
            <w:pPr>
              <w:jc w:val="both"/>
              <w:rPr>
                <w:rFonts w:ascii="Times New Roman" w:hAnsi="Times New Roman" w:cs="Times New Roman"/>
                <w:sz w:val="24"/>
                <w:szCs w:val="24"/>
              </w:rPr>
            </w:pPr>
          </w:p>
        </w:tc>
      </w:tr>
      <w:tr w:rsidR="0074520E" w14:paraId="79821814" w14:textId="77777777" w:rsidTr="00D717FA">
        <w:tc>
          <w:tcPr>
            <w:tcW w:w="988" w:type="dxa"/>
          </w:tcPr>
          <w:p w14:paraId="02AFE560" w14:textId="77777777" w:rsidR="0074520E" w:rsidRPr="00D717FA" w:rsidRDefault="0074520E" w:rsidP="00D717FA">
            <w:pPr>
              <w:pStyle w:val="a4"/>
              <w:numPr>
                <w:ilvl w:val="0"/>
                <w:numId w:val="5"/>
              </w:numPr>
              <w:rPr>
                <w:rFonts w:ascii="Times New Roman" w:hAnsi="Times New Roman" w:cs="Times New Roman"/>
                <w:sz w:val="24"/>
                <w:szCs w:val="24"/>
              </w:rPr>
            </w:pPr>
          </w:p>
        </w:tc>
        <w:tc>
          <w:tcPr>
            <w:tcW w:w="9213" w:type="dxa"/>
          </w:tcPr>
          <w:p w14:paraId="30FF3D63" w14:textId="006F2B4B" w:rsidR="0074520E" w:rsidRPr="007C4731" w:rsidRDefault="0074520E" w:rsidP="007C4731">
            <w:pPr>
              <w:jc w:val="both"/>
              <w:rPr>
                <w:rFonts w:ascii="Times New Roman" w:eastAsia="Times New Roman" w:hAnsi="Times New Roman" w:cs="Times New Roman"/>
                <w:sz w:val="24"/>
                <w:szCs w:val="24"/>
              </w:rPr>
            </w:pPr>
            <w:r w:rsidRPr="007C4731">
              <w:rPr>
                <w:rFonts w:ascii="Times New Roman" w:eastAsia="Times New Roman" w:hAnsi="Times New Roman" w:cs="Times New Roman"/>
                <w:sz w:val="24"/>
                <w:szCs w:val="24"/>
              </w:rPr>
              <w:t>Методические рекомендации определяют периметр ПФИ, которые необходимо включать в расчет IRRBB (кроме ПФИ, базисом которых являются ценные бумаги), но в то же время они должны учитываться и в периметре торгового портфеля, в чем видится двойной учет ПФИ. Просьба более детально пояснить принцип распределения по портфелям ПФИ, либо разъяснить пункт 1.6. (полностью с подпунктами). Также напомним, что ранее Банк России сообщал, что ПФИ будут явным образом разнесены по портфелям, и 511-П будет изменён для исключения такого двойного учёта. Просьба пояснить, когда предполагается внесение изменений в 511-П относительно устранения двойного распределения ПФИ по банковскому и торговому портфелям?</w:t>
            </w:r>
          </w:p>
        </w:tc>
        <w:tc>
          <w:tcPr>
            <w:tcW w:w="4359" w:type="dxa"/>
          </w:tcPr>
          <w:p w14:paraId="4AE2CA92" w14:textId="38DAF11D" w:rsidR="0074520E" w:rsidRPr="007C4731" w:rsidRDefault="0074520E" w:rsidP="007C4731">
            <w:pPr>
              <w:jc w:val="both"/>
              <w:rPr>
                <w:rFonts w:ascii="Times New Roman" w:hAnsi="Times New Roman" w:cs="Times New Roman"/>
                <w:sz w:val="24"/>
                <w:szCs w:val="24"/>
              </w:rPr>
            </w:pPr>
          </w:p>
        </w:tc>
      </w:tr>
      <w:tr w:rsidR="0074520E" w14:paraId="6D9C8976" w14:textId="77777777" w:rsidTr="00D717FA">
        <w:tc>
          <w:tcPr>
            <w:tcW w:w="988" w:type="dxa"/>
          </w:tcPr>
          <w:p w14:paraId="71D74327" w14:textId="77777777" w:rsidR="0074520E" w:rsidRPr="00D717FA" w:rsidRDefault="0074520E" w:rsidP="00D717FA">
            <w:pPr>
              <w:pStyle w:val="a4"/>
              <w:numPr>
                <w:ilvl w:val="0"/>
                <w:numId w:val="5"/>
              </w:numPr>
              <w:rPr>
                <w:rFonts w:ascii="Times New Roman" w:hAnsi="Times New Roman" w:cs="Times New Roman"/>
                <w:sz w:val="24"/>
                <w:szCs w:val="24"/>
              </w:rPr>
            </w:pPr>
          </w:p>
        </w:tc>
        <w:tc>
          <w:tcPr>
            <w:tcW w:w="9213" w:type="dxa"/>
          </w:tcPr>
          <w:p w14:paraId="6A3834C3" w14:textId="2E55135D" w:rsidR="0074520E" w:rsidRPr="007C4731" w:rsidRDefault="0074520E" w:rsidP="007C4731">
            <w:pPr>
              <w:jc w:val="both"/>
              <w:rPr>
                <w:rFonts w:ascii="Times New Roman" w:eastAsia="Times New Roman" w:hAnsi="Times New Roman" w:cs="Times New Roman"/>
                <w:sz w:val="24"/>
                <w:szCs w:val="24"/>
              </w:rPr>
            </w:pPr>
            <w:r w:rsidRPr="007C4731">
              <w:rPr>
                <w:rFonts w:ascii="Times New Roman" w:eastAsia="Times New Roman" w:hAnsi="Times New Roman" w:cs="Times New Roman"/>
                <w:sz w:val="24"/>
                <w:szCs w:val="24"/>
              </w:rPr>
              <w:t>Просьба, в дополнение к п.п. 1.6.8. и пунктам, на которые он ссылается в части расчета встроенных опционов, пояснить, каким образом предлагается распределять по срокам встроенные опционы? Если так же, как и не встроенные, согласно 127 форме, то такие сроки должны ограничиваться сроком действия соответствующего договора? Кроме того, если у кредитной организации в учетной политике не указан метод определения ТСС встроенных опционов, означает ли это, что кредитная организация может не учитывать изменение их стоимости? Если нет, просим ЦБ направить методику определения ТСС таких опционов.</w:t>
            </w:r>
          </w:p>
        </w:tc>
        <w:tc>
          <w:tcPr>
            <w:tcW w:w="4359" w:type="dxa"/>
          </w:tcPr>
          <w:p w14:paraId="094D17F3" w14:textId="4260BABB" w:rsidR="0074520E" w:rsidRPr="007C4731" w:rsidRDefault="0074520E" w:rsidP="007C4731">
            <w:pPr>
              <w:jc w:val="both"/>
              <w:rPr>
                <w:rFonts w:ascii="Times New Roman" w:hAnsi="Times New Roman" w:cs="Times New Roman"/>
                <w:sz w:val="24"/>
                <w:szCs w:val="24"/>
              </w:rPr>
            </w:pPr>
          </w:p>
        </w:tc>
      </w:tr>
      <w:tr w:rsidR="00175CA9" w14:paraId="66EA6EF7" w14:textId="77777777" w:rsidTr="00D717FA">
        <w:tc>
          <w:tcPr>
            <w:tcW w:w="988" w:type="dxa"/>
          </w:tcPr>
          <w:p w14:paraId="31EC9374" w14:textId="77777777" w:rsidR="00175CA9" w:rsidRPr="00D717FA" w:rsidRDefault="00175CA9" w:rsidP="00D717FA">
            <w:pPr>
              <w:pStyle w:val="a4"/>
              <w:numPr>
                <w:ilvl w:val="0"/>
                <w:numId w:val="5"/>
              </w:numPr>
              <w:rPr>
                <w:rFonts w:ascii="Times New Roman" w:hAnsi="Times New Roman" w:cs="Times New Roman"/>
                <w:sz w:val="24"/>
                <w:szCs w:val="24"/>
              </w:rPr>
            </w:pPr>
          </w:p>
        </w:tc>
        <w:tc>
          <w:tcPr>
            <w:tcW w:w="9213" w:type="dxa"/>
          </w:tcPr>
          <w:p w14:paraId="5BE1878E" w14:textId="5243DB39" w:rsidR="00175CA9" w:rsidRPr="00D717FA" w:rsidRDefault="007C4731" w:rsidP="007C4731">
            <w:pPr>
              <w:jc w:val="both"/>
              <w:rPr>
                <w:rFonts w:ascii="Times New Roman" w:hAnsi="Times New Roman" w:cs="Times New Roman"/>
                <w:sz w:val="24"/>
                <w:szCs w:val="24"/>
              </w:rPr>
            </w:pPr>
            <w:r w:rsidRPr="007C4731">
              <w:rPr>
                <w:rFonts w:ascii="Times New Roman" w:hAnsi="Times New Roman" w:cs="Times New Roman"/>
                <w:sz w:val="24"/>
                <w:szCs w:val="24"/>
              </w:rPr>
              <w:t>Считаем</w:t>
            </w:r>
            <w:r w:rsidR="00175CA9" w:rsidRPr="007C4731">
              <w:rPr>
                <w:rFonts w:ascii="Times New Roman" w:hAnsi="Times New Roman" w:cs="Times New Roman"/>
                <w:sz w:val="24"/>
                <w:szCs w:val="24"/>
              </w:rPr>
              <w:t xml:space="preserve"> возможным рассчитывать размер ЭСК об всего объема собственных средств (капитала), а не только от основного капитала. Например, тот же валютный риск так рассчитывается. </w:t>
            </w:r>
          </w:p>
        </w:tc>
        <w:tc>
          <w:tcPr>
            <w:tcW w:w="4359" w:type="dxa"/>
          </w:tcPr>
          <w:p w14:paraId="761A3830" w14:textId="13E85F91" w:rsidR="00175CA9" w:rsidRPr="007C4731" w:rsidRDefault="00175CA9" w:rsidP="007C4731">
            <w:pPr>
              <w:jc w:val="both"/>
              <w:rPr>
                <w:rFonts w:ascii="Times New Roman" w:hAnsi="Times New Roman" w:cs="Times New Roman"/>
                <w:sz w:val="24"/>
                <w:szCs w:val="24"/>
              </w:rPr>
            </w:pPr>
          </w:p>
        </w:tc>
      </w:tr>
    </w:tbl>
    <w:p w14:paraId="0D5F1CEC" w14:textId="77777777" w:rsidR="009F6A7A" w:rsidRDefault="00937290"/>
    <w:sectPr w:rsidR="009F6A7A" w:rsidSect="007247C8">
      <w:footerReference w:type="default" r:id="rId7"/>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32629C" w14:textId="77777777" w:rsidR="005A4BB2" w:rsidRDefault="005A4BB2" w:rsidP="005A4BB2">
      <w:r>
        <w:separator/>
      </w:r>
    </w:p>
  </w:endnote>
  <w:endnote w:type="continuationSeparator" w:id="0">
    <w:p w14:paraId="7D412F34" w14:textId="77777777" w:rsidR="005A4BB2" w:rsidRDefault="005A4BB2" w:rsidP="005A4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2341666"/>
      <w:docPartObj>
        <w:docPartGallery w:val="Page Numbers (Bottom of Page)"/>
        <w:docPartUnique/>
      </w:docPartObj>
    </w:sdtPr>
    <w:sdtEndPr>
      <w:rPr>
        <w:rFonts w:ascii="Times New Roman" w:hAnsi="Times New Roman" w:cs="Times New Roman"/>
      </w:rPr>
    </w:sdtEndPr>
    <w:sdtContent>
      <w:p w14:paraId="773264BE" w14:textId="080815D1" w:rsidR="005A4BB2" w:rsidRPr="005A4BB2" w:rsidRDefault="005A4BB2">
        <w:pPr>
          <w:pStyle w:val="a7"/>
          <w:jc w:val="right"/>
          <w:rPr>
            <w:rFonts w:ascii="Times New Roman" w:hAnsi="Times New Roman" w:cs="Times New Roman"/>
          </w:rPr>
        </w:pPr>
        <w:r w:rsidRPr="005A4BB2">
          <w:rPr>
            <w:rFonts w:ascii="Times New Roman" w:hAnsi="Times New Roman" w:cs="Times New Roman"/>
          </w:rPr>
          <w:fldChar w:fldCharType="begin"/>
        </w:r>
        <w:r w:rsidRPr="005A4BB2">
          <w:rPr>
            <w:rFonts w:ascii="Times New Roman" w:hAnsi="Times New Roman" w:cs="Times New Roman"/>
          </w:rPr>
          <w:instrText>PAGE   \* MERGEFORMAT</w:instrText>
        </w:r>
        <w:r w:rsidRPr="005A4BB2">
          <w:rPr>
            <w:rFonts w:ascii="Times New Roman" w:hAnsi="Times New Roman" w:cs="Times New Roman"/>
          </w:rPr>
          <w:fldChar w:fldCharType="separate"/>
        </w:r>
        <w:r w:rsidRPr="005A4BB2">
          <w:rPr>
            <w:rFonts w:ascii="Times New Roman" w:hAnsi="Times New Roman" w:cs="Times New Roman"/>
          </w:rPr>
          <w:t>2</w:t>
        </w:r>
        <w:r w:rsidRPr="005A4BB2">
          <w:rPr>
            <w:rFonts w:ascii="Times New Roman" w:hAnsi="Times New Roman" w:cs="Times New Roman"/>
          </w:rPr>
          <w:fldChar w:fldCharType="end"/>
        </w:r>
      </w:p>
    </w:sdtContent>
  </w:sdt>
  <w:p w14:paraId="0D8A2762" w14:textId="77777777" w:rsidR="005A4BB2" w:rsidRDefault="005A4BB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1A618F" w14:textId="77777777" w:rsidR="005A4BB2" w:rsidRDefault="005A4BB2" w:rsidP="005A4BB2">
      <w:r>
        <w:separator/>
      </w:r>
    </w:p>
  </w:footnote>
  <w:footnote w:type="continuationSeparator" w:id="0">
    <w:p w14:paraId="390CCCF8" w14:textId="77777777" w:rsidR="005A4BB2" w:rsidRDefault="005A4BB2" w:rsidP="005A4B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221AE7"/>
    <w:multiLevelType w:val="hybridMultilevel"/>
    <w:tmpl w:val="E93406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42D06665"/>
    <w:multiLevelType w:val="hybridMultilevel"/>
    <w:tmpl w:val="10642D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AAF01E1"/>
    <w:multiLevelType w:val="hybridMultilevel"/>
    <w:tmpl w:val="ABF2DA8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7C8"/>
    <w:rsid w:val="0003201B"/>
    <w:rsid w:val="00046D7A"/>
    <w:rsid w:val="00175CA9"/>
    <w:rsid w:val="001F21F5"/>
    <w:rsid w:val="001F68CD"/>
    <w:rsid w:val="00261139"/>
    <w:rsid w:val="002E4227"/>
    <w:rsid w:val="003671C0"/>
    <w:rsid w:val="003E4166"/>
    <w:rsid w:val="00484864"/>
    <w:rsid w:val="005933DD"/>
    <w:rsid w:val="005949D9"/>
    <w:rsid w:val="005A4BB2"/>
    <w:rsid w:val="00635721"/>
    <w:rsid w:val="007151AD"/>
    <w:rsid w:val="007247C8"/>
    <w:rsid w:val="0074520E"/>
    <w:rsid w:val="00772FFC"/>
    <w:rsid w:val="007C4731"/>
    <w:rsid w:val="00937290"/>
    <w:rsid w:val="00941521"/>
    <w:rsid w:val="00977DD7"/>
    <w:rsid w:val="009D13A0"/>
    <w:rsid w:val="00A40B6D"/>
    <w:rsid w:val="00D35AA3"/>
    <w:rsid w:val="00D717FA"/>
    <w:rsid w:val="00EB5F04"/>
    <w:rsid w:val="00F17786"/>
    <w:rsid w:val="00F77FE7"/>
    <w:rsid w:val="00FA7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CB619"/>
  <w15:chartTrackingRefBased/>
  <w15:docId w15:val="{A6020360-05DB-4A9C-9F65-CC0A22E4B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47C8"/>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47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247C8"/>
    <w:pPr>
      <w:ind w:left="720"/>
    </w:pPr>
  </w:style>
  <w:style w:type="paragraph" w:styleId="a5">
    <w:name w:val="header"/>
    <w:basedOn w:val="a"/>
    <w:link w:val="a6"/>
    <w:uiPriority w:val="99"/>
    <w:unhideWhenUsed/>
    <w:rsid w:val="005A4BB2"/>
    <w:pPr>
      <w:tabs>
        <w:tab w:val="center" w:pos="4677"/>
        <w:tab w:val="right" w:pos="9355"/>
      </w:tabs>
    </w:pPr>
  </w:style>
  <w:style w:type="character" w:customStyle="1" w:styleId="a6">
    <w:name w:val="Верхний колонтитул Знак"/>
    <w:basedOn w:val="a0"/>
    <w:link w:val="a5"/>
    <w:uiPriority w:val="99"/>
    <w:rsid w:val="005A4BB2"/>
    <w:rPr>
      <w:rFonts w:ascii="Calibri" w:hAnsi="Calibri" w:cs="Calibri"/>
    </w:rPr>
  </w:style>
  <w:style w:type="paragraph" w:styleId="a7">
    <w:name w:val="footer"/>
    <w:basedOn w:val="a"/>
    <w:link w:val="a8"/>
    <w:uiPriority w:val="99"/>
    <w:unhideWhenUsed/>
    <w:rsid w:val="005A4BB2"/>
    <w:pPr>
      <w:tabs>
        <w:tab w:val="center" w:pos="4677"/>
        <w:tab w:val="right" w:pos="9355"/>
      </w:tabs>
    </w:pPr>
  </w:style>
  <w:style w:type="character" w:customStyle="1" w:styleId="a8">
    <w:name w:val="Нижний колонтитул Знак"/>
    <w:basedOn w:val="a0"/>
    <w:link w:val="a7"/>
    <w:uiPriority w:val="99"/>
    <w:rsid w:val="005A4BB2"/>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9605626">
      <w:bodyDiv w:val="1"/>
      <w:marLeft w:val="0"/>
      <w:marRight w:val="0"/>
      <w:marTop w:val="0"/>
      <w:marBottom w:val="0"/>
      <w:divBdr>
        <w:top w:val="none" w:sz="0" w:space="0" w:color="auto"/>
        <w:left w:val="none" w:sz="0" w:space="0" w:color="auto"/>
        <w:bottom w:val="none" w:sz="0" w:space="0" w:color="auto"/>
        <w:right w:val="none" w:sz="0" w:space="0" w:color="auto"/>
      </w:divBdr>
    </w:div>
    <w:div w:id="189014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6</Pages>
  <Words>1649</Words>
  <Characters>9400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Вен</dc:creator>
  <cp:keywords/>
  <dc:description/>
  <cp:lastModifiedBy>Елена Вен</cp:lastModifiedBy>
  <cp:revision>22</cp:revision>
  <dcterms:created xsi:type="dcterms:W3CDTF">2020-08-04T09:00:00Z</dcterms:created>
  <dcterms:modified xsi:type="dcterms:W3CDTF">2020-09-24T09:40:00Z</dcterms:modified>
</cp:coreProperties>
</file>