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5933" w14:textId="77777777" w:rsidR="002A45DE" w:rsidRPr="00DB1174" w:rsidRDefault="002A45DE" w:rsidP="008343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1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AC3CE46" w14:textId="3901C420" w:rsidR="002A45DE" w:rsidRPr="00DB1174" w:rsidRDefault="002A45DE" w:rsidP="008343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74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</w:t>
      </w:r>
      <w:r w:rsidR="002649BD" w:rsidRPr="00DB11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 Федеральный 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 отдельные законодательные акты</w:t>
      </w:r>
      <w:r w:rsidR="004C1BF1" w:rsidRPr="00DB1174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</w:t>
      </w:r>
      <w:r w:rsidR="004C1BF1" w:rsidRPr="00DB11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695CE2" w:rsidRPr="00DB1174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DB11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CD179D" w14:textId="77777777" w:rsidR="002A45DE" w:rsidRPr="00DB1174" w:rsidRDefault="002A45DE" w:rsidP="00834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FC71D" w14:textId="32293983" w:rsidR="002A45DE" w:rsidRPr="00DB1174" w:rsidRDefault="002A45DE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B31AE0" w:rsidRPr="00DB1174">
        <w:rPr>
          <w:rFonts w:ascii="Times New Roman" w:hAnsi="Times New Roman" w:cs="Times New Roman"/>
          <w:sz w:val="28"/>
          <w:szCs w:val="28"/>
        </w:rPr>
        <w:t>«</w:t>
      </w:r>
      <w:r w:rsidR="002649BD" w:rsidRPr="00DB117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A8606C" w:rsidRPr="00DB1174">
        <w:rPr>
          <w:rFonts w:ascii="Times New Roman" w:hAnsi="Times New Roman" w:cs="Times New Roman"/>
          <w:bCs/>
          <w:sz w:val="28"/>
          <w:szCs w:val="28"/>
        </w:rPr>
        <w:br/>
      </w:r>
      <w:r w:rsidR="002649BD" w:rsidRPr="00DB1174">
        <w:rPr>
          <w:rFonts w:ascii="Times New Roman" w:hAnsi="Times New Roman" w:cs="Times New Roman"/>
          <w:bCs/>
          <w:sz w:val="28"/>
          <w:szCs w:val="28"/>
        </w:rPr>
        <w:t>акты Российской Федерации» и отдельные законодательные акты</w:t>
      </w:r>
      <w:r w:rsidR="00A8606C" w:rsidRPr="00DB1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06C" w:rsidRPr="00DB1174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</w:t>
      </w:r>
      <w:r w:rsidRPr="00DB1174">
        <w:rPr>
          <w:rFonts w:ascii="Times New Roman" w:hAnsi="Times New Roman" w:cs="Times New Roman"/>
          <w:bCs/>
          <w:sz w:val="28"/>
          <w:szCs w:val="28"/>
        </w:rPr>
        <w:t>»</w:t>
      </w:r>
      <w:r w:rsidRPr="00DB11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49BD" w:rsidRPr="00DB1174">
        <w:rPr>
          <w:rFonts w:ascii="Times New Roman" w:hAnsi="Times New Roman" w:cs="Times New Roman"/>
          <w:sz w:val="28"/>
          <w:szCs w:val="28"/>
        </w:rPr>
        <w:t>–</w:t>
      </w:r>
      <w:r w:rsidRPr="00DB1174">
        <w:rPr>
          <w:rFonts w:ascii="Times New Roman" w:hAnsi="Times New Roman" w:cs="Times New Roman"/>
          <w:sz w:val="28"/>
          <w:szCs w:val="28"/>
        </w:rPr>
        <w:t xml:space="preserve"> законопроект) разработан </w:t>
      </w:r>
      <w:r w:rsidR="002649BD" w:rsidRPr="00DB1174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DB1174">
        <w:rPr>
          <w:rFonts w:ascii="Times New Roman" w:hAnsi="Times New Roman" w:cs="Times New Roman"/>
          <w:sz w:val="28"/>
          <w:szCs w:val="28"/>
        </w:rPr>
        <w:t xml:space="preserve"> во исполнение пункта 1 Плана мероприятий, направленн</w:t>
      </w:r>
      <w:r w:rsidR="008877A0" w:rsidRPr="00DB1174">
        <w:rPr>
          <w:rFonts w:ascii="Times New Roman" w:hAnsi="Times New Roman" w:cs="Times New Roman"/>
          <w:sz w:val="28"/>
          <w:szCs w:val="28"/>
        </w:rPr>
        <w:t>ого</w:t>
      </w:r>
      <w:r w:rsidRPr="00DB1174">
        <w:rPr>
          <w:rFonts w:ascii="Times New Roman" w:hAnsi="Times New Roman" w:cs="Times New Roman"/>
          <w:sz w:val="28"/>
          <w:szCs w:val="28"/>
        </w:rPr>
        <w:t xml:space="preserve">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на предупреждение и пресечение монополистической деятельности и</w:t>
      </w:r>
      <w:proofErr w:type="gramEnd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недобросовестной конкуренции хозяйствующих субъектов в сферах жилищного строительства и производства строительных материалов, утвержденного Первым заместителем Председателя Правительства Российской Федерации И.И. Шувалов</w:t>
      </w:r>
      <w:r w:rsidR="008877A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ым</w:t>
      </w:r>
      <w:r w:rsidR="002649BD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7 ноября 2013 г. № 6664-П9, </w:t>
      </w:r>
      <w:r w:rsidR="000B266F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с учетом решений, принятых на совещании у П</w:t>
      </w:r>
      <w:r w:rsidR="00A5208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ервого заместителя Председателя </w:t>
      </w:r>
      <w:r w:rsidR="000B266F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Правительства Российской Федерации И.И. Шувалова, состоявшегося 28 октября 2015 г.</w:t>
      </w:r>
    </w:p>
    <w:p w14:paraId="17567EA7" w14:textId="41F84D5F" w:rsidR="00D2599B" w:rsidRPr="00DB1174" w:rsidRDefault="008A3A16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Целью законопроекта является повышение </w:t>
      </w:r>
      <w:proofErr w:type="gramStart"/>
      <w:r w:rsidRPr="00DB1174">
        <w:rPr>
          <w:rFonts w:ascii="Times New Roman" w:hAnsi="Times New Roman" w:cs="Times New Roman"/>
          <w:sz w:val="28"/>
          <w:szCs w:val="28"/>
        </w:rPr>
        <w:t>защиты прав граждан-участников долевого строительства многоквартирных домов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 и (или) иных объектов недвижимости. </w:t>
      </w:r>
      <w:proofErr w:type="gramStart"/>
      <w:r w:rsidR="008C12D4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Законопроект направлен на обеспечение информационной открытости застройщиков, привлекающих денежные средства граждан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-участников долевого строительства, установление дополнительных требований к таким застройщикам, уточнение направлений целевого использования застройщиком, привлекающим средства граждан-участников долевого строительства на строительство многоквартирных домов, расширение полномочий </w:t>
      </w:r>
      <w:r w:rsidR="00C138BB">
        <w:rPr>
          <w:rFonts w:ascii="Times New Roman" w:hAnsi="Times New Roman"/>
          <w:sz w:val="28"/>
          <w:szCs w:val="28"/>
        </w:rPr>
        <w:t>уполномоченных</w:t>
      </w:r>
      <w:r w:rsidR="00FA5AD5" w:rsidRPr="00DB1174">
        <w:rPr>
          <w:rFonts w:ascii="Times New Roman" w:hAnsi="Times New Roman"/>
          <w:sz w:val="28"/>
          <w:szCs w:val="28"/>
        </w:rPr>
        <w:t xml:space="preserve"> орган</w:t>
      </w:r>
      <w:r w:rsidR="00C138BB">
        <w:rPr>
          <w:rFonts w:ascii="Times New Roman" w:hAnsi="Times New Roman"/>
          <w:sz w:val="28"/>
          <w:szCs w:val="28"/>
        </w:rPr>
        <w:t>ов</w:t>
      </w:r>
      <w:r w:rsidR="00FA5AD5" w:rsidRPr="00DB1174">
        <w:rPr>
          <w:rFonts w:ascii="Times New Roman" w:hAnsi="Times New Roman"/>
          <w:sz w:val="28"/>
          <w:szCs w:val="28"/>
        </w:rPr>
        <w:t xml:space="preserve"> исполнительной власти субъект</w:t>
      </w:r>
      <w:r w:rsidR="00C138BB">
        <w:rPr>
          <w:rFonts w:ascii="Times New Roman" w:hAnsi="Times New Roman"/>
          <w:sz w:val="28"/>
          <w:szCs w:val="28"/>
        </w:rPr>
        <w:t>ов</w:t>
      </w:r>
      <w:r w:rsidR="00FA5AD5" w:rsidRPr="00DB1174">
        <w:rPr>
          <w:rFonts w:ascii="Times New Roman" w:hAnsi="Times New Roman"/>
          <w:sz w:val="28"/>
          <w:szCs w:val="28"/>
        </w:rPr>
        <w:t xml:space="preserve"> Российской Федерации, осуществляющи</w:t>
      </w:r>
      <w:r w:rsidR="00C138BB">
        <w:rPr>
          <w:rFonts w:ascii="Times New Roman" w:hAnsi="Times New Roman"/>
          <w:sz w:val="28"/>
          <w:szCs w:val="28"/>
        </w:rPr>
        <w:t>х</w:t>
      </w:r>
      <w:r w:rsidR="00FA5AD5" w:rsidRPr="00DB1174">
        <w:rPr>
          <w:rFonts w:ascii="Times New Roman" w:hAnsi="Times New Roman"/>
          <w:sz w:val="28"/>
          <w:szCs w:val="28"/>
        </w:rPr>
        <w:t xml:space="preserve"> государственный контроль (надзор) в области долевого строительства многоквартирных домов и (или) иных объектов недвижимости (далее - </w:t>
      </w:r>
      <w:r w:rsidR="00FA5AD5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контролирующий орган</w:t>
      </w:r>
      <w:proofErr w:type="gramEnd"/>
      <w:r w:rsidR="00FA5AD5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создание единого реестра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застройщиков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введение </w:t>
      </w:r>
      <w:r w:rsidR="00D2599B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вмененного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страхования участниками долевого строительства </w:t>
      </w:r>
      <w:r w:rsidR="00D2599B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их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имущественных прав </w:t>
      </w:r>
      <w:r w:rsidR="00D2599B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отношении объектов долевого строительства, регулирования </w:t>
      </w:r>
      <w:proofErr w:type="gramStart"/>
      <w:r w:rsidR="00D2599B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механизма размещения средств участников долевого строительства</w:t>
      </w:r>
      <w:proofErr w:type="gramEnd"/>
      <w:r w:rsidR="00D2599B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счетах эскроу в банках, предоставляющих застройщику целевые кредиты на строительство многоквартирных домов и (или) иных объектов недвижимости. </w:t>
      </w:r>
    </w:p>
    <w:p w14:paraId="6C457B59" w14:textId="0F330CDE" w:rsidR="00A4348C" w:rsidRPr="00DB1174" w:rsidRDefault="00D2599B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Законопроект предполагает поэтапное введение новых требований (с 1 марта 2016 года, с 1 июля 2016 года и с 1 января 2017 года).</w:t>
      </w:r>
    </w:p>
    <w:p w14:paraId="4099E564" w14:textId="77777777" w:rsidR="00A52086" w:rsidRPr="00DB1174" w:rsidRDefault="00A52086" w:rsidP="00A52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С 1 марта 2016 года законопроектом вводятся следующие положения.</w:t>
      </w:r>
    </w:p>
    <w:p w14:paraId="47165716" w14:textId="5FC33547" w:rsidR="000948F1" w:rsidRPr="00DB1174" w:rsidRDefault="002D674F" w:rsidP="006F6F4A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Устанавливаются требования к застройщикам, которые имеют право привлекать средства граждан-участников долевого строительства многоквартирных домов (проектируемые части 2 – 2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статьи 3 Федерального закона № 214-ФЗ</w:t>
      </w:r>
      <w:r w:rsidR="006F6F4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том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числе </w:t>
      </w:r>
      <w:r w:rsidR="005F3BB9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требования к минимальному размеру собственн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>ых</w:t>
      </w:r>
      <w:r w:rsidR="005F3BB9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>средств</w:t>
      </w:r>
      <w:r w:rsidR="005F3BB9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таких </w:t>
      </w:r>
      <w:r w:rsidR="005F3BB9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застройщиков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14:paraId="3F17CC38" w14:textId="1751B2F1" w:rsidR="000948F1" w:rsidRPr="00DB1174" w:rsidRDefault="002D674F" w:rsidP="006F6F4A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Предусматривается, что размер собственн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>ых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застройщика, по данным бухгалтерского учета на последнюю отчетную дату, предшествующую дате государственной регистрации договора участия в долевом строительстве многоквартирного дома</w:t>
      </w:r>
      <w:r w:rsidR="00A11644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первым участником долевого строительства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, должен составлять не менее пяти процентов от величины, рассчитываемой как произведение общей площади жилых помещений в многоквартирных домах, строящихся застройщиком с привлечением средств участников долевого строительства и не введенных в</w:t>
      </w:r>
      <w:proofErr w:type="gramEnd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эксплуатацию, на среднюю цену одного квадратного метра общей площади квартиры на первичном рынке жилья в субъекте Российской Федерации, на территории которого осуществляется строительство объектов долевого строительства, по данным Федеральной службы государственной статистики</w:t>
      </w:r>
      <w:r w:rsidR="00A11644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1F170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среднюю цену, определяемую </w:t>
      </w:r>
      <w:r w:rsidR="00A11644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основе таких данных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методике, устанавливаемой уполномоченным </w:t>
      </w:r>
      <w:r w:rsidR="001F170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федеральным органом исполнительной власти, осуществляющим г</w:t>
      </w:r>
      <w:r w:rsidR="00CC6CFF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осударственное регулирование в области долевого строительства многоквартирных домов и (или) иных</w:t>
      </w:r>
      <w:proofErr w:type="gramEnd"/>
      <w:r w:rsidR="00CC6CFF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объектов недвижимости осуществляется </w:t>
      </w:r>
      <w:r w:rsidR="001F170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(далее – уполномоченный орган, </w:t>
      </w:r>
      <w:r w:rsidR="000948F1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в настоящее время таким органом является Минстрой России)</w:t>
      </w:r>
      <w:r w:rsidR="00A11644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случае, если такие многоквартирные дома строятся на территории нескольких субъектов российской Федерации</w:t>
      </w:r>
      <w:r w:rsidR="00AC173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0F026966" w14:textId="5FC90F98" w:rsidR="000948F1" w:rsidRPr="00DB1174" w:rsidRDefault="00FA5AD5" w:rsidP="000948F1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0948F1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ля целей Федерального закона № 214-ФЗ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 понятием группа компаний застройщика </w:t>
      </w:r>
      <w:r w:rsidR="009D547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понима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9D547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тся</w:t>
      </w:r>
      <w:r w:rsidR="000948F1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11644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застройщик и юридическое лицо или юридические лица, заключившие нотариально удостоверенный договор поручительства, предусматривающий субсидиарную ответственность такого юридического лица (поручитель) или таких юридических лиц (сопоручители) по обязательствам застройщика по договорам участия в долевом строительстве в соответствии с настоящим Федеральным законом, если указанным договором поручительства не установлена солидарная ответственность такого поручителя</w:t>
      </w:r>
      <w:proofErr w:type="gramEnd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</w:t>
      </w: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таких</w:t>
      </w:r>
      <w:proofErr w:type="gramEnd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сопоручителей по указанным обязательствам застройщика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</w:p>
    <w:p w14:paraId="01290696" w14:textId="77DFB300" w:rsidR="00082083" w:rsidRPr="00DB1174" w:rsidRDefault="00082083" w:rsidP="0008208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Кроме того, законопроектом предлагается внести изменение в часть 2 статьи 4 Федерального закона № 214-ФЗ, предусмотрев утверждение типового договора участия в долевом строительстве многоквартирного дома и иных объектов недвижимости Правительством Российской Федерации.</w:t>
      </w:r>
    </w:p>
    <w:p w14:paraId="1DEE4FAF" w14:textId="43E73EF9" w:rsidR="00A52086" w:rsidRPr="00DB1174" w:rsidRDefault="005D1E93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В целях повышения информационной прозрачности застройщиков, привлекающих</w:t>
      </w:r>
      <w:r w:rsidR="00ED1C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средства участников долевого строительства,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D1C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A5208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редлагается </w:t>
      </w:r>
      <w:r w:rsidR="00D814FC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дополнить Федеральный закон № 214-ФЗ статьей 3</w:t>
      </w:r>
      <w:r w:rsidR="00D814FC" w:rsidRPr="00DB1174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1</w:t>
      </w:r>
      <w:r w:rsidR="00D814FC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, предусматривающей</w:t>
      </w:r>
      <w:r w:rsidR="0083433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D1C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требования к раскрыти</w:t>
      </w:r>
      <w:r w:rsidR="006F6F4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ю информации таким застройщиком</w:t>
      </w:r>
      <w:r w:rsidR="00ED1C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официальном сайте застройщика</w:t>
      </w:r>
      <w:r w:rsidR="00A5208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информационно-телекоммуникационной сети "Интернет", в электронный адрес которого включено доменное имя, права на которое принадлежат такому застройщику либо иному юридическому лицу, входящему в состав группы компаний застройщика и определенному соглашением застройщика</w:t>
      </w:r>
      <w:proofErr w:type="gramEnd"/>
      <w:r w:rsidR="00A5208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таких юридических лиц</w:t>
      </w:r>
      <w:r w:rsidR="00ED1C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A739FFA" w14:textId="46735E43" w:rsidR="00834333" w:rsidRPr="00DB1174" w:rsidRDefault="00834333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На официальном сайте застройщика</w:t>
      </w:r>
      <w:r w:rsidRPr="00DB1174">
        <w:rPr>
          <w:rStyle w:val="blk"/>
          <w:rFonts w:ascii="Times New Roman" w:hAnsi="Times New Roman" w:cs="Times New Roman"/>
          <w:sz w:val="28"/>
          <w:szCs w:val="28"/>
        </w:rPr>
        <w:t xml:space="preserve"> в отношении каждого  многоквартирного дома и (или) иного объекта недвижимости, строящегося с привлечением средств </w:t>
      </w:r>
      <w:r w:rsidRPr="00DB1174">
        <w:rPr>
          <w:rStyle w:val="blk"/>
          <w:rFonts w:ascii="Times New Roman" w:hAnsi="Times New Roman" w:cs="Times New Roman"/>
          <w:sz w:val="28"/>
          <w:szCs w:val="28"/>
        </w:rPr>
        <w:lastRenderedPageBreak/>
        <w:t>участников долевого строительства, должна быть размещена следующая информация</w:t>
      </w:r>
      <w:r w:rsidRPr="00DB1174">
        <w:rPr>
          <w:rFonts w:ascii="Times New Roman" w:hAnsi="Times New Roman" w:cs="Times New Roman"/>
          <w:sz w:val="28"/>
          <w:szCs w:val="28"/>
        </w:rPr>
        <w:t>:</w:t>
      </w:r>
    </w:p>
    <w:p w14:paraId="20CD1007" w14:textId="77777777" w:rsidR="00834333" w:rsidRPr="00DB1174" w:rsidRDefault="00834333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1) 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электронные коп</w:t>
      </w:r>
      <w:proofErr w:type="gramStart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ии ау</w:t>
      </w:r>
      <w:proofErr w:type="gramEnd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диторского заключения за последний год осуществления застройщиком предпринимательской деятельности</w:t>
      </w:r>
      <w:r w:rsidR="00FD522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, разрешения на строительство,</w:t>
      </w:r>
      <w:r w:rsidR="00FD5220" w:rsidRPr="00DB1174">
        <w:t xml:space="preserve"> </w:t>
      </w:r>
      <w:r w:rsidR="00FD522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заключение экспертизы проектной документации, если проведение такой экспертизы установлено федеральным законом, и</w:t>
      </w:r>
      <w:r w:rsidR="00FD5220" w:rsidRPr="00DB1174">
        <w:t xml:space="preserve"> </w:t>
      </w:r>
      <w:r w:rsidR="00FD522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документы, подтверждающие права застройщика на земельный участок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75ECA260" w14:textId="77777777" w:rsidR="00834333" w:rsidRPr="00DB1174" w:rsidRDefault="00FD5220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83433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) электронные копии разрешений на ввод в эксплуатацию ранее введенных объектов;</w:t>
      </w:r>
    </w:p>
    <w:p w14:paraId="121E21CE" w14:textId="77777777" w:rsidR="00834333" w:rsidRPr="00DB1174" w:rsidRDefault="00834333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3) электронные копии проектной декларации;</w:t>
      </w:r>
    </w:p>
    <w:p w14:paraId="2903A917" w14:textId="77777777" w:rsidR="00834333" w:rsidRPr="00DB1174" w:rsidRDefault="00834333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4) электронные копии технических условий и договоров на подключение (технологическое присоединение) к сетям инженерно-технического обеспечения и сетям электросвязи;</w:t>
      </w:r>
    </w:p>
    <w:p w14:paraId="0C7A9540" w14:textId="77777777" w:rsidR="00834333" w:rsidRPr="00DB1174" w:rsidRDefault="00834333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174">
        <w:rPr>
          <w:rFonts w:ascii="Times New Roman" w:hAnsi="Times New Roman" w:cs="Times New Roman"/>
          <w:sz w:val="28"/>
          <w:szCs w:val="28"/>
        </w:rPr>
        <w:t>5) электронная копия договора участия в до</w:t>
      </w:r>
      <w:r w:rsidR="00FD5220" w:rsidRPr="00DB1174">
        <w:rPr>
          <w:rFonts w:ascii="Times New Roman" w:hAnsi="Times New Roman" w:cs="Times New Roman"/>
          <w:sz w:val="28"/>
          <w:szCs w:val="28"/>
        </w:rPr>
        <w:t>левом строительстве, утвержденного</w:t>
      </w:r>
      <w:r w:rsidRPr="00DB1174">
        <w:rPr>
          <w:rFonts w:ascii="Times New Roman" w:hAnsi="Times New Roman" w:cs="Times New Roman"/>
          <w:sz w:val="28"/>
          <w:szCs w:val="28"/>
        </w:rPr>
        <w:t xml:space="preserve"> и </w:t>
      </w:r>
      <w:r w:rsidR="00FD5220" w:rsidRPr="00DB1174">
        <w:rPr>
          <w:rFonts w:ascii="Times New Roman" w:hAnsi="Times New Roman" w:cs="Times New Roman"/>
          <w:sz w:val="28"/>
          <w:szCs w:val="28"/>
        </w:rPr>
        <w:t>используемого</w:t>
      </w:r>
      <w:r w:rsidRPr="00DB1174">
        <w:rPr>
          <w:rFonts w:ascii="Times New Roman" w:hAnsi="Times New Roman" w:cs="Times New Roman"/>
          <w:sz w:val="28"/>
          <w:szCs w:val="28"/>
        </w:rPr>
        <w:t xml:space="preserve"> застройщиком</w:t>
      </w:r>
      <w:r w:rsidRPr="00DB117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 денежных средств </w:t>
      </w:r>
      <w:r w:rsidRPr="00DB1174">
        <w:rPr>
          <w:rStyle w:val="blk"/>
          <w:rFonts w:ascii="Times New Roman" w:hAnsi="Times New Roman" w:cs="Times New Roman"/>
          <w:sz w:val="28"/>
          <w:szCs w:val="28"/>
        </w:rPr>
        <w:t>участников долевого строительства для строительства (создания) многоквартирного дома и (или) иных объектов недвижимости, отвечающего требованиям Федерального закона № 214-ФЗ</w:t>
      </w:r>
      <w:r w:rsidRPr="00DB11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B14DEA" w14:textId="17940C97" w:rsidR="00834333" w:rsidRPr="00DB1174" w:rsidRDefault="00FA5AD5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4333" w:rsidRPr="00DB1174">
        <w:rPr>
          <w:rFonts w:ascii="Times New Roman" w:hAnsi="Times New Roman" w:cs="Times New Roman"/>
          <w:sz w:val="28"/>
          <w:szCs w:val="28"/>
        </w:rPr>
        <w:t>) о бенефициарных владельцах застройщика;</w:t>
      </w:r>
    </w:p>
    <w:p w14:paraId="0506E5F3" w14:textId="78EB0546" w:rsidR="00834333" w:rsidRPr="00DB1174" w:rsidRDefault="00FA5AD5" w:rsidP="0083433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4333" w:rsidRPr="00DB1174">
        <w:rPr>
          <w:rFonts w:ascii="Times New Roman" w:hAnsi="Times New Roman" w:cs="Times New Roman"/>
          <w:sz w:val="28"/>
          <w:szCs w:val="28"/>
        </w:rPr>
        <w:t>) выбранны</w:t>
      </w:r>
      <w:r w:rsidR="00FD5220" w:rsidRPr="00DB1174">
        <w:rPr>
          <w:rFonts w:ascii="Times New Roman" w:hAnsi="Times New Roman" w:cs="Times New Roman"/>
          <w:sz w:val="28"/>
          <w:szCs w:val="28"/>
        </w:rPr>
        <w:t>й</w:t>
      </w:r>
      <w:r w:rsidR="00834333" w:rsidRPr="00DB1174">
        <w:rPr>
          <w:rFonts w:ascii="Times New Roman" w:hAnsi="Times New Roman" w:cs="Times New Roman"/>
          <w:sz w:val="28"/>
          <w:szCs w:val="28"/>
        </w:rPr>
        <w:t xml:space="preserve"> застройщиком способ обеспечения своих обязательств по передаче жилого помещения по договору или иные условия привлечения средств участников долевого строительства по договору в соответствии с требованиями Федерального закона</w:t>
      </w:r>
      <w:r w:rsidR="00834333" w:rsidRPr="00DB1174">
        <w:rPr>
          <w:rFonts w:ascii="Times New Roman" w:hAnsi="Times New Roman" w:cs="Times New Roman"/>
          <w:bCs/>
          <w:sz w:val="28"/>
          <w:szCs w:val="28"/>
        </w:rPr>
        <w:t xml:space="preserve"> № 214-ФЗ; </w:t>
      </w:r>
    </w:p>
    <w:p w14:paraId="74B049E1" w14:textId="1B00CACB" w:rsidR="00834333" w:rsidRPr="00DB1174" w:rsidRDefault="00FA5AD5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4333" w:rsidRPr="00DB1174">
        <w:rPr>
          <w:rFonts w:ascii="Times New Roman" w:hAnsi="Times New Roman" w:cs="Times New Roman"/>
          <w:sz w:val="28"/>
          <w:szCs w:val="28"/>
        </w:rPr>
        <w:t>) электронная копия нотариальн</w:t>
      </w:r>
      <w:r w:rsidR="00605A70" w:rsidRPr="00DB1174">
        <w:rPr>
          <w:rFonts w:ascii="Times New Roman" w:hAnsi="Times New Roman" w:cs="Times New Roman"/>
          <w:sz w:val="28"/>
          <w:szCs w:val="28"/>
        </w:rPr>
        <w:t xml:space="preserve">о удостоверенного </w:t>
      </w:r>
      <w:r w:rsidR="00804D46" w:rsidRPr="00DB1174">
        <w:rPr>
          <w:rFonts w:ascii="Times New Roman" w:hAnsi="Times New Roman" w:cs="Times New Roman"/>
          <w:sz w:val="28"/>
          <w:szCs w:val="28"/>
        </w:rPr>
        <w:t xml:space="preserve">договора поручительства </w:t>
      </w:r>
      <w:r w:rsidR="00834333" w:rsidRPr="00DB1174">
        <w:rPr>
          <w:rFonts w:ascii="Times New Roman" w:hAnsi="Times New Roman" w:cs="Times New Roman"/>
          <w:sz w:val="28"/>
          <w:szCs w:val="28"/>
        </w:rPr>
        <w:t>юридических лиц, входящих в состав группы компаний застройщика, по обязательствам застройщика по договорам участия в долевом строительстве - в случае, если застройщик входит в состав такой группы компаний;</w:t>
      </w:r>
    </w:p>
    <w:p w14:paraId="2A0F3C31" w14:textId="627E5252" w:rsidR="00834333" w:rsidRPr="00DB1174" w:rsidRDefault="00FA5AD5" w:rsidP="00834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4333" w:rsidRPr="00DB1174">
        <w:rPr>
          <w:rFonts w:ascii="Times New Roman" w:hAnsi="Times New Roman" w:cs="Times New Roman"/>
          <w:sz w:val="28"/>
          <w:szCs w:val="28"/>
        </w:rPr>
        <w:t>) иных документов в случаях, предусмотренных законодательством Российской Федерации.</w:t>
      </w:r>
    </w:p>
    <w:p w14:paraId="79DB100F" w14:textId="24B79DCD" w:rsidR="00082083" w:rsidRPr="00DB1174" w:rsidRDefault="00082083" w:rsidP="0008208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Законопроектом также устанавливаются дополнительные требования к проектной декларации застройщика, в том числе расширяется перечень информации о застройщике и о проекте строительства, которая подлежит раскрытию в проектной декларации (</w:t>
      </w:r>
      <w:r w:rsidR="00804D4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том числе 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в части указания более широкого перечня характеристик многоквартирного дома, иных объектов недвижимости, возможных объектов долевого строительства, дополнительной информации о номере телефона, адресе официального сайта застройщика и электронной почты, фамилии, имени</w:t>
      </w:r>
      <w:proofErr w:type="gramEnd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отчества и должности руководителя, фирменном наименовании организации либо коммерческом обозначении, которое застройщик планирует использовать в рекламе, связанной с привлечением денежных средств участников долевого строительства). Устанавливается необходимость соответствия информации в проектной декларации не только проектной документации, но и документации по планировке территории.</w:t>
      </w:r>
    </w:p>
    <w:p w14:paraId="6403FC2B" w14:textId="244D3C26" w:rsidR="00D3077B" w:rsidRPr="00DB1174" w:rsidRDefault="00082083" w:rsidP="00D3077B">
      <w:pPr>
        <w:pStyle w:val="ConsPlusNormal"/>
        <w:ind w:firstLine="540"/>
        <w:jc w:val="both"/>
        <w:rPr>
          <w:rFonts w:ascii="Calibri" w:eastAsiaTheme="minorHAnsi" w:hAnsi="Calibri" w:cs="Calibri"/>
          <w:lang w:eastAsia="en-US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Законопроектом предусматривается, что форму проектной декларации, форму и порядок предоставления застройщиками отчетов утверждает уполномоченный орган</w:t>
      </w:r>
      <w:r w:rsidR="00D3077B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D3077B" w:rsidRPr="00DB1174">
        <w:rPr>
          <w:rFonts w:ascii="Calibri" w:hAnsi="Calibri" w:cs="Calibri"/>
        </w:rPr>
        <w:t xml:space="preserve"> </w:t>
      </w:r>
    </w:p>
    <w:p w14:paraId="0AFA9094" w14:textId="0AA94E5C" w:rsidR="00804D46" w:rsidRPr="00DB1174" w:rsidRDefault="00082083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Также </w:t>
      </w:r>
      <w:r w:rsidR="00605A7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предлагается</w:t>
      </w:r>
      <w:r w:rsidR="002B4517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изменить способ направления застройщиком проектных деклараций в контролирующий орган. Вместо почтового отправления </w:t>
      </w:r>
      <w:r w:rsidR="00804D4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предлагается </w:t>
      </w:r>
      <w:r w:rsidR="002B4517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предусмотреть обязанность заполнения застройщиком электронной формы проектной декларации с использованием электронной цифровой подписи на сайте информационно-телекоммуникационной сети «Интернет», определенном уполномоченным органом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6F6F4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9E3FA4D" w14:textId="58BE4EEE" w:rsidR="007D57F9" w:rsidRPr="00DB1174" w:rsidRDefault="00314E75" w:rsidP="00834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</w:t>
      </w:r>
      <w:r w:rsidR="007D57F9" w:rsidRPr="00DB1174">
        <w:rPr>
          <w:rFonts w:ascii="Times New Roman" w:hAnsi="Times New Roman"/>
          <w:sz w:val="28"/>
          <w:szCs w:val="28"/>
        </w:rPr>
        <w:t xml:space="preserve">расширение полномочий </w:t>
      </w:r>
      <w:r w:rsidR="00305B93" w:rsidRPr="00DB1174">
        <w:rPr>
          <w:rFonts w:ascii="Times New Roman" w:hAnsi="Times New Roman"/>
          <w:sz w:val="28"/>
          <w:szCs w:val="28"/>
        </w:rPr>
        <w:t>контролирующих органов</w:t>
      </w:r>
      <w:r w:rsidR="007D57F9" w:rsidRPr="00DB1174">
        <w:rPr>
          <w:rFonts w:ascii="Times New Roman" w:hAnsi="Times New Roman"/>
          <w:sz w:val="28"/>
          <w:szCs w:val="28"/>
        </w:rPr>
        <w:t xml:space="preserve"> в части контроля за целевым использованием застройщиком денежных средств, уплачиваемых участниками долевого строительства по договору</w:t>
      </w:r>
      <w:r w:rsidR="00305B93" w:rsidRPr="00DB1174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 w:rsidR="007D57F9" w:rsidRPr="00DB1174">
        <w:rPr>
          <w:rFonts w:ascii="Times New Roman" w:hAnsi="Times New Roman"/>
          <w:sz w:val="28"/>
          <w:szCs w:val="28"/>
        </w:rPr>
        <w:t>, за соблюдением застройщиком графика строительства, а также предоставление таким органам права и полномочий по контролю за привлечением денежных средств граждан жилищно-строительными кооперативами</w:t>
      </w:r>
      <w:r w:rsidR="00391E24">
        <w:rPr>
          <w:rFonts w:ascii="Times New Roman" w:hAnsi="Times New Roman"/>
          <w:sz w:val="28"/>
          <w:szCs w:val="28"/>
        </w:rPr>
        <w:t xml:space="preserve"> и </w:t>
      </w:r>
      <w:r w:rsidR="00391E24" w:rsidRPr="00391E24">
        <w:rPr>
          <w:rFonts w:ascii="Times New Roman" w:hAnsi="Times New Roman"/>
          <w:sz w:val="28"/>
          <w:szCs w:val="28"/>
        </w:rPr>
        <w:t>получ</w:t>
      </w:r>
      <w:r w:rsidR="00391E24">
        <w:rPr>
          <w:rFonts w:ascii="Times New Roman" w:hAnsi="Times New Roman"/>
          <w:sz w:val="28"/>
          <w:szCs w:val="28"/>
        </w:rPr>
        <w:t>ения</w:t>
      </w:r>
      <w:r w:rsidR="00391E24" w:rsidRPr="00391E24">
        <w:rPr>
          <w:rFonts w:ascii="Times New Roman" w:hAnsi="Times New Roman"/>
          <w:sz w:val="28"/>
          <w:szCs w:val="28"/>
        </w:rPr>
        <w:t xml:space="preserve"> информаци</w:t>
      </w:r>
      <w:r w:rsidR="00391E24">
        <w:rPr>
          <w:rFonts w:ascii="Times New Roman" w:hAnsi="Times New Roman"/>
          <w:sz w:val="28"/>
          <w:szCs w:val="28"/>
        </w:rPr>
        <w:t>и</w:t>
      </w:r>
      <w:r w:rsidR="00391E24" w:rsidRPr="00391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E24" w:rsidRPr="00391E24">
        <w:rPr>
          <w:rFonts w:ascii="Times New Roman" w:hAnsi="Times New Roman"/>
          <w:sz w:val="28"/>
          <w:szCs w:val="28"/>
        </w:rPr>
        <w:t>о</w:t>
      </w:r>
      <w:proofErr w:type="gramEnd"/>
      <w:r w:rsidR="00391E24" w:rsidRPr="00391E24">
        <w:rPr>
          <w:rFonts w:ascii="Times New Roman" w:hAnsi="Times New Roman"/>
          <w:sz w:val="28"/>
          <w:szCs w:val="28"/>
        </w:rPr>
        <w:t xml:space="preserve"> всех генеральных подрядчиках, подрядных и субподрядных организациях, привлекаемых застройщиком в процессе строительства многоквартирных домов и иных объектов, в течение 3 дней </w:t>
      </w:r>
      <w:proofErr w:type="gramStart"/>
      <w:r w:rsidR="00391E24" w:rsidRPr="00391E24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="00391E24" w:rsidRPr="00391E24">
        <w:rPr>
          <w:rFonts w:ascii="Times New Roman" w:hAnsi="Times New Roman"/>
          <w:sz w:val="28"/>
          <w:szCs w:val="28"/>
        </w:rPr>
        <w:t xml:space="preserve"> соответствующего запроса застройщику</w:t>
      </w:r>
      <w:r w:rsidR="007D57F9" w:rsidRPr="00DB1174">
        <w:rPr>
          <w:rFonts w:ascii="Times New Roman" w:hAnsi="Times New Roman"/>
          <w:sz w:val="28"/>
          <w:szCs w:val="28"/>
        </w:rPr>
        <w:t>.</w:t>
      </w:r>
    </w:p>
    <w:p w14:paraId="3A065A4D" w14:textId="7BE1B89D" w:rsidR="00305B93" w:rsidRPr="00DB1174" w:rsidRDefault="00D95819" w:rsidP="00305B9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С 1 июля 2016 г. законопроектом предусматривается создание и ведение единого реестра застройщиков, привлекающих денежные средства граждан на основании договоров участия в долевом строительстве многоквартирных дом</w:t>
      </w:r>
      <w:r w:rsidR="00AD5B40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ов и иных объектов недвижимости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305B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Предусмотрено, что ведение единого реестра застройщиков </w:t>
      </w:r>
      <w:r w:rsidR="00804D4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будет </w:t>
      </w:r>
      <w:r w:rsidR="00305B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</w:t>
      </w:r>
      <w:r w:rsidR="00804D4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ться</w:t>
      </w:r>
      <w:r w:rsidR="00305B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федеральным органом исполнительной власти, уполномоченным Правительством Российской Федерации, в порядке, установленном Правительством Российской Федерации. </w:t>
      </w:r>
      <w:r w:rsidR="006F6F4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Предполагается, что таким федеральным органом станет Федеральная налоговая служба. </w:t>
      </w:r>
      <w:r w:rsidR="00305B93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Сведения, содержащиеся в едином реестре застройщиков, являются открытыми, общедоступными и подлежат размещению на официальном сайте такого федерального органа, за исключением сведений, доступ к которым ограничен законодательством Российской Федерации. </w:t>
      </w:r>
    </w:p>
    <w:p w14:paraId="20C31F68" w14:textId="77777777" w:rsidR="00AD5B40" w:rsidRPr="00DB1174" w:rsidRDefault="00314E75" w:rsidP="00834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С </w:t>
      </w:r>
      <w:r w:rsidR="00B31AE0" w:rsidRPr="00DB1174">
        <w:rPr>
          <w:rFonts w:ascii="Times New Roman" w:hAnsi="Times New Roman" w:cs="Times New Roman"/>
          <w:sz w:val="28"/>
          <w:szCs w:val="28"/>
        </w:rPr>
        <w:t>1 января 2017 года</w:t>
      </w:r>
      <w:r w:rsidR="00AD5B40" w:rsidRPr="00DB1174">
        <w:rPr>
          <w:rFonts w:ascii="Times New Roman" w:hAnsi="Times New Roman" w:cs="Times New Roman"/>
          <w:sz w:val="28"/>
          <w:szCs w:val="28"/>
        </w:rPr>
        <w:t xml:space="preserve"> законопроектом вводятся следующие положения.</w:t>
      </w:r>
    </w:p>
    <w:p w14:paraId="78988DAD" w14:textId="7BCBE276" w:rsidR="00673069" w:rsidRPr="00DB1174" w:rsidRDefault="00673069" w:rsidP="00673069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Уточняются цели использования денежных средств, уплачиваемых участниками долевого строительства многоквартирных домов и иных объектов недвижимости, установленные статьей 18 Федерального закона № 214-ФЗ, и </w:t>
      </w:r>
      <w:r w:rsidRPr="00DB1174">
        <w:rPr>
          <w:rFonts w:ascii="Times New Roman" w:hAnsi="Times New Roman"/>
          <w:sz w:val="28"/>
          <w:szCs w:val="28"/>
        </w:rPr>
        <w:t>предусматрива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ется расширение перечня таких целей</w:t>
      </w:r>
      <w:r w:rsidR="00804D46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. Предложены следующие направления целевого использования средств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A901403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1) строительство (создание) многоквартирных домов и (или) иных объектов недвижимости, в состав которых входят объекты долевого строительства в соответствии с проектной документацией или возмещение затрат на их строительство (создание) таких объектов, при условии, что строительство (создание) указанных объектов недвижимости осуществляется в границах элемента планировочной структуры, предусмотренной в утвержденной документации по планировке территории;</w:t>
      </w:r>
      <w:proofErr w:type="gramEnd"/>
    </w:p>
    <w:p w14:paraId="245C6CAA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указанных в пункте 1 настоящей </w:t>
      </w: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части многоквартирных домов и (или) иных объектов недвижимости, на уплату арендной платы за указанные земельные участки;</w:t>
      </w:r>
    </w:p>
    <w:p w14:paraId="08C18ABB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3) возмещение затрат на подготовку проектной документации и выполнение инженерных изысканий для строительства (создания) указанных в пункте 1 настоящей части многоквартирных домов и (или) иных объектов недвижимости, а также на проведение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14:paraId="03F3DAAA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4) строительство систем инженерно-технического обеспечения, необходимых для подключения (технологического присоединения) указанных в пункте 1 настоящей части многоквартирных домов и (или) иных объектов недвижимости к сетям инженерно-технического обеспечения, если это предусмотрено соответствующей проектной документацией, или возмещение затрат на строительство таких систем инженерно-технического обеспечения;</w:t>
      </w:r>
    </w:p>
    <w:p w14:paraId="3D185E1C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5) внесение платы за подключение (технологическое присоединение) указанных в пункте 1 настоящей части многоквартирных домов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14:paraId="6ADF3468" w14:textId="591943C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6)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по этому договору, если строительство жилья экономического класса по указ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анному договору осуществляется с</w:t>
      </w: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привлечением денежных средств участников долевого строительства в соответствии с настоящим Федеральным законом;</w:t>
      </w:r>
      <w:proofErr w:type="gramEnd"/>
    </w:p>
    <w:p w14:paraId="0FEA6AA0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7)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указанных в пункте 1 настоящей части объектов недвижимости осуществляется на земельных участках, предоставленных застройщику на основании этого договора и находящихся в границах</w:t>
      </w:r>
      <w:proofErr w:type="gramEnd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такой застроенной территории;</w:t>
      </w:r>
    </w:p>
    <w:p w14:paraId="2F0944E2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8)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территории, в том числе в целях строительства жилья экономического класса, и исполнением обязательств застройщика по таким договорам, если строительство (создание) указанных в пункте 1 настоящей части объектов недвижимости осуществляется в соответствии с указанными договорами.</w:t>
      </w:r>
      <w:proofErr w:type="gramEnd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этом такое возмещение осуществляется пропорционально доле общей площади указанных в пункте 1 настоящей части объектов недвижимости в общей площади всех объектов недвижимости, строящихся в соответствии с такими договорами, с учетом требования части 11 настоящей статьи;</w:t>
      </w:r>
    </w:p>
    <w:p w14:paraId="11A453E4" w14:textId="77777777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9) возмещение затрат на подготовку документации по планировке территории в границах находящихся в собственности застройщика земельного участка или смежных земельных участков, выполнение работ по обустройству такой территории посредством строительства и (или) реконструкции объектов инженерно-технической инфраструктуры, социальной инфраструктуры, если строительство (создание) указанных в пункте 1 настоящей части многоквартирных домов и (или) иных объектов недвижимости осуществляется в границах такого земельного участка или</w:t>
      </w:r>
      <w:proofErr w:type="gramEnd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таких смежных земельных участков, пропорционально доле общей площади указанных в пункте 1 настоящей части многоквартирных домов и (или) иных объектов недвижимости в общей площади всех объектов капитального строительства, строящихся в границах такого земельного участка или таких земельных участков, с учетом требования части 11 настоящей статьи;</w:t>
      </w:r>
    </w:p>
    <w:p w14:paraId="683317BC" w14:textId="27713608" w:rsidR="00FA5AD5" w:rsidRP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10) возмещение затрат на уплату процентов по целевым кредитам на строительство многоквартирных домов и (или) иных объектов недвижимости, в том числе указанных в пункте 1 настоящей части, а также на цели, указанные в пунктах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8 и 9</w:t>
      </w: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настоящей части, пропорционально доле общей площади указанных в пункте 1 настоящей части многоквартирных домов и (или) иных объектов недвижимости в общей площади всех</w:t>
      </w:r>
      <w:proofErr w:type="gramEnd"/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объектов капитального строительства, на строительство которых предоставлены такие целевые кредиты; </w:t>
      </w:r>
    </w:p>
    <w:p w14:paraId="43AA0E38" w14:textId="77777777" w:rsidR="00FA5AD5" w:rsidRDefault="00FA5AD5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5AD5">
        <w:rPr>
          <w:rFonts w:ascii="Times New Roman" w:hAnsi="Times New Roman" w:cs="Times New Roman"/>
          <w:iCs/>
          <w:color w:val="000000"/>
          <w:sz w:val="28"/>
          <w:szCs w:val="28"/>
        </w:rPr>
        <w:t>11) возмещение затрат, связанных с государственной регистрацией договоров участия в долевом строительстве.</w:t>
      </w:r>
    </w:p>
    <w:p w14:paraId="16B3F8D3" w14:textId="1B0F170C" w:rsidR="00CC6CFF" w:rsidRPr="00DB1174" w:rsidRDefault="00CC6CFF" w:rsidP="00FA5AD5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этом устанавливается, что возмещение затрат на строительство и (или) реконструкцию объектов социальной инфраструктуры в случаях, указанных </w:t>
      </w:r>
      <w:r w:rsidR="00C66255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выш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</w:t>
      </w:r>
      <w:r w:rsidR="006F6F4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пунктах 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6F6F4A"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="00FA5AD5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1174">
        <w:rPr>
          <w:rFonts w:ascii="Times New Roman" w:hAnsi="Times New Roman" w:cs="Times New Roman"/>
          <w:iCs/>
          <w:color w:val="000000"/>
          <w:sz w:val="28"/>
          <w:szCs w:val="28"/>
        </w:rPr>
        <w:t>, допускается только при условии безвозмездной передачи застройщиком таких объектов в государственную или муниципальную собственность.</w:t>
      </w:r>
    </w:p>
    <w:p w14:paraId="115D7466" w14:textId="600D731A" w:rsidR="00673069" w:rsidRPr="00DB1174" w:rsidRDefault="00AD5B40" w:rsidP="006F6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CC6CFF" w:rsidRPr="00DB1174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Pr="00DB1174">
        <w:rPr>
          <w:rFonts w:ascii="Times New Roman" w:hAnsi="Times New Roman" w:cs="Times New Roman"/>
          <w:sz w:val="28"/>
          <w:szCs w:val="28"/>
        </w:rPr>
        <w:t>в</w:t>
      </w:r>
      <w:r w:rsidR="007D57F9" w:rsidRPr="00DB1174">
        <w:rPr>
          <w:rFonts w:ascii="Times New Roman" w:hAnsi="Times New Roman" w:cs="Times New Roman"/>
          <w:sz w:val="28"/>
          <w:szCs w:val="28"/>
        </w:rPr>
        <w:t>мененно</w:t>
      </w:r>
      <w:r w:rsidR="00CC6CFF" w:rsidRPr="00DB1174">
        <w:rPr>
          <w:rFonts w:ascii="Times New Roman" w:hAnsi="Times New Roman" w:cs="Times New Roman"/>
          <w:sz w:val="28"/>
          <w:szCs w:val="28"/>
        </w:rPr>
        <w:t>го</w:t>
      </w:r>
      <w:r w:rsidR="007D57F9" w:rsidRPr="00DB1174">
        <w:rPr>
          <w:rFonts w:ascii="Times New Roman" w:hAnsi="Times New Roman" w:cs="Times New Roman"/>
          <w:sz w:val="28"/>
          <w:szCs w:val="28"/>
        </w:rPr>
        <w:t xml:space="preserve"> </w:t>
      </w:r>
      <w:r w:rsidRPr="00DB1174">
        <w:rPr>
          <w:rFonts w:ascii="Times New Roman" w:hAnsi="Times New Roman" w:cs="Times New Roman"/>
          <w:sz w:val="28"/>
          <w:szCs w:val="28"/>
        </w:rPr>
        <w:t>страховани</w:t>
      </w:r>
      <w:r w:rsidR="00CC6CFF" w:rsidRPr="00DB1174">
        <w:rPr>
          <w:rFonts w:ascii="Times New Roman" w:hAnsi="Times New Roman" w:cs="Times New Roman"/>
          <w:sz w:val="28"/>
          <w:szCs w:val="28"/>
        </w:rPr>
        <w:t>я</w:t>
      </w:r>
      <w:r w:rsidR="007D57F9" w:rsidRPr="00DB1174">
        <w:rPr>
          <w:rFonts w:ascii="Times New Roman" w:hAnsi="Times New Roman" w:cs="Times New Roman"/>
          <w:sz w:val="28"/>
          <w:szCs w:val="28"/>
        </w:rPr>
        <w:t xml:space="preserve"> участниками долевого строительства многоквартирных домов и иных объектов недвижимости </w:t>
      </w:r>
      <w:r w:rsidR="00305B93" w:rsidRPr="00DB1174">
        <w:rPr>
          <w:rFonts w:ascii="Times New Roman" w:hAnsi="Times New Roman" w:cs="Times New Roman"/>
          <w:sz w:val="28"/>
          <w:szCs w:val="28"/>
        </w:rPr>
        <w:t>своих имущественных прав</w:t>
      </w:r>
      <w:r w:rsidR="00673069" w:rsidRPr="00DB1174">
        <w:rPr>
          <w:rFonts w:ascii="Times New Roman" w:hAnsi="Times New Roman" w:cs="Times New Roman"/>
          <w:sz w:val="28"/>
          <w:szCs w:val="28"/>
        </w:rPr>
        <w:t xml:space="preserve"> в отношении объектов долевого строительства </w:t>
      </w:r>
      <w:r w:rsidR="00314E75" w:rsidRPr="00DB1174">
        <w:rPr>
          <w:rFonts w:ascii="Times New Roman" w:hAnsi="Times New Roman" w:cs="Times New Roman"/>
          <w:sz w:val="28"/>
          <w:szCs w:val="28"/>
        </w:rPr>
        <w:t>(</w:t>
      </w:r>
      <w:r w:rsidR="00673069" w:rsidRPr="00DB1174">
        <w:rPr>
          <w:rFonts w:ascii="Times New Roman" w:hAnsi="Times New Roman" w:cs="Times New Roman"/>
          <w:sz w:val="28"/>
          <w:szCs w:val="28"/>
        </w:rPr>
        <w:t>проектируемая</w:t>
      </w:r>
      <w:r w:rsidR="00314E75" w:rsidRPr="00DB117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73069" w:rsidRPr="00DB1174">
        <w:rPr>
          <w:rFonts w:ascii="Times New Roman" w:hAnsi="Times New Roman" w:cs="Times New Roman"/>
          <w:sz w:val="28"/>
          <w:szCs w:val="28"/>
        </w:rPr>
        <w:t>я</w:t>
      </w:r>
      <w:r w:rsidR="00314E75" w:rsidRPr="00DB1174">
        <w:rPr>
          <w:rFonts w:ascii="Times New Roman" w:hAnsi="Times New Roman" w:cs="Times New Roman"/>
          <w:sz w:val="28"/>
          <w:szCs w:val="28"/>
        </w:rPr>
        <w:t xml:space="preserve"> 15</w:t>
      </w:r>
      <w:r w:rsidR="00D95819" w:rsidRPr="00DB11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14E75" w:rsidRPr="00DB1174">
        <w:rPr>
          <w:rFonts w:ascii="Times New Roman" w:hAnsi="Times New Roman" w:cs="Times New Roman"/>
          <w:sz w:val="28"/>
          <w:szCs w:val="28"/>
        </w:rPr>
        <w:t xml:space="preserve"> Федерального закона № 214-ФЗ)</w:t>
      </w:r>
      <w:r w:rsidR="003E4DC7" w:rsidRPr="00DB1174">
        <w:rPr>
          <w:rFonts w:ascii="Times New Roman" w:hAnsi="Times New Roman" w:cs="Times New Roman"/>
          <w:sz w:val="28"/>
          <w:szCs w:val="28"/>
        </w:rPr>
        <w:t>.</w:t>
      </w:r>
      <w:r w:rsidR="00673069" w:rsidRPr="00DB11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"/>
      <w:bookmarkEnd w:id="1"/>
      <w:r w:rsidR="00673069" w:rsidRPr="00DB1174">
        <w:rPr>
          <w:rFonts w:ascii="Times New Roman" w:hAnsi="Times New Roman" w:cs="Times New Roman"/>
          <w:sz w:val="28"/>
          <w:szCs w:val="28"/>
        </w:rPr>
        <w:t>Объектом такого страхования являются имущественные права участника долевого строительства, связанные с невозможностью получения в результате неисполнения или ненадлежащего исполнения застройщиком обязательств по передаче участнику долевого строительства жилого помещения или иного объекта недвижимости, являющегося объектом долевого строительства, указанного в договоре страхования.</w:t>
      </w:r>
    </w:p>
    <w:p w14:paraId="49472AF2" w14:textId="424FD3D2" w:rsidR="00251B33" w:rsidRPr="00DB1174" w:rsidRDefault="00673069" w:rsidP="00834333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Законопроектом предусмотрено, что одновременно с 1 января 2017 года</w:t>
      </w:r>
      <w:bookmarkStart w:id="2" w:name="sub_12122"/>
      <w:r w:rsidRPr="00DB1174">
        <w:rPr>
          <w:rFonts w:ascii="Times New Roman" w:hAnsi="Times New Roman" w:cs="Times New Roman"/>
          <w:sz w:val="28"/>
          <w:szCs w:val="28"/>
        </w:rPr>
        <w:t xml:space="preserve"> отменяется требование о страховании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</w:t>
      </w:r>
      <w:r w:rsidR="0013166D" w:rsidRPr="00DB1174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</w:t>
      </w:r>
      <w:r w:rsidRPr="00DB1174">
        <w:rPr>
          <w:rFonts w:ascii="Times New Roman" w:hAnsi="Times New Roman" w:cs="Times New Roman"/>
          <w:sz w:val="28"/>
          <w:szCs w:val="28"/>
        </w:rPr>
        <w:t>(статья 15</w:t>
      </w:r>
      <w:r w:rsidRPr="00DB11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1174">
        <w:rPr>
          <w:rFonts w:ascii="Times New Roman" w:hAnsi="Times New Roman" w:cs="Times New Roman"/>
          <w:sz w:val="28"/>
          <w:szCs w:val="28"/>
        </w:rPr>
        <w:t xml:space="preserve"> Федерального закона № 214</w:t>
      </w:r>
      <w:r w:rsidR="00871881" w:rsidRPr="00DB1174">
        <w:rPr>
          <w:rFonts w:ascii="Times New Roman" w:hAnsi="Times New Roman" w:cs="Times New Roman"/>
          <w:sz w:val="28"/>
          <w:szCs w:val="28"/>
        </w:rPr>
        <w:t>-ФЗ</w:t>
      </w:r>
      <w:r w:rsidRPr="00DB1174">
        <w:rPr>
          <w:rFonts w:ascii="Times New Roman" w:hAnsi="Times New Roman" w:cs="Times New Roman"/>
          <w:sz w:val="28"/>
          <w:szCs w:val="28"/>
        </w:rPr>
        <w:t xml:space="preserve"> признается утратившей силу). </w:t>
      </w:r>
      <w:bookmarkEnd w:id="2"/>
      <w:r w:rsidR="00CC6CFF" w:rsidRPr="00DB1174">
        <w:rPr>
          <w:rFonts w:ascii="Times New Roman" w:hAnsi="Times New Roman" w:cs="Times New Roman"/>
          <w:sz w:val="28"/>
          <w:szCs w:val="28"/>
        </w:rPr>
        <w:t>При этом возможность выбора застройщик</w:t>
      </w:r>
      <w:r w:rsidR="0013166D" w:rsidRPr="00DB1174">
        <w:rPr>
          <w:rFonts w:ascii="Times New Roman" w:hAnsi="Times New Roman" w:cs="Times New Roman"/>
          <w:sz w:val="28"/>
          <w:szCs w:val="28"/>
        </w:rPr>
        <w:t>ом</w:t>
      </w:r>
      <w:r w:rsidR="00CC6CFF" w:rsidRPr="00DB1174">
        <w:rPr>
          <w:rFonts w:ascii="Times New Roman" w:hAnsi="Times New Roman" w:cs="Times New Roman"/>
          <w:sz w:val="28"/>
          <w:szCs w:val="28"/>
        </w:rPr>
        <w:t xml:space="preserve"> поручительства банка как способа обеспечения своих обязательств по договорам участия в долевом строительстве сохраняется.</w:t>
      </w:r>
    </w:p>
    <w:p w14:paraId="644D2BB9" w14:textId="77777777" w:rsidR="0013166D" w:rsidRPr="00DB1174" w:rsidRDefault="00896A86" w:rsidP="00896A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lastRenderedPageBreak/>
        <w:t>Проектируемыми статьями 15</w:t>
      </w:r>
      <w:r w:rsidRPr="00DB117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B1174">
        <w:rPr>
          <w:rFonts w:ascii="Times New Roman" w:hAnsi="Times New Roman" w:cs="Times New Roman"/>
          <w:sz w:val="28"/>
          <w:szCs w:val="28"/>
        </w:rPr>
        <w:t xml:space="preserve"> и 15</w:t>
      </w:r>
      <w:r w:rsidRPr="00DB117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B1174">
        <w:rPr>
          <w:rFonts w:ascii="Times New Roman" w:hAnsi="Times New Roman" w:cs="Times New Roman"/>
          <w:sz w:val="28"/>
          <w:szCs w:val="28"/>
        </w:rPr>
        <w:t xml:space="preserve"> Федерального закона № 214-ФЗ регулируются </w:t>
      </w:r>
      <w:r w:rsidRPr="00DB1174">
        <w:rPr>
          <w:rFonts w:ascii="Times New Roman" w:hAnsi="Times New Roman"/>
          <w:sz w:val="28"/>
          <w:szCs w:val="28"/>
        </w:rPr>
        <w:t>механизмы банковского проектного финансирования строительства многоквартирных домов и иных объектов недвижимости с открытием счетов эскроу для размещения средств участников долевого строительства таких домов и объектов в качестве еще одного допустимого способа обеспечения прав участников долевого строительства, сохранив возможность не применения указанного механизма и использования застройщиком поручительства банка как способа обеспечения исполнения</w:t>
      </w:r>
      <w:proofErr w:type="gramEnd"/>
      <w:r w:rsidRPr="00DB1174">
        <w:rPr>
          <w:rFonts w:ascii="Times New Roman" w:hAnsi="Times New Roman"/>
          <w:sz w:val="28"/>
          <w:szCs w:val="28"/>
        </w:rPr>
        <w:t xml:space="preserve"> обязательств застройщика по договору участия в долевом строительстве или страхование имущественных прав участниками долевого строительства в отношении объектов долевого строительства. </w:t>
      </w:r>
    </w:p>
    <w:p w14:paraId="47253E87" w14:textId="0B7DFB28" w:rsidR="00896A86" w:rsidRPr="00DB1174" w:rsidRDefault="00896A86" w:rsidP="00896A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74">
        <w:rPr>
          <w:rFonts w:ascii="Times New Roman" w:hAnsi="Times New Roman"/>
          <w:sz w:val="28"/>
          <w:szCs w:val="28"/>
        </w:rPr>
        <w:t xml:space="preserve">В случае использования застройщиками и банками такого нового механизма требования </w:t>
      </w:r>
      <w:r w:rsidRPr="00DB1174">
        <w:rPr>
          <w:rFonts w:ascii="Times New Roman" w:hAnsi="Times New Roman" w:cs="Times New Roman"/>
          <w:sz w:val="28"/>
          <w:szCs w:val="28"/>
        </w:rPr>
        <w:t xml:space="preserve">Федерального закона № 214-ФЗ в части страхования имущественных прав участников долевого строительства или поручительства банка по обязательствам застройщика, а также требование о залоге в пользу участников долевого строительства прав на земельный участок и строящийся многоквартирный дом и (или) иной объект недвижимости не </w:t>
      </w:r>
      <w:r w:rsidR="0013166D" w:rsidRPr="00DB1174">
        <w:rPr>
          <w:rFonts w:ascii="Times New Roman" w:hAnsi="Times New Roman" w:cs="Times New Roman"/>
          <w:sz w:val="28"/>
          <w:szCs w:val="28"/>
        </w:rPr>
        <w:t>применяются</w:t>
      </w:r>
      <w:r w:rsidRPr="00DB1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ADC970F" w14:textId="419B58E6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117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 регулирования такого нового механизма предусмотрены особенности открытия, ведения и закрытия счета эскроу для расчетов по договору участия в долевом строительстве (проектируемая статья 15</w:t>
      </w:r>
      <w:r w:rsidRPr="00DB117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51FFA" w:rsidRPr="00DB1174">
        <w:rPr>
          <w:rFonts w:ascii="Times New Roman" w:hAnsi="Times New Roman" w:cs="Times New Roman"/>
          <w:sz w:val="28"/>
          <w:szCs w:val="28"/>
        </w:rPr>
        <w:t xml:space="preserve"> Федерального закона № 214-ФЗ)</w:t>
      </w:r>
      <w:r w:rsidRPr="00DB11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9C085E" w14:textId="18466203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t>Предусмотрено, что такой счет эскроу открывается банком (эскроу-агент) для учета и блокирования денежных средств, полученных им от являющегося владельцем счета участника долевого строительства (депонента) в счет уплаты цены договора участия в долевом строительстве, в целях передачи эскроу-агентом таких средств застройщику (бенефициару) на основании передаточного акта или иного документа о передаче объекта долевого строительства, подписанного сторонами договора участия в долевом строительстве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>. Такое требование позволяет защитить средства участников долевого строительства</w:t>
      </w:r>
      <w:r w:rsidR="0013166D" w:rsidRPr="00DB1174">
        <w:rPr>
          <w:rFonts w:ascii="Times New Roman" w:hAnsi="Times New Roman" w:cs="Times New Roman"/>
          <w:sz w:val="28"/>
          <w:szCs w:val="28"/>
        </w:rPr>
        <w:t>,</w:t>
      </w:r>
      <w:r w:rsidRPr="00DB1174">
        <w:rPr>
          <w:rFonts w:ascii="Times New Roman" w:hAnsi="Times New Roman" w:cs="Times New Roman"/>
          <w:sz w:val="28"/>
          <w:szCs w:val="28"/>
        </w:rPr>
        <w:t xml:space="preserve"> и их целевым использованием в данном случае является только оплата цены договора участия в долевом строительстве после ввода объекта капитального строительства в эксплуатацию и передачи объекта долевого строительства участнику долевого строительства.</w:t>
      </w:r>
    </w:p>
    <w:p w14:paraId="2BF9E9F9" w14:textId="65723006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t>Установлено, что счет эскроу подлежит закрытию в предусмотренных Федеральным законом № 214-ФЗ случаях расторжения договора участия в долевом строительстве по соглашению сторон такого договора или в судебном</w:t>
      </w:r>
      <w:r w:rsidR="00751FFA" w:rsidRPr="00DB1174">
        <w:rPr>
          <w:rFonts w:ascii="Times New Roman" w:hAnsi="Times New Roman" w:cs="Times New Roman"/>
          <w:sz w:val="28"/>
          <w:szCs w:val="28"/>
        </w:rPr>
        <w:t xml:space="preserve"> порядке, одностороннего отказа</w:t>
      </w:r>
      <w:r w:rsidRPr="00DB1174">
        <w:rPr>
          <w:rFonts w:ascii="Times New Roman" w:hAnsi="Times New Roman" w:cs="Times New Roman"/>
          <w:sz w:val="28"/>
          <w:szCs w:val="28"/>
        </w:rPr>
        <w:t xml:space="preserve"> участника долевого строительства или застройщика  от исполнения договора участия в долевом строительстве не позднее трех рабочих дней после получения банком подтверждения о внесении в Единый государственный реестр прав (Единый государственный реестр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 недвижимости) записи о расторжении такого договора или одностороннего отказа одной из сторон от исполнения такого договора, а также в случае произведения расчетов с застройщиком по договору участия в долевом строительстве в день осуществления таких расчетов.</w:t>
      </w:r>
    </w:p>
    <w:p w14:paraId="2D91B79F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Предусмотрено, что в случае уступки участником долевого строительства, являющимся владельцем счета эскроу, прав требований по договору участия в долевом строительстве к новому участнику долевого строительства с момента </w:t>
      </w:r>
      <w:r w:rsidRPr="00DB117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уступки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4A24B619" w14:textId="3FEB873C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Также законопроектом устанавливаются </w:t>
      </w:r>
      <w:r w:rsidR="00751FFA" w:rsidRPr="00DB117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B1174">
        <w:rPr>
          <w:rFonts w:ascii="Times New Roman" w:hAnsi="Times New Roman" w:cs="Times New Roman"/>
          <w:sz w:val="28"/>
          <w:szCs w:val="28"/>
        </w:rPr>
        <w:t xml:space="preserve">требования к кредитному договору, в соответствии с которым банк предоставляет застройщику кредит на строительство многоквартирных домов и (или) иных объектов недвижимости, а средства участников долевого строительства размещаются на счетах эскроу в таком банке: </w:t>
      </w:r>
    </w:p>
    <w:p w14:paraId="7D6AA802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 xml:space="preserve">1) обязательство банка предоставить в порядке и на условиях, предусмотренных кредитным договором, целевой кредит на строительство (создание) многоквартирных домов и (или) иных объектов недвижимости в объеме, достаточном для завершения такого строительства с учетом требований банка к размеру первоначального взноса по такому кредиту; </w:t>
      </w:r>
    </w:p>
    <w:p w14:paraId="7FBC4723" w14:textId="6BADB51C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2) обязательство застройщика по согласованию с банком изменения условий договоров участия в долевом строительстве;</w:t>
      </w:r>
    </w:p>
    <w:p w14:paraId="75021800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3) порядок контроля банком целевого использования денежных сре</w:t>
      </w:r>
      <w:proofErr w:type="gramStart"/>
      <w:r w:rsidRPr="00DB11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едита, в том числе в соответствии с требованиями проектной документации; </w:t>
      </w:r>
    </w:p>
    <w:p w14:paraId="6C5FB5CD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4) обязательство застройщика по открытию в банке, с которым заключен кредитный договор, отдельного счета (счетов) для совершения всех операций, связанных с расчетами по строительству многоквартирного дома и иных объектов недвижимости;</w:t>
      </w:r>
    </w:p>
    <w:p w14:paraId="2ECE78C7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t>5) обязательство застройщика предоставлять банку информацию обо всех организациях, привлеченных застройщиком или лицами, действующими по поручению застройщика либо по договору с застройщиком, для строительства многоквартирного дома и иных объектов недвижимости, в том числе поставщиках материалов для такого строительства (полное наименование юридического лица или фамилия, имя, отчество индивидуального предпринимателя, адрес (место нахождения или место жительства), номер телефона, идентификационный номер налогоплательщика) и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 иную информацию, предоставление которой предусмотрено настоящим Федеральным законом, иными федеральными законами и кредитным договором;</w:t>
      </w:r>
    </w:p>
    <w:p w14:paraId="41FC3526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6) право банка запрашивать у застройщика иную информацию и документы, необходимые для контроля целевого использования застройщиком денежных сре</w:t>
      </w:r>
      <w:proofErr w:type="gramStart"/>
      <w:r w:rsidRPr="00DB11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>едита, и обязательство застройщика предоставлять банку такую информацию.</w:t>
      </w:r>
    </w:p>
    <w:p w14:paraId="038FB7E5" w14:textId="402BFBB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Законопроектом предусмотрено, что право использовать указанный новый механизм с размещением средств участников долевого строительства на счетах эскроу имеют только банки, в которых</w:t>
      </w:r>
      <w:r w:rsidR="00E6291B" w:rsidRPr="00DB117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B1174">
        <w:rPr>
          <w:rFonts w:ascii="Times New Roman" w:hAnsi="Times New Roman" w:cs="Times New Roman"/>
          <w:sz w:val="28"/>
          <w:szCs w:val="28"/>
        </w:rPr>
        <w:t xml:space="preserve"> частью 2 статьи 176 Жилищного кодекса Российской Федерации могут быть открыты специальные сч</w:t>
      </w:r>
      <w:r w:rsidR="008E214D" w:rsidRPr="00DB1174">
        <w:rPr>
          <w:rFonts w:ascii="Times New Roman" w:hAnsi="Times New Roman" w:cs="Times New Roman"/>
          <w:sz w:val="28"/>
          <w:szCs w:val="28"/>
        </w:rPr>
        <w:t>ета на формирование фонда капита</w:t>
      </w:r>
      <w:r w:rsidRPr="00DB1174">
        <w:rPr>
          <w:rFonts w:ascii="Times New Roman" w:hAnsi="Times New Roman" w:cs="Times New Roman"/>
          <w:sz w:val="28"/>
          <w:szCs w:val="28"/>
        </w:rPr>
        <w:t>льного ремонта многоквартирного дома.</w:t>
      </w:r>
      <w:bookmarkStart w:id="3" w:name="sub_1762"/>
      <w:r w:rsidRPr="00DB117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E6291B" w:rsidRPr="00DB1174">
        <w:rPr>
          <w:rFonts w:ascii="Times New Roman" w:hAnsi="Times New Roman" w:cs="Times New Roman"/>
          <w:sz w:val="28"/>
          <w:szCs w:val="28"/>
        </w:rPr>
        <w:t>ю</w:t>
      </w:r>
      <w:r w:rsidRPr="00DB1174">
        <w:rPr>
          <w:rFonts w:ascii="Times New Roman" w:hAnsi="Times New Roman" w:cs="Times New Roman"/>
          <w:sz w:val="28"/>
          <w:szCs w:val="28"/>
        </w:rPr>
        <w:t xml:space="preserve"> 2 статьи 176 Жилищного кодекса Российской Федерации установлено, что специальный счет может быть открыт в российских кредитных организациях, величина собственных средств (капитала) которых составляет не менее чем </w:t>
      </w:r>
      <w:r w:rsidR="002B4A54" w:rsidRPr="00DB1174">
        <w:rPr>
          <w:rFonts w:ascii="Times New Roman" w:hAnsi="Times New Roman" w:cs="Times New Roman"/>
          <w:sz w:val="28"/>
          <w:szCs w:val="28"/>
        </w:rPr>
        <w:t>20 млрд. </w:t>
      </w:r>
      <w:r w:rsidRPr="00DB1174">
        <w:rPr>
          <w:rFonts w:ascii="Times New Roman" w:hAnsi="Times New Roman" w:cs="Times New Roman"/>
          <w:sz w:val="28"/>
          <w:szCs w:val="28"/>
        </w:rPr>
        <w:t xml:space="preserve">рублей. Центральный банк Российской Федерации ежеквартально </w:t>
      </w:r>
      <w:r w:rsidRPr="00DB1174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 </w:t>
      </w:r>
      <w:hyperlink r:id="rId9" w:history="1">
        <w:r w:rsidRPr="00DB117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DB1174">
        <w:rPr>
          <w:rFonts w:ascii="Times New Roman" w:hAnsi="Times New Roman" w:cs="Times New Roman"/>
          <w:sz w:val="28"/>
          <w:szCs w:val="28"/>
        </w:rPr>
        <w:t xml:space="preserve"> о кредитных организациях, которые соответствуют указанным требованиям, на своем официальном сайте в сети "Интернет".</w:t>
      </w:r>
    </w:p>
    <w:bookmarkEnd w:id="3"/>
    <w:p w14:paraId="3B8E6B70" w14:textId="5BA937F8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t>В целях защиты средств участников долевого строительства, размещенных на счетах эскроу в указанных банках, законопроектом предлагается внести изменения в Федеральный закон от 23 декабря 2003 года № 177-ФЗ "О страховании вкладов физических лиц в банках Российской Федерации", дополнив ее новой статьей 12</w:t>
      </w:r>
      <w:r w:rsidRPr="00DB11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1174">
        <w:rPr>
          <w:rFonts w:ascii="Times New Roman" w:hAnsi="Times New Roman" w:cs="Times New Roman"/>
          <w:sz w:val="28"/>
          <w:szCs w:val="28"/>
        </w:rPr>
        <w:t>, предусматривающей особенности страхования денежных средств, размещенных на счете эскроу, открытом для расчетов по договору уча</w:t>
      </w:r>
      <w:r w:rsidR="000C6A37" w:rsidRPr="00DB1174">
        <w:rPr>
          <w:rFonts w:ascii="Times New Roman" w:hAnsi="Times New Roman" w:cs="Times New Roman"/>
          <w:sz w:val="28"/>
          <w:szCs w:val="28"/>
        </w:rPr>
        <w:t>стия в долевом строительстве.</w:t>
      </w:r>
      <w:proofErr w:type="gramEnd"/>
      <w:r w:rsidR="000C6A37" w:rsidRPr="00DB1174">
        <w:rPr>
          <w:rFonts w:ascii="Times New Roman" w:hAnsi="Times New Roman" w:cs="Times New Roman"/>
          <w:sz w:val="28"/>
          <w:szCs w:val="28"/>
        </w:rPr>
        <w:t xml:space="preserve"> В </w:t>
      </w:r>
      <w:r w:rsidRPr="00DB1174">
        <w:rPr>
          <w:rFonts w:ascii="Times New Roman" w:hAnsi="Times New Roman" w:cs="Times New Roman"/>
          <w:sz w:val="28"/>
          <w:szCs w:val="28"/>
        </w:rPr>
        <w:t xml:space="preserve">частности, законопроектом предлагается установить, что возмещение по договору счета эскроу, открытого для расчетов по договору участия в долевом строительстве, выплачивается в размере 100 процентов суммы, находящейся на указанном счете на момент наступления страхового случая, но не более </w:t>
      </w:r>
      <w:r w:rsidR="002B4A54" w:rsidRPr="00DB1174">
        <w:rPr>
          <w:rFonts w:ascii="Times New Roman" w:hAnsi="Times New Roman" w:cs="Times New Roman"/>
          <w:sz w:val="28"/>
          <w:szCs w:val="28"/>
        </w:rPr>
        <w:t>15 млн.</w:t>
      </w:r>
      <w:r w:rsidRPr="00DB117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1BC77B6" w14:textId="77777777" w:rsidR="00896A86" w:rsidRPr="00DB1174" w:rsidRDefault="00896A86" w:rsidP="00896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74">
        <w:rPr>
          <w:rFonts w:ascii="Times New Roman" w:hAnsi="Times New Roman" w:cs="Times New Roman"/>
          <w:sz w:val="28"/>
          <w:szCs w:val="28"/>
        </w:rPr>
        <w:t>Законопроектом также предусмотрены соответствующие изменения в Федеральный закон от 21 июля 1997 г. № 122-ФЗ "О государственной регистрации прав на недвижимое имущество и сделок с ним», который действует до 1 января 2017 года, и Федеральный закон от 13 июля 2015 года № 218-ФЗ "О государственной регистрации недвижимости", который вступает в силу с 1 января 2017 года, в целях приведения их норм в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proofErr w:type="gramStart"/>
      <w:r w:rsidRPr="00DB1174">
        <w:rPr>
          <w:rFonts w:ascii="Times New Roman" w:hAnsi="Times New Roman" w:cs="Times New Roman"/>
          <w:sz w:val="28"/>
          <w:szCs w:val="28"/>
        </w:rPr>
        <w:t>предлагаемыми</w:t>
      </w:r>
      <w:proofErr w:type="gramEnd"/>
      <w:r w:rsidRPr="00DB1174"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№ 214-ФЗ.</w:t>
      </w:r>
    </w:p>
    <w:p w14:paraId="5082AA71" w14:textId="77777777" w:rsidR="00877C66" w:rsidRDefault="00AD5B40" w:rsidP="00834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74">
        <w:rPr>
          <w:rFonts w:ascii="Times New Roman" w:hAnsi="Times New Roman" w:cs="Times New Roman"/>
          <w:sz w:val="28"/>
          <w:szCs w:val="28"/>
        </w:rPr>
        <w:t>Учитывая изложенное, п</w:t>
      </w:r>
      <w:r w:rsidR="00877C66" w:rsidRPr="00DB1174">
        <w:rPr>
          <w:rFonts w:ascii="Times New Roman" w:hAnsi="Times New Roman" w:cs="Times New Roman"/>
          <w:sz w:val="28"/>
          <w:szCs w:val="28"/>
        </w:rPr>
        <w:t xml:space="preserve">ринятие законопроекта позволит повысить прозрачность </w:t>
      </w:r>
      <w:r w:rsidR="00F55319" w:rsidRPr="00DB1174">
        <w:rPr>
          <w:rFonts w:ascii="Times New Roman" w:hAnsi="Times New Roman" w:cs="Times New Roman"/>
          <w:sz w:val="28"/>
          <w:szCs w:val="28"/>
        </w:rPr>
        <w:t>деятельности</w:t>
      </w:r>
      <w:r w:rsidR="00877C66" w:rsidRPr="00DB1174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F55319" w:rsidRPr="00DB1174">
        <w:rPr>
          <w:rFonts w:ascii="Times New Roman" w:hAnsi="Times New Roman" w:cs="Times New Roman"/>
          <w:sz w:val="28"/>
          <w:szCs w:val="28"/>
        </w:rPr>
        <w:t>ов, привлекающих денежные</w:t>
      </w:r>
      <w:r w:rsidR="00877C66" w:rsidRPr="00DB117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55319" w:rsidRPr="00DB1174">
        <w:rPr>
          <w:rFonts w:ascii="Times New Roman" w:hAnsi="Times New Roman" w:cs="Times New Roman"/>
          <w:sz w:val="28"/>
          <w:szCs w:val="28"/>
        </w:rPr>
        <w:t>а</w:t>
      </w:r>
      <w:r w:rsidR="00877C66" w:rsidRPr="00DB117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55319" w:rsidRPr="00DB1174">
        <w:rPr>
          <w:rFonts w:ascii="Times New Roman" w:hAnsi="Times New Roman" w:cs="Times New Roman"/>
          <w:sz w:val="28"/>
          <w:szCs w:val="28"/>
        </w:rPr>
        <w:t>,</w:t>
      </w:r>
      <w:r w:rsidR="00877C66" w:rsidRPr="00DB1174">
        <w:rPr>
          <w:rFonts w:ascii="Times New Roman" w:hAnsi="Times New Roman" w:cs="Times New Roman"/>
          <w:sz w:val="28"/>
          <w:szCs w:val="28"/>
        </w:rPr>
        <w:t xml:space="preserve"> и </w:t>
      </w:r>
      <w:r w:rsidR="00F55319" w:rsidRPr="00DB1174">
        <w:rPr>
          <w:rFonts w:ascii="Times New Roman" w:hAnsi="Times New Roman" w:cs="Times New Roman"/>
          <w:sz w:val="28"/>
          <w:szCs w:val="28"/>
        </w:rPr>
        <w:t>защищенность участников долевого строительства</w:t>
      </w:r>
      <w:r w:rsidR="00877C66" w:rsidRPr="00DB1174">
        <w:rPr>
          <w:rFonts w:ascii="Times New Roman" w:hAnsi="Times New Roman" w:cs="Times New Roman"/>
          <w:sz w:val="28"/>
          <w:szCs w:val="28"/>
        </w:rPr>
        <w:t>.</w:t>
      </w:r>
    </w:p>
    <w:p w14:paraId="3FD18605" w14:textId="77777777" w:rsidR="006A4C95" w:rsidRDefault="006A4C95" w:rsidP="00834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F46E7" w14:textId="77777777" w:rsidR="00024883" w:rsidRPr="00822E8D" w:rsidRDefault="00024883" w:rsidP="00834333">
      <w:pPr>
        <w:rPr>
          <w:rFonts w:ascii="Times New Roman" w:hAnsi="Times New Roman" w:cs="Times New Roman"/>
          <w:sz w:val="28"/>
          <w:szCs w:val="28"/>
        </w:rPr>
      </w:pPr>
    </w:p>
    <w:p w14:paraId="39200AFF" w14:textId="77777777" w:rsidR="00834333" w:rsidRPr="00822E8D" w:rsidRDefault="00834333">
      <w:pPr>
        <w:rPr>
          <w:rFonts w:ascii="Times New Roman" w:hAnsi="Times New Roman" w:cs="Times New Roman"/>
          <w:sz w:val="28"/>
          <w:szCs w:val="28"/>
        </w:rPr>
      </w:pPr>
    </w:p>
    <w:sectPr w:rsidR="00834333" w:rsidRPr="00822E8D" w:rsidSect="008343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386E8" w14:textId="77777777" w:rsidR="00726539" w:rsidRDefault="00726539" w:rsidP="002A45DE">
      <w:r>
        <w:separator/>
      </w:r>
    </w:p>
  </w:endnote>
  <w:endnote w:type="continuationSeparator" w:id="0">
    <w:p w14:paraId="7FA7FC1D" w14:textId="77777777" w:rsidR="00726539" w:rsidRDefault="00726539" w:rsidP="002A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D2357" w14:textId="77777777" w:rsidR="00726539" w:rsidRDefault="00726539" w:rsidP="002A45DE">
      <w:r>
        <w:separator/>
      </w:r>
    </w:p>
  </w:footnote>
  <w:footnote w:type="continuationSeparator" w:id="0">
    <w:p w14:paraId="72F407A4" w14:textId="77777777" w:rsidR="00726539" w:rsidRDefault="00726539" w:rsidP="002A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949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68A608" w14:textId="77777777" w:rsidR="002A45DE" w:rsidRPr="002A45DE" w:rsidRDefault="002A45D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45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45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45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89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A45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B66D42" w14:textId="77777777" w:rsidR="002A45DE" w:rsidRDefault="002A4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99"/>
    <w:multiLevelType w:val="hybridMultilevel"/>
    <w:tmpl w:val="05E4593A"/>
    <w:lvl w:ilvl="0" w:tplc="2C52D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A"/>
    <w:rsid w:val="00015A9F"/>
    <w:rsid w:val="000208F8"/>
    <w:rsid w:val="00024883"/>
    <w:rsid w:val="000349BE"/>
    <w:rsid w:val="0003667A"/>
    <w:rsid w:val="00036826"/>
    <w:rsid w:val="00045524"/>
    <w:rsid w:val="000463F3"/>
    <w:rsid w:val="000470D0"/>
    <w:rsid w:val="000647E4"/>
    <w:rsid w:val="000733EB"/>
    <w:rsid w:val="00073EDC"/>
    <w:rsid w:val="00082083"/>
    <w:rsid w:val="000948F1"/>
    <w:rsid w:val="000968DB"/>
    <w:rsid w:val="000A01C4"/>
    <w:rsid w:val="000B266F"/>
    <w:rsid w:val="000C6A37"/>
    <w:rsid w:val="000C6F2A"/>
    <w:rsid w:val="000D49C8"/>
    <w:rsid w:val="000D4B7A"/>
    <w:rsid w:val="000F0277"/>
    <w:rsid w:val="000F082B"/>
    <w:rsid w:val="00104D7E"/>
    <w:rsid w:val="001119DB"/>
    <w:rsid w:val="00122A0F"/>
    <w:rsid w:val="0013166D"/>
    <w:rsid w:val="00133F2A"/>
    <w:rsid w:val="001367FD"/>
    <w:rsid w:val="00140777"/>
    <w:rsid w:val="001560EC"/>
    <w:rsid w:val="00164239"/>
    <w:rsid w:val="00181DE9"/>
    <w:rsid w:val="00185DE7"/>
    <w:rsid w:val="0019143C"/>
    <w:rsid w:val="001915A9"/>
    <w:rsid w:val="001B113F"/>
    <w:rsid w:val="001B38DE"/>
    <w:rsid w:val="001B4149"/>
    <w:rsid w:val="001C07FC"/>
    <w:rsid w:val="001D3312"/>
    <w:rsid w:val="001D6ACD"/>
    <w:rsid w:val="001E320B"/>
    <w:rsid w:val="001E4015"/>
    <w:rsid w:val="001F1706"/>
    <w:rsid w:val="001F5532"/>
    <w:rsid w:val="002009C6"/>
    <w:rsid w:val="00202177"/>
    <w:rsid w:val="00202263"/>
    <w:rsid w:val="002026FC"/>
    <w:rsid w:val="00202ACD"/>
    <w:rsid w:val="00204BA2"/>
    <w:rsid w:val="0020574E"/>
    <w:rsid w:val="002100D6"/>
    <w:rsid w:val="002122DA"/>
    <w:rsid w:val="002337EB"/>
    <w:rsid w:val="00246E3D"/>
    <w:rsid w:val="00251B33"/>
    <w:rsid w:val="00253B61"/>
    <w:rsid w:val="0025676A"/>
    <w:rsid w:val="00260261"/>
    <w:rsid w:val="00260374"/>
    <w:rsid w:val="002613CE"/>
    <w:rsid w:val="00262DAF"/>
    <w:rsid w:val="002649BD"/>
    <w:rsid w:val="00266183"/>
    <w:rsid w:val="00271962"/>
    <w:rsid w:val="002803FD"/>
    <w:rsid w:val="00281D97"/>
    <w:rsid w:val="002914B9"/>
    <w:rsid w:val="002A0D92"/>
    <w:rsid w:val="002A45DE"/>
    <w:rsid w:val="002A4E4E"/>
    <w:rsid w:val="002B4517"/>
    <w:rsid w:val="002B4A54"/>
    <w:rsid w:val="002B5182"/>
    <w:rsid w:val="002B72A7"/>
    <w:rsid w:val="002C0D4B"/>
    <w:rsid w:val="002C510D"/>
    <w:rsid w:val="002D674F"/>
    <w:rsid w:val="002D6F83"/>
    <w:rsid w:val="002E3734"/>
    <w:rsid w:val="002F20A7"/>
    <w:rsid w:val="003024D6"/>
    <w:rsid w:val="00305B93"/>
    <w:rsid w:val="0031192D"/>
    <w:rsid w:val="00314E75"/>
    <w:rsid w:val="00323366"/>
    <w:rsid w:val="003456A0"/>
    <w:rsid w:val="00352150"/>
    <w:rsid w:val="00363CDF"/>
    <w:rsid w:val="00372BBC"/>
    <w:rsid w:val="0037372D"/>
    <w:rsid w:val="00373B60"/>
    <w:rsid w:val="0037495D"/>
    <w:rsid w:val="00375FE0"/>
    <w:rsid w:val="00391E24"/>
    <w:rsid w:val="00397457"/>
    <w:rsid w:val="003A7771"/>
    <w:rsid w:val="003B593E"/>
    <w:rsid w:val="003B6B39"/>
    <w:rsid w:val="003D0F92"/>
    <w:rsid w:val="003E3D23"/>
    <w:rsid w:val="003E4DC7"/>
    <w:rsid w:val="003F2D7A"/>
    <w:rsid w:val="00403C64"/>
    <w:rsid w:val="0040720F"/>
    <w:rsid w:val="004201A1"/>
    <w:rsid w:val="00422424"/>
    <w:rsid w:val="00426361"/>
    <w:rsid w:val="00426FBB"/>
    <w:rsid w:val="004303CA"/>
    <w:rsid w:val="004349FC"/>
    <w:rsid w:val="00447D40"/>
    <w:rsid w:val="0045066A"/>
    <w:rsid w:val="00452F8E"/>
    <w:rsid w:val="0046566F"/>
    <w:rsid w:val="00472838"/>
    <w:rsid w:val="00480965"/>
    <w:rsid w:val="00482D3F"/>
    <w:rsid w:val="00485530"/>
    <w:rsid w:val="004A2C21"/>
    <w:rsid w:val="004C1BF1"/>
    <w:rsid w:val="004C6123"/>
    <w:rsid w:val="004D1F96"/>
    <w:rsid w:val="004D3127"/>
    <w:rsid w:val="004E3FDE"/>
    <w:rsid w:val="004F5E8C"/>
    <w:rsid w:val="004F68B2"/>
    <w:rsid w:val="004F7432"/>
    <w:rsid w:val="005020C0"/>
    <w:rsid w:val="005033E2"/>
    <w:rsid w:val="00507735"/>
    <w:rsid w:val="005173A5"/>
    <w:rsid w:val="00520340"/>
    <w:rsid w:val="00531370"/>
    <w:rsid w:val="00536369"/>
    <w:rsid w:val="00537C3A"/>
    <w:rsid w:val="005426DE"/>
    <w:rsid w:val="00543253"/>
    <w:rsid w:val="00543A3E"/>
    <w:rsid w:val="00544C86"/>
    <w:rsid w:val="00546FF9"/>
    <w:rsid w:val="005568D9"/>
    <w:rsid w:val="0055737A"/>
    <w:rsid w:val="0057301B"/>
    <w:rsid w:val="00576359"/>
    <w:rsid w:val="0058088C"/>
    <w:rsid w:val="00585F6E"/>
    <w:rsid w:val="00592F24"/>
    <w:rsid w:val="005C476D"/>
    <w:rsid w:val="005D1E93"/>
    <w:rsid w:val="005D1F6E"/>
    <w:rsid w:val="005D3C68"/>
    <w:rsid w:val="005D43D1"/>
    <w:rsid w:val="005D4BEA"/>
    <w:rsid w:val="005D5393"/>
    <w:rsid w:val="005E6A16"/>
    <w:rsid w:val="005F07D7"/>
    <w:rsid w:val="005F3BB9"/>
    <w:rsid w:val="005F3EF7"/>
    <w:rsid w:val="005F4DEA"/>
    <w:rsid w:val="00605A70"/>
    <w:rsid w:val="006067BC"/>
    <w:rsid w:val="00610ED0"/>
    <w:rsid w:val="00625C21"/>
    <w:rsid w:val="00635C31"/>
    <w:rsid w:val="00635E59"/>
    <w:rsid w:val="006501FD"/>
    <w:rsid w:val="00653C36"/>
    <w:rsid w:val="006544E7"/>
    <w:rsid w:val="0066054F"/>
    <w:rsid w:val="00664420"/>
    <w:rsid w:val="0067231B"/>
    <w:rsid w:val="00673069"/>
    <w:rsid w:val="00693691"/>
    <w:rsid w:val="00695CE2"/>
    <w:rsid w:val="006A2122"/>
    <w:rsid w:val="006A4C95"/>
    <w:rsid w:val="006C6C3A"/>
    <w:rsid w:val="006D36EF"/>
    <w:rsid w:val="006F17C8"/>
    <w:rsid w:val="006F4E24"/>
    <w:rsid w:val="006F6F4A"/>
    <w:rsid w:val="0070409D"/>
    <w:rsid w:val="00710236"/>
    <w:rsid w:val="00713595"/>
    <w:rsid w:val="0071388F"/>
    <w:rsid w:val="007148D4"/>
    <w:rsid w:val="00716037"/>
    <w:rsid w:val="00721A17"/>
    <w:rsid w:val="00724772"/>
    <w:rsid w:val="00725D9B"/>
    <w:rsid w:val="00726539"/>
    <w:rsid w:val="007307ED"/>
    <w:rsid w:val="00732EB2"/>
    <w:rsid w:val="007351EF"/>
    <w:rsid w:val="00736075"/>
    <w:rsid w:val="0074737B"/>
    <w:rsid w:val="007508C9"/>
    <w:rsid w:val="00751FFA"/>
    <w:rsid w:val="00760EB3"/>
    <w:rsid w:val="00763246"/>
    <w:rsid w:val="00770683"/>
    <w:rsid w:val="007710FF"/>
    <w:rsid w:val="00771298"/>
    <w:rsid w:val="00772CAE"/>
    <w:rsid w:val="0078501D"/>
    <w:rsid w:val="0079598C"/>
    <w:rsid w:val="007A4A14"/>
    <w:rsid w:val="007B15E2"/>
    <w:rsid w:val="007D1EC4"/>
    <w:rsid w:val="007D57F9"/>
    <w:rsid w:val="007D5A92"/>
    <w:rsid w:val="007D5B7B"/>
    <w:rsid w:val="007D6F36"/>
    <w:rsid w:val="007E1546"/>
    <w:rsid w:val="007E5894"/>
    <w:rsid w:val="007E768E"/>
    <w:rsid w:val="007F1ED5"/>
    <w:rsid w:val="007F3D17"/>
    <w:rsid w:val="007F5484"/>
    <w:rsid w:val="0080460F"/>
    <w:rsid w:val="00804D46"/>
    <w:rsid w:val="00806D70"/>
    <w:rsid w:val="0081005B"/>
    <w:rsid w:val="0081116B"/>
    <w:rsid w:val="00817BDF"/>
    <w:rsid w:val="008203A8"/>
    <w:rsid w:val="00822E8D"/>
    <w:rsid w:val="00823658"/>
    <w:rsid w:val="00830C7B"/>
    <w:rsid w:val="00834333"/>
    <w:rsid w:val="00835FA6"/>
    <w:rsid w:val="00841331"/>
    <w:rsid w:val="00842309"/>
    <w:rsid w:val="00843CDF"/>
    <w:rsid w:val="00850581"/>
    <w:rsid w:val="0085627F"/>
    <w:rsid w:val="0086347A"/>
    <w:rsid w:val="008635F7"/>
    <w:rsid w:val="00871881"/>
    <w:rsid w:val="00873113"/>
    <w:rsid w:val="00876029"/>
    <w:rsid w:val="00877C66"/>
    <w:rsid w:val="008877A0"/>
    <w:rsid w:val="0089112B"/>
    <w:rsid w:val="00893531"/>
    <w:rsid w:val="008948BF"/>
    <w:rsid w:val="00896A86"/>
    <w:rsid w:val="008A1340"/>
    <w:rsid w:val="008A3A16"/>
    <w:rsid w:val="008A509E"/>
    <w:rsid w:val="008B10C2"/>
    <w:rsid w:val="008C12D4"/>
    <w:rsid w:val="008C339E"/>
    <w:rsid w:val="008C42E3"/>
    <w:rsid w:val="008C58BE"/>
    <w:rsid w:val="008C772B"/>
    <w:rsid w:val="008D18CC"/>
    <w:rsid w:val="008D1F80"/>
    <w:rsid w:val="008E214D"/>
    <w:rsid w:val="008E6DAB"/>
    <w:rsid w:val="008F1B95"/>
    <w:rsid w:val="008F4027"/>
    <w:rsid w:val="00902513"/>
    <w:rsid w:val="00915381"/>
    <w:rsid w:val="009201B3"/>
    <w:rsid w:val="0092136B"/>
    <w:rsid w:val="009277EB"/>
    <w:rsid w:val="00927900"/>
    <w:rsid w:val="009329D0"/>
    <w:rsid w:val="00933F49"/>
    <w:rsid w:val="009377A6"/>
    <w:rsid w:val="00941B5F"/>
    <w:rsid w:val="00942A82"/>
    <w:rsid w:val="00943280"/>
    <w:rsid w:val="009450A5"/>
    <w:rsid w:val="009452CD"/>
    <w:rsid w:val="00952BFF"/>
    <w:rsid w:val="009743C0"/>
    <w:rsid w:val="00974760"/>
    <w:rsid w:val="009818C3"/>
    <w:rsid w:val="00984F9F"/>
    <w:rsid w:val="00990F5B"/>
    <w:rsid w:val="0099332D"/>
    <w:rsid w:val="009940A1"/>
    <w:rsid w:val="009B5D80"/>
    <w:rsid w:val="009C2EDD"/>
    <w:rsid w:val="009D382A"/>
    <w:rsid w:val="009D547A"/>
    <w:rsid w:val="009D55EF"/>
    <w:rsid w:val="009E2E62"/>
    <w:rsid w:val="009E5FF3"/>
    <w:rsid w:val="00A11644"/>
    <w:rsid w:val="00A16263"/>
    <w:rsid w:val="00A170AE"/>
    <w:rsid w:val="00A2170B"/>
    <w:rsid w:val="00A22D3D"/>
    <w:rsid w:val="00A307BB"/>
    <w:rsid w:val="00A3445C"/>
    <w:rsid w:val="00A35B05"/>
    <w:rsid w:val="00A4348C"/>
    <w:rsid w:val="00A43657"/>
    <w:rsid w:val="00A4720A"/>
    <w:rsid w:val="00A478AE"/>
    <w:rsid w:val="00A50D0E"/>
    <w:rsid w:val="00A5140E"/>
    <w:rsid w:val="00A52086"/>
    <w:rsid w:val="00A55CD9"/>
    <w:rsid w:val="00A570BE"/>
    <w:rsid w:val="00A648EF"/>
    <w:rsid w:val="00A726DB"/>
    <w:rsid w:val="00A85E0C"/>
    <w:rsid w:val="00A8606C"/>
    <w:rsid w:val="00A93125"/>
    <w:rsid w:val="00AA2891"/>
    <w:rsid w:val="00AA75BD"/>
    <w:rsid w:val="00AB105A"/>
    <w:rsid w:val="00AB2C2B"/>
    <w:rsid w:val="00AC1730"/>
    <w:rsid w:val="00AC5D56"/>
    <w:rsid w:val="00AD063E"/>
    <w:rsid w:val="00AD4720"/>
    <w:rsid w:val="00AD56A8"/>
    <w:rsid w:val="00AD5B40"/>
    <w:rsid w:val="00AE7CAC"/>
    <w:rsid w:val="00AF7CBA"/>
    <w:rsid w:val="00B01138"/>
    <w:rsid w:val="00B02EFE"/>
    <w:rsid w:val="00B04519"/>
    <w:rsid w:val="00B04DC9"/>
    <w:rsid w:val="00B05EA9"/>
    <w:rsid w:val="00B10E60"/>
    <w:rsid w:val="00B143C4"/>
    <w:rsid w:val="00B17894"/>
    <w:rsid w:val="00B206BE"/>
    <w:rsid w:val="00B23CAF"/>
    <w:rsid w:val="00B26FB5"/>
    <w:rsid w:val="00B31AE0"/>
    <w:rsid w:val="00B46629"/>
    <w:rsid w:val="00B60786"/>
    <w:rsid w:val="00B6214E"/>
    <w:rsid w:val="00B65047"/>
    <w:rsid w:val="00B72919"/>
    <w:rsid w:val="00B81571"/>
    <w:rsid w:val="00B8764A"/>
    <w:rsid w:val="00B91A3A"/>
    <w:rsid w:val="00BB085F"/>
    <w:rsid w:val="00BB191F"/>
    <w:rsid w:val="00BB4D61"/>
    <w:rsid w:val="00BB6B0B"/>
    <w:rsid w:val="00BD0CB9"/>
    <w:rsid w:val="00BD2327"/>
    <w:rsid w:val="00BD6782"/>
    <w:rsid w:val="00BE020C"/>
    <w:rsid w:val="00BE5BE7"/>
    <w:rsid w:val="00BE6187"/>
    <w:rsid w:val="00BF7650"/>
    <w:rsid w:val="00BF79D7"/>
    <w:rsid w:val="00C01081"/>
    <w:rsid w:val="00C03ABA"/>
    <w:rsid w:val="00C0493E"/>
    <w:rsid w:val="00C06C0A"/>
    <w:rsid w:val="00C138BB"/>
    <w:rsid w:val="00C22F93"/>
    <w:rsid w:val="00C234E8"/>
    <w:rsid w:val="00C25657"/>
    <w:rsid w:val="00C26E58"/>
    <w:rsid w:val="00C4538E"/>
    <w:rsid w:val="00C45CDE"/>
    <w:rsid w:val="00C53F1F"/>
    <w:rsid w:val="00C66255"/>
    <w:rsid w:val="00C67D03"/>
    <w:rsid w:val="00C76088"/>
    <w:rsid w:val="00C80944"/>
    <w:rsid w:val="00C9270D"/>
    <w:rsid w:val="00C9579D"/>
    <w:rsid w:val="00C97F22"/>
    <w:rsid w:val="00CA0133"/>
    <w:rsid w:val="00CA0D13"/>
    <w:rsid w:val="00CA55AB"/>
    <w:rsid w:val="00CB37DA"/>
    <w:rsid w:val="00CB467B"/>
    <w:rsid w:val="00CB5144"/>
    <w:rsid w:val="00CC32A6"/>
    <w:rsid w:val="00CC37F0"/>
    <w:rsid w:val="00CC6CFF"/>
    <w:rsid w:val="00CE2B3B"/>
    <w:rsid w:val="00CF20E1"/>
    <w:rsid w:val="00CF4285"/>
    <w:rsid w:val="00D00339"/>
    <w:rsid w:val="00D073BB"/>
    <w:rsid w:val="00D11369"/>
    <w:rsid w:val="00D11956"/>
    <w:rsid w:val="00D25193"/>
    <w:rsid w:val="00D2599B"/>
    <w:rsid w:val="00D26FF7"/>
    <w:rsid w:val="00D3077B"/>
    <w:rsid w:val="00D342CB"/>
    <w:rsid w:val="00D43432"/>
    <w:rsid w:val="00D62DCD"/>
    <w:rsid w:val="00D66D22"/>
    <w:rsid w:val="00D7019D"/>
    <w:rsid w:val="00D814FC"/>
    <w:rsid w:val="00D8180F"/>
    <w:rsid w:val="00D82C28"/>
    <w:rsid w:val="00D837D3"/>
    <w:rsid w:val="00D85FF4"/>
    <w:rsid w:val="00D86A21"/>
    <w:rsid w:val="00D86E09"/>
    <w:rsid w:val="00D94278"/>
    <w:rsid w:val="00D9528A"/>
    <w:rsid w:val="00D95819"/>
    <w:rsid w:val="00D95F88"/>
    <w:rsid w:val="00DA69D7"/>
    <w:rsid w:val="00DB0EAC"/>
    <w:rsid w:val="00DB1174"/>
    <w:rsid w:val="00DC3C13"/>
    <w:rsid w:val="00DC6079"/>
    <w:rsid w:val="00DD1C5C"/>
    <w:rsid w:val="00DD32B0"/>
    <w:rsid w:val="00DF4C30"/>
    <w:rsid w:val="00DF5370"/>
    <w:rsid w:val="00E03EF0"/>
    <w:rsid w:val="00E150C1"/>
    <w:rsid w:val="00E222C6"/>
    <w:rsid w:val="00E26928"/>
    <w:rsid w:val="00E418F7"/>
    <w:rsid w:val="00E42987"/>
    <w:rsid w:val="00E54210"/>
    <w:rsid w:val="00E6291B"/>
    <w:rsid w:val="00E64F15"/>
    <w:rsid w:val="00E907AA"/>
    <w:rsid w:val="00E919A2"/>
    <w:rsid w:val="00EB175F"/>
    <w:rsid w:val="00EB200C"/>
    <w:rsid w:val="00EC53E6"/>
    <w:rsid w:val="00EC79C9"/>
    <w:rsid w:val="00ED1C93"/>
    <w:rsid w:val="00ED67AE"/>
    <w:rsid w:val="00ED7209"/>
    <w:rsid w:val="00EF4BA9"/>
    <w:rsid w:val="00F06DB9"/>
    <w:rsid w:val="00F124FA"/>
    <w:rsid w:val="00F133EB"/>
    <w:rsid w:val="00F142DD"/>
    <w:rsid w:val="00F2142D"/>
    <w:rsid w:val="00F21DD4"/>
    <w:rsid w:val="00F51F1E"/>
    <w:rsid w:val="00F54D52"/>
    <w:rsid w:val="00F55319"/>
    <w:rsid w:val="00F62E0C"/>
    <w:rsid w:val="00F6366A"/>
    <w:rsid w:val="00F66B69"/>
    <w:rsid w:val="00F768D4"/>
    <w:rsid w:val="00F8131A"/>
    <w:rsid w:val="00F8535C"/>
    <w:rsid w:val="00F86B15"/>
    <w:rsid w:val="00F94A09"/>
    <w:rsid w:val="00FA0760"/>
    <w:rsid w:val="00FA5AD5"/>
    <w:rsid w:val="00FA6A91"/>
    <w:rsid w:val="00FA7BA7"/>
    <w:rsid w:val="00FB5A24"/>
    <w:rsid w:val="00FB5A9F"/>
    <w:rsid w:val="00FB5FB4"/>
    <w:rsid w:val="00FB6842"/>
    <w:rsid w:val="00FC1113"/>
    <w:rsid w:val="00FD5220"/>
    <w:rsid w:val="00FD56F9"/>
    <w:rsid w:val="00FE2106"/>
    <w:rsid w:val="00FF0110"/>
    <w:rsid w:val="00FF45E5"/>
    <w:rsid w:val="00FF4B20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0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F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14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42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4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14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14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7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F07D7"/>
  </w:style>
  <w:style w:type="paragraph" w:styleId="ab">
    <w:name w:val="header"/>
    <w:basedOn w:val="a"/>
    <w:link w:val="ac"/>
    <w:uiPriority w:val="99"/>
    <w:unhideWhenUsed/>
    <w:rsid w:val="002A45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45DE"/>
  </w:style>
  <w:style w:type="paragraph" w:styleId="ad">
    <w:name w:val="footer"/>
    <w:basedOn w:val="a"/>
    <w:link w:val="ae"/>
    <w:uiPriority w:val="99"/>
    <w:unhideWhenUsed/>
    <w:rsid w:val="002A45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45DE"/>
  </w:style>
  <w:style w:type="paragraph" w:customStyle="1" w:styleId="af">
    <w:name w:val="Заголовок статьи"/>
    <w:basedOn w:val="a"/>
    <w:next w:val="a"/>
    <w:uiPriority w:val="99"/>
    <w:rsid w:val="005D1E9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7306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F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14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42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4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14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14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7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F07D7"/>
  </w:style>
  <w:style w:type="paragraph" w:styleId="ab">
    <w:name w:val="header"/>
    <w:basedOn w:val="a"/>
    <w:link w:val="ac"/>
    <w:uiPriority w:val="99"/>
    <w:unhideWhenUsed/>
    <w:rsid w:val="002A45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45DE"/>
  </w:style>
  <w:style w:type="paragraph" w:styleId="ad">
    <w:name w:val="footer"/>
    <w:basedOn w:val="a"/>
    <w:link w:val="ae"/>
    <w:uiPriority w:val="99"/>
    <w:unhideWhenUsed/>
    <w:rsid w:val="002A45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45DE"/>
  </w:style>
  <w:style w:type="paragraph" w:customStyle="1" w:styleId="af">
    <w:name w:val="Заголовок статьи"/>
    <w:basedOn w:val="a"/>
    <w:next w:val="a"/>
    <w:uiPriority w:val="99"/>
    <w:rsid w:val="005D1E9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7306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7730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24F8-C251-48A6-BC76-B428925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Пособчук Олеся Анатольевна</cp:lastModifiedBy>
  <cp:revision>2</cp:revision>
  <cp:lastPrinted>2015-11-05T12:23:00Z</cp:lastPrinted>
  <dcterms:created xsi:type="dcterms:W3CDTF">2015-11-13T07:09:00Z</dcterms:created>
  <dcterms:modified xsi:type="dcterms:W3CDTF">2015-11-13T07:09:00Z</dcterms:modified>
</cp:coreProperties>
</file>