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69" w:rsidRPr="00206F8F" w:rsidRDefault="00C91669" w:rsidP="00C91669">
      <w:pPr>
        <w:pStyle w:val="Default"/>
        <w:jc w:val="center"/>
        <w:rPr>
          <w:b/>
        </w:rPr>
      </w:pPr>
      <w:r w:rsidRPr="00206F8F">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заместителя Председателя Банка России </w:t>
      </w:r>
      <w:r>
        <w:rPr>
          <w:b/>
        </w:rPr>
        <w:t>А.Б. Заботкину</w:t>
      </w:r>
    </w:p>
    <w:tbl>
      <w:tblPr>
        <w:tblStyle w:val="a3"/>
        <w:tblW w:w="15339" w:type="dxa"/>
        <w:tblInd w:w="-176" w:type="dxa"/>
        <w:tblLook w:val="04A0" w:firstRow="1" w:lastRow="0" w:firstColumn="1" w:lastColumn="0" w:noHBand="0" w:noVBand="1"/>
      </w:tblPr>
      <w:tblGrid>
        <w:gridCol w:w="568"/>
        <w:gridCol w:w="6691"/>
        <w:gridCol w:w="8080"/>
      </w:tblGrid>
      <w:tr w:rsidR="00C91669" w:rsidRPr="00C91669" w:rsidTr="00EE7211">
        <w:tc>
          <w:tcPr>
            <w:tcW w:w="568" w:type="dxa"/>
            <w:vAlign w:val="center"/>
          </w:tcPr>
          <w:p w:rsidR="00C91669" w:rsidRPr="00C91669" w:rsidRDefault="00C91669" w:rsidP="00C91669">
            <w:pPr>
              <w:spacing w:after="0" w:line="240" w:lineRule="auto"/>
              <w:jc w:val="center"/>
              <w:rPr>
                <w:rFonts w:ascii="Times New Roman" w:hAnsi="Times New Roman" w:cs="Times New Roman"/>
                <w:b/>
                <w:sz w:val="24"/>
                <w:szCs w:val="24"/>
              </w:rPr>
            </w:pPr>
            <w:r w:rsidRPr="00C91669">
              <w:rPr>
                <w:rFonts w:ascii="Times New Roman" w:hAnsi="Times New Roman" w:cs="Times New Roman"/>
                <w:b/>
                <w:sz w:val="24"/>
                <w:szCs w:val="24"/>
              </w:rPr>
              <w:t>№ п/п</w:t>
            </w:r>
          </w:p>
        </w:tc>
        <w:tc>
          <w:tcPr>
            <w:tcW w:w="6691" w:type="dxa"/>
            <w:tcBorders>
              <w:bottom w:val="single" w:sz="4" w:space="0" w:color="auto"/>
            </w:tcBorders>
            <w:vAlign w:val="center"/>
          </w:tcPr>
          <w:p w:rsidR="00C91669" w:rsidRPr="00C91669" w:rsidRDefault="00C91669" w:rsidP="00C91669">
            <w:pPr>
              <w:spacing w:after="0" w:line="240" w:lineRule="auto"/>
              <w:jc w:val="center"/>
              <w:rPr>
                <w:rFonts w:ascii="Times New Roman" w:hAnsi="Times New Roman" w:cs="Times New Roman"/>
                <w:b/>
                <w:sz w:val="24"/>
                <w:szCs w:val="24"/>
              </w:rPr>
            </w:pPr>
            <w:r w:rsidRPr="00C91669">
              <w:rPr>
                <w:rFonts w:ascii="Times New Roman" w:hAnsi="Times New Roman" w:cs="Times New Roman"/>
                <w:b/>
                <w:sz w:val="24"/>
                <w:szCs w:val="24"/>
              </w:rPr>
              <w:t>Вопрос (предложения) КО</w:t>
            </w:r>
          </w:p>
        </w:tc>
        <w:tc>
          <w:tcPr>
            <w:tcW w:w="8080" w:type="dxa"/>
            <w:vAlign w:val="center"/>
          </w:tcPr>
          <w:p w:rsidR="00C91669" w:rsidRPr="00C91669" w:rsidRDefault="00C91669" w:rsidP="00C91669">
            <w:pPr>
              <w:spacing w:after="0" w:line="240" w:lineRule="auto"/>
              <w:jc w:val="center"/>
              <w:rPr>
                <w:rFonts w:ascii="Times New Roman" w:hAnsi="Times New Roman" w:cs="Times New Roman"/>
                <w:b/>
                <w:sz w:val="24"/>
                <w:szCs w:val="24"/>
              </w:rPr>
            </w:pPr>
            <w:r w:rsidRPr="00C91669">
              <w:rPr>
                <w:rFonts w:ascii="Times New Roman" w:hAnsi="Times New Roman" w:cs="Times New Roman"/>
                <w:b/>
                <w:sz w:val="24"/>
                <w:szCs w:val="24"/>
              </w:rPr>
              <w:t xml:space="preserve">Комментарии </w:t>
            </w:r>
          </w:p>
        </w:tc>
      </w:tr>
      <w:tr w:rsidR="002E4491" w:rsidRPr="00C91669" w:rsidTr="00EE7211">
        <w:tc>
          <w:tcPr>
            <w:tcW w:w="568" w:type="dxa"/>
            <w:vMerge w:val="restart"/>
          </w:tcPr>
          <w:p w:rsidR="002E4491" w:rsidRPr="00C91669" w:rsidRDefault="002E4491" w:rsidP="00C91669">
            <w:pPr>
              <w:spacing w:after="0" w:line="240" w:lineRule="auto"/>
              <w:jc w:val="center"/>
              <w:rPr>
                <w:rFonts w:ascii="Times New Roman" w:hAnsi="Times New Roman" w:cs="Times New Roman"/>
                <w:sz w:val="24"/>
                <w:szCs w:val="24"/>
              </w:rPr>
            </w:pPr>
            <w:r w:rsidRPr="00C91669">
              <w:rPr>
                <w:rFonts w:ascii="Times New Roman" w:hAnsi="Times New Roman" w:cs="Times New Roman"/>
                <w:sz w:val="24"/>
                <w:szCs w:val="24"/>
              </w:rPr>
              <w:t>1</w:t>
            </w:r>
          </w:p>
          <w:p w:rsidR="002E4491" w:rsidRPr="00C91669" w:rsidRDefault="002E4491" w:rsidP="00C91669">
            <w:pPr>
              <w:spacing w:after="0" w:line="240" w:lineRule="auto"/>
              <w:jc w:val="center"/>
              <w:rPr>
                <w:rFonts w:ascii="Times New Roman" w:hAnsi="Times New Roman" w:cs="Times New Roman"/>
                <w:sz w:val="24"/>
                <w:szCs w:val="24"/>
              </w:rPr>
            </w:pPr>
          </w:p>
        </w:tc>
        <w:tc>
          <w:tcPr>
            <w:tcW w:w="6691" w:type="dxa"/>
            <w:tcBorders>
              <w:bottom w:val="nil"/>
            </w:tcBorders>
          </w:tcPr>
          <w:p w:rsidR="002E4491" w:rsidRPr="00C91669" w:rsidRDefault="002E4491" w:rsidP="00C91669">
            <w:pPr>
              <w:spacing w:after="0" w:line="240" w:lineRule="auto"/>
              <w:ind w:firstLine="204"/>
              <w:jc w:val="both"/>
              <w:rPr>
                <w:rFonts w:ascii="Times New Roman" w:hAnsi="Times New Roman" w:cs="Times New Roman"/>
                <w:sz w:val="24"/>
                <w:szCs w:val="24"/>
              </w:rPr>
            </w:pPr>
            <w:r w:rsidRPr="00C91669">
              <w:rPr>
                <w:rFonts w:ascii="Times New Roman" w:hAnsi="Times New Roman" w:cs="Times New Roman"/>
                <w:sz w:val="24"/>
                <w:szCs w:val="24"/>
              </w:rPr>
              <w:t>В 2020 году ключевая ставка ЦБ РФ стала без лишнего преувеличения основным инструментом денежно-кредитной политики. Стоит ли в 2021 ожидать от ЦБ РФ смены приоритетов в инструментах?</w:t>
            </w:r>
          </w:p>
        </w:tc>
        <w:tc>
          <w:tcPr>
            <w:tcW w:w="8080" w:type="dxa"/>
            <w:vMerge w:val="restart"/>
          </w:tcPr>
          <w:p w:rsidR="002E4491" w:rsidRPr="00F048C7" w:rsidRDefault="002E4491" w:rsidP="00F048C7">
            <w:pPr>
              <w:spacing w:after="0" w:line="240" w:lineRule="auto"/>
              <w:ind w:firstLine="317"/>
              <w:jc w:val="both"/>
              <w:rPr>
                <w:rFonts w:ascii="Times New Roman" w:eastAsia="Times New Roman" w:hAnsi="Times New Roman" w:cs="Times New Roman"/>
                <w:sz w:val="24"/>
                <w:szCs w:val="24"/>
                <w:lang w:eastAsia="ru-RU"/>
              </w:rPr>
            </w:pPr>
            <w:r w:rsidRPr="00F048C7">
              <w:rPr>
                <w:rFonts w:ascii="Times New Roman" w:eastAsia="Times New Roman" w:hAnsi="Times New Roman" w:cs="Times New Roman"/>
                <w:sz w:val="24"/>
                <w:szCs w:val="24"/>
                <w:lang w:eastAsia="ru-RU"/>
              </w:rPr>
              <w:t>В Основных направлениях единой государственной денежно-кредитной политики на 2021 год и период 2022 и 2023 годов (далее – ОНЕГДКП), являющихся стратегическим документом Банка России, определено, что Банк России будет проводить денежно-кредитную политику в рамках режима таргетирования инфляции, направленную на поддержание инфляции вблизи 4%, а также то, что основным инструментом денежно-кредитной политики остается ключевая ставка.  Кроме этого, в ОНЕГДКП определено, что Банк России будет продолжать уделять значительное внимание его информационной политике, в том числе разъяснению общественности принятых решений по денежно-кредитной политике и намерений в отношении будущих действий.</w:t>
            </w:r>
          </w:p>
          <w:p w:rsidR="0011095D" w:rsidRPr="0011095D" w:rsidRDefault="0011095D" w:rsidP="0011095D">
            <w:pPr>
              <w:tabs>
                <w:tab w:val="left" w:pos="851"/>
              </w:tabs>
              <w:spacing w:after="0" w:line="240" w:lineRule="auto"/>
              <w:ind w:firstLine="317"/>
              <w:jc w:val="both"/>
              <w:rPr>
                <w:rFonts w:ascii="Times New Roman" w:eastAsia="Times New Roman" w:hAnsi="Times New Roman" w:cs="Times New Roman"/>
                <w:sz w:val="24"/>
                <w:szCs w:val="24"/>
                <w:lang w:eastAsia="ru-RU"/>
              </w:rPr>
            </w:pPr>
            <w:r w:rsidRPr="0011095D">
              <w:rPr>
                <w:rFonts w:ascii="Times New Roman" w:eastAsia="Calibri" w:hAnsi="Times New Roman" w:cs="Times New Roman"/>
                <w:sz w:val="24"/>
                <w:szCs w:val="24"/>
              </w:rPr>
              <w:t>Мягкая денежно-кредитная политика наряду с мерами Правительства сыграла важную роль в восстановлении экономики в 2020 году. При этом восстановление внутреннего спроса приобретает устойчивость и происходит быстрее, чем ожидалось, усиливается инфляционное давление и проинфляционные риски. В этих условиях в</w:t>
            </w:r>
            <w:r w:rsidRPr="0011095D">
              <w:rPr>
                <w:rFonts w:ascii="Times New Roman" w:eastAsia="Times New Roman" w:hAnsi="Times New Roman" w:cs="Times New Roman"/>
                <w:sz w:val="24"/>
                <w:szCs w:val="24"/>
                <w:lang w:eastAsia="ru-RU"/>
              </w:rPr>
              <w:t xml:space="preserve"> марте 2021 года Банк России начал возвращение к нейтральной денежно-кредитной политике, повысив ключевую ставку на 25 базисных пунктов до 4,50% годовых. </w:t>
            </w:r>
          </w:p>
          <w:p w:rsidR="0011095D" w:rsidRPr="0011095D" w:rsidRDefault="0011095D" w:rsidP="0011095D">
            <w:pPr>
              <w:tabs>
                <w:tab w:val="left" w:pos="851"/>
              </w:tabs>
              <w:spacing w:after="0" w:line="240" w:lineRule="auto"/>
              <w:ind w:firstLine="317"/>
              <w:jc w:val="both"/>
              <w:rPr>
                <w:rFonts w:ascii="Times New Roman" w:eastAsia="Times New Roman" w:hAnsi="Times New Roman" w:cs="Times New Roman"/>
                <w:sz w:val="24"/>
                <w:szCs w:val="24"/>
                <w:lang w:eastAsia="ru-RU"/>
              </w:rPr>
            </w:pPr>
            <w:r w:rsidRPr="0011095D">
              <w:rPr>
                <w:rFonts w:ascii="Times New Roman" w:eastAsia="Times New Roman" w:hAnsi="Times New Roman" w:cs="Times New Roman"/>
                <w:sz w:val="24"/>
                <w:szCs w:val="24"/>
                <w:lang w:eastAsia="ru-RU"/>
              </w:rPr>
              <w:t>По прогнозу Банка России, годовая инфляция достигнет своего максимума в марте и далее будет снижаться. С учетом проводимой денежно-кредитной политики годовая инфляция вернется к цели Банка России вблизи 4% в первой половине 2022 года и будет находиться на этом уровне в дальнейшем.</w:t>
            </w:r>
          </w:p>
          <w:p w:rsidR="002E4491" w:rsidRPr="00C91669" w:rsidRDefault="0011095D" w:rsidP="00FE6B41">
            <w:pPr>
              <w:spacing w:after="0" w:line="240" w:lineRule="auto"/>
              <w:ind w:firstLine="317"/>
              <w:contextualSpacing/>
              <w:jc w:val="both"/>
              <w:rPr>
                <w:rFonts w:ascii="Times New Roman" w:hAnsi="Times New Roman" w:cs="Times New Roman"/>
                <w:sz w:val="24"/>
                <w:szCs w:val="24"/>
              </w:rPr>
            </w:pPr>
            <w:r w:rsidRPr="0011095D">
              <w:rPr>
                <w:rFonts w:ascii="Times New Roman" w:eastAsia="Calibri" w:hAnsi="Times New Roman" w:cs="Times New Roman"/>
                <w:sz w:val="24"/>
                <w:szCs w:val="24"/>
              </w:rPr>
              <w:t xml:space="preserve">При этом в среднем в течение 2021 года денежно-кредитная политика останется мягкой, поддерживая восстановление российской экономики. Банк России продолжит определять сроки и темпы возврата к нейтральной денежно-кредитной политике с учетом всех факторов и рисков, влияющих </w:t>
            </w:r>
            <w:r w:rsidRPr="0011095D">
              <w:rPr>
                <w:rFonts w:ascii="Times New Roman" w:eastAsia="Calibri" w:hAnsi="Times New Roman" w:cs="Times New Roman"/>
                <w:sz w:val="24"/>
                <w:szCs w:val="24"/>
              </w:rPr>
              <w:lastRenderedPageBreak/>
              <w:t>на экономическую ситуацию сегодня и на прогнозном горизонте. При этом допускается возможность дальнейшего повышения ставки на ближайших заседаниях Совета директоров Банка России.</w:t>
            </w:r>
          </w:p>
        </w:tc>
      </w:tr>
      <w:tr w:rsidR="002E4491" w:rsidRPr="00C91669" w:rsidTr="00EE7211">
        <w:tc>
          <w:tcPr>
            <w:tcW w:w="568" w:type="dxa"/>
            <w:vMerge/>
          </w:tcPr>
          <w:p w:rsidR="002E4491" w:rsidRPr="00C91669" w:rsidRDefault="002E4491" w:rsidP="00C91669">
            <w:pPr>
              <w:spacing w:after="0" w:line="240" w:lineRule="auto"/>
              <w:jc w:val="center"/>
              <w:rPr>
                <w:rFonts w:ascii="Times New Roman" w:hAnsi="Times New Roman" w:cs="Times New Roman"/>
                <w:sz w:val="24"/>
                <w:szCs w:val="24"/>
              </w:rPr>
            </w:pPr>
          </w:p>
        </w:tc>
        <w:tc>
          <w:tcPr>
            <w:tcW w:w="6691" w:type="dxa"/>
            <w:tcBorders>
              <w:top w:val="nil"/>
              <w:bottom w:val="nil"/>
            </w:tcBorders>
          </w:tcPr>
          <w:p w:rsidR="002E4491" w:rsidRPr="00F048C7" w:rsidRDefault="002E4491" w:rsidP="00C91669">
            <w:pPr>
              <w:spacing w:after="0" w:line="240" w:lineRule="auto"/>
              <w:ind w:firstLine="204"/>
              <w:jc w:val="both"/>
              <w:rPr>
                <w:rFonts w:ascii="Times New Roman" w:hAnsi="Times New Roman" w:cs="Times New Roman"/>
                <w:sz w:val="24"/>
                <w:szCs w:val="24"/>
              </w:rPr>
            </w:pPr>
            <w:r w:rsidRPr="00F048C7">
              <w:rPr>
                <w:rFonts w:ascii="Times New Roman" w:hAnsi="Times New Roman" w:cs="Times New Roman"/>
                <w:sz w:val="24"/>
                <w:szCs w:val="24"/>
              </w:rPr>
              <w:t xml:space="preserve">В каком направлении Банк России собирается регулировать ключевую ставку в 2021 году? </w:t>
            </w:r>
          </w:p>
          <w:p w:rsidR="002E4491" w:rsidRPr="00C91669" w:rsidRDefault="002E4491" w:rsidP="00C91669">
            <w:pPr>
              <w:spacing w:after="0" w:line="240" w:lineRule="auto"/>
              <w:ind w:firstLine="204"/>
              <w:jc w:val="both"/>
              <w:rPr>
                <w:rFonts w:ascii="Times New Roman" w:hAnsi="Times New Roman" w:cs="Times New Roman"/>
                <w:sz w:val="24"/>
                <w:szCs w:val="24"/>
                <w:highlight w:val="yellow"/>
              </w:rPr>
            </w:pPr>
            <w:r w:rsidRPr="00F048C7">
              <w:rPr>
                <w:rFonts w:ascii="Times New Roman" w:hAnsi="Times New Roman" w:cs="Times New Roman"/>
                <w:sz w:val="24"/>
                <w:szCs w:val="24"/>
              </w:rPr>
              <w:t>Данный вопрос важен для региональных банков в виду особенностей структуры ресурсной базы таких банков, в частности концентрации на вкладах физических лиц. За последние годы доходность вкладов существенно снизилась в связи со снижением ключевой ставки, а в следующем году дополнительное влияние на доходность окажет налогообложение данных доходов. Эти факторы снизили интерес к вкладам со стороны физлиц и увеличили интерес к биржевым инструментам. На данном этапе необходимо понимать, как действовать банкам, у которых еще нет инвестиционных продуктов, брокерских услуг, для клиентов – физлиц, и насколько оперативно нужно внедрять альтернативу вкладам.</w:t>
            </w:r>
          </w:p>
        </w:tc>
        <w:tc>
          <w:tcPr>
            <w:tcW w:w="8080" w:type="dxa"/>
            <w:vMerge/>
          </w:tcPr>
          <w:p w:rsidR="002E4491" w:rsidRPr="00C91669" w:rsidRDefault="002E4491" w:rsidP="00C91669">
            <w:pPr>
              <w:spacing w:after="0" w:line="240" w:lineRule="auto"/>
              <w:ind w:firstLine="204"/>
              <w:jc w:val="both"/>
              <w:rPr>
                <w:rFonts w:ascii="Times New Roman" w:hAnsi="Times New Roman" w:cs="Times New Roman"/>
                <w:sz w:val="24"/>
                <w:szCs w:val="24"/>
                <w:highlight w:val="yellow"/>
              </w:rPr>
            </w:pPr>
          </w:p>
        </w:tc>
      </w:tr>
      <w:tr w:rsidR="002E4491" w:rsidRPr="00C91669" w:rsidTr="00EE7211">
        <w:tc>
          <w:tcPr>
            <w:tcW w:w="568" w:type="dxa"/>
            <w:vMerge/>
          </w:tcPr>
          <w:p w:rsidR="002E4491" w:rsidRPr="00C91669" w:rsidRDefault="002E4491" w:rsidP="00C91669">
            <w:pPr>
              <w:spacing w:after="0" w:line="240" w:lineRule="auto"/>
              <w:jc w:val="center"/>
              <w:rPr>
                <w:rFonts w:ascii="Times New Roman" w:hAnsi="Times New Roman" w:cs="Times New Roman"/>
                <w:sz w:val="24"/>
                <w:szCs w:val="24"/>
              </w:rPr>
            </w:pPr>
          </w:p>
        </w:tc>
        <w:tc>
          <w:tcPr>
            <w:tcW w:w="6691" w:type="dxa"/>
            <w:tcBorders>
              <w:top w:val="nil"/>
            </w:tcBorders>
          </w:tcPr>
          <w:p w:rsidR="002E4491" w:rsidRPr="00C91669" w:rsidRDefault="002E4491" w:rsidP="00C91669">
            <w:pPr>
              <w:spacing w:after="0" w:line="240" w:lineRule="auto"/>
              <w:ind w:firstLine="204"/>
              <w:jc w:val="both"/>
              <w:rPr>
                <w:rFonts w:ascii="Times New Roman" w:hAnsi="Times New Roman" w:cs="Times New Roman"/>
                <w:sz w:val="24"/>
                <w:szCs w:val="24"/>
              </w:rPr>
            </w:pPr>
            <w:r w:rsidRPr="00C91669">
              <w:rPr>
                <w:rFonts w:ascii="Times New Roman" w:hAnsi="Times New Roman" w:cs="Times New Roman"/>
                <w:sz w:val="24"/>
                <w:szCs w:val="24"/>
              </w:rPr>
              <w:t>Ожидания по инфляции 2021-2023 и ключевой ставке.</w:t>
            </w:r>
          </w:p>
        </w:tc>
        <w:tc>
          <w:tcPr>
            <w:tcW w:w="8080" w:type="dxa"/>
            <w:vMerge/>
          </w:tcPr>
          <w:p w:rsidR="002E4491" w:rsidRPr="00C91669" w:rsidRDefault="002E4491" w:rsidP="00C91669">
            <w:pPr>
              <w:spacing w:after="0" w:line="240" w:lineRule="auto"/>
              <w:ind w:firstLine="204"/>
              <w:jc w:val="both"/>
              <w:rPr>
                <w:rFonts w:ascii="Times New Roman" w:hAnsi="Times New Roman" w:cs="Times New Roman"/>
                <w:sz w:val="24"/>
                <w:szCs w:val="24"/>
              </w:rPr>
            </w:pPr>
          </w:p>
        </w:tc>
      </w:tr>
      <w:tr w:rsidR="00C91669" w:rsidRPr="00C91669" w:rsidTr="00EE7211">
        <w:tc>
          <w:tcPr>
            <w:tcW w:w="568" w:type="dxa"/>
          </w:tcPr>
          <w:p w:rsidR="00C91669" w:rsidRPr="00C91669"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91" w:type="dxa"/>
          </w:tcPr>
          <w:p w:rsidR="00C91669" w:rsidRPr="00C91669" w:rsidRDefault="00C91669" w:rsidP="00C91669">
            <w:pPr>
              <w:spacing w:after="0" w:line="240" w:lineRule="auto"/>
              <w:ind w:firstLine="204"/>
              <w:contextualSpacing/>
              <w:jc w:val="both"/>
              <w:rPr>
                <w:rFonts w:ascii="Times New Roman" w:eastAsia="Calibri" w:hAnsi="Times New Roman" w:cs="Times New Roman"/>
                <w:sz w:val="24"/>
                <w:szCs w:val="24"/>
              </w:rPr>
            </w:pPr>
            <w:r w:rsidRPr="00C91669">
              <w:rPr>
                <w:rFonts w:ascii="Times New Roman" w:eastAsia="Calibri" w:hAnsi="Times New Roman" w:cs="Times New Roman"/>
                <w:sz w:val="24"/>
                <w:szCs w:val="24"/>
              </w:rPr>
              <w:t xml:space="preserve">Ранее Банком России была утверждена стратегия выхода из специализированных инструментов рефинансирования. Планируется ли в связи с Указом Президента от 07.05.2018 </w:t>
            </w:r>
            <w:r w:rsidR="00FF53FC">
              <w:rPr>
                <w:rFonts w:ascii="Times New Roman" w:eastAsia="Calibri" w:hAnsi="Times New Roman" w:cs="Times New Roman"/>
                <w:sz w:val="24"/>
                <w:szCs w:val="24"/>
              </w:rPr>
              <w:br/>
            </w:r>
            <w:r w:rsidRPr="00C91669">
              <w:rPr>
                <w:rFonts w:ascii="Times New Roman" w:eastAsia="Calibri" w:hAnsi="Times New Roman" w:cs="Times New Roman"/>
                <w:sz w:val="24"/>
                <w:szCs w:val="24"/>
              </w:rPr>
              <w:t xml:space="preserve">№ 204 «О национальных целях и стратегических задачах развития Российской Федерации на период до 2024 г.» и в рамках запуска нового инвестиционного цикла расширение механизмов специализированных инструментов рефинансирования Банка России? Если да, то по каким национальным проектам и направлениям развития? </w:t>
            </w:r>
          </w:p>
          <w:p w:rsidR="00C91669" w:rsidRPr="00C91669" w:rsidRDefault="00C91669" w:rsidP="00C91669">
            <w:pPr>
              <w:spacing w:after="0" w:line="240" w:lineRule="auto"/>
              <w:ind w:firstLine="204"/>
              <w:jc w:val="both"/>
              <w:rPr>
                <w:rFonts w:ascii="Times New Roman" w:hAnsi="Times New Roman" w:cs="Times New Roman"/>
                <w:sz w:val="24"/>
                <w:szCs w:val="24"/>
              </w:rPr>
            </w:pPr>
          </w:p>
        </w:tc>
        <w:tc>
          <w:tcPr>
            <w:tcW w:w="8080" w:type="dxa"/>
          </w:tcPr>
          <w:p w:rsidR="0011095D" w:rsidRPr="0011095D" w:rsidRDefault="0011095D" w:rsidP="0011095D">
            <w:pPr>
              <w:spacing w:after="0" w:line="240" w:lineRule="auto"/>
              <w:ind w:firstLine="317"/>
              <w:contextualSpacing/>
              <w:jc w:val="both"/>
              <w:rPr>
                <w:rFonts w:ascii="Times New Roman" w:eastAsia="Calibri" w:hAnsi="Times New Roman" w:cs="Times New Roman"/>
                <w:sz w:val="24"/>
                <w:szCs w:val="24"/>
              </w:rPr>
            </w:pPr>
            <w:r w:rsidRPr="002E4491">
              <w:rPr>
                <w:rFonts w:ascii="Times New Roman" w:eastAsia="Calibri" w:hAnsi="Times New Roman" w:cs="Times New Roman"/>
                <w:sz w:val="24"/>
                <w:szCs w:val="24"/>
              </w:rPr>
              <w:t xml:space="preserve">Не планируется. Специализированные инструменты рефинансирования Банка России, в том числе направленные на поддержку кредитования инвестиционных проектов, в основном вводились в период проведения жесткой денежно-кредитной политики на пике кризиса 2015 года, когда ключевая ставка достигала 17% годовых, с целью временного дополнительного смягчения денежно-кредитных условий для отдельных стратегически важных нересурсных отраслей. </w:t>
            </w:r>
            <w:r w:rsidRPr="0011095D">
              <w:rPr>
                <w:rFonts w:ascii="Times New Roman" w:eastAsia="Calibri" w:hAnsi="Times New Roman" w:cs="Times New Roman"/>
                <w:sz w:val="24"/>
                <w:szCs w:val="24"/>
              </w:rPr>
              <w:t>С середины 2019 года Банк России постепенно смягчал денежно-кредитную политику, а весной 2020 года в условиях резкого падения экономической активности и роста дезинфляционных рисков перешел к мягкой политике. В настоящее время денежно-кредитная политика Банка России остается и в среднем в 2021 году будет оставаться мягкой. Ключевая ставка с 22 марта 2021 года составляет 4,50% годовых и все еще находится ниже своего нейтрального диапазона, который Банк России оценивает в 5-6% годовых. В связи с этим Банк России продолжает придерживаться стратегии выхода из применения специализированных механизмов рефинансирования.</w:t>
            </w:r>
          </w:p>
          <w:p w:rsidR="00C91669" w:rsidRPr="00B2125C" w:rsidRDefault="0011095D" w:rsidP="0011095D">
            <w:pPr>
              <w:spacing w:after="0" w:line="240" w:lineRule="auto"/>
              <w:ind w:firstLine="317"/>
              <w:jc w:val="both"/>
              <w:rPr>
                <w:rFonts w:ascii="Times New Roman" w:hAnsi="Times New Roman" w:cs="Times New Roman"/>
                <w:sz w:val="24"/>
                <w:szCs w:val="24"/>
              </w:rPr>
            </w:pPr>
            <w:r w:rsidRPr="0011095D">
              <w:rPr>
                <w:rFonts w:ascii="Times New Roman" w:eastAsia="Times New Roman" w:hAnsi="Times New Roman" w:cs="Times New Roman"/>
                <w:sz w:val="24"/>
                <w:szCs w:val="24"/>
                <w:lang w:eastAsia="ru-RU"/>
              </w:rPr>
              <w:t>Предоставление Банком России значительного объема</w:t>
            </w:r>
            <w:bookmarkStart w:id="0" w:name="_GoBack"/>
            <w:bookmarkEnd w:id="0"/>
            <w:r w:rsidRPr="00B2125C">
              <w:rPr>
                <w:rFonts w:ascii="Times New Roman" w:eastAsia="Times New Roman" w:hAnsi="Times New Roman" w:cs="Times New Roman"/>
                <w:sz w:val="24"/>
                <w:szCs w:val="24"/>
                <w:lang w:eastAsia="ru-RU"/>
              </w:rPr>
              <w:t xml:space="preserve"> ликвидности по льготным ставкам в рамках специализированных инструментов рефинансирования, в том числе создание нового специализированного механизма, в настоящее время может привести к избыточному смягчению денежно-кредитных условий и необходимости поддержания более высокого уровня ставок по другим инструментам для достижения цели по инфляции.</w:t>
            </w:r>
          </w:p>
        </w:tc>
      </w:tr>
      <w:tr w:rsidR="00C91669" w:rsidRPr="00C91669" w:rsidTr="00EE7211">
        <w:tc>
          <w:tcPr>
            <w:tcW w:w="568" w:type="dxa"/>
          </w:tcPr>
          <w:p w:rsidR="00C91669" w:rsidRPr="00C91669"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91" w:type="dxa"/>
          </w:tcPr>
          <w:p w:rsidR="00C91669" w:rsidRPr="00C91669" w:rsidRDefault="00C91669" w:rsidP="00F048C7">
            <w:pPr>
              <w:spacing w:after="0" w:line="240" w:lineRule="auto"/>
              <w:ind w:firstLine="204"/>
              <w:contextualSpacing/>
              <w:jc w:val="both"/>
              <w:rPr>
                <w:rFonts w:ascii="Times New Roman" w:hAnsi="Times New Roman" w:cs="Times New Roman"/>
                <w:sz w:val="24"/>
                <w:szCs w:val="24"/>
              </w:rPr>
            </w:pPr>
            <w:r w:rsidRPr="00C91669">
              <w:rPr>
                <w:rFonts w:ascii="Times New Roman" w:hAnsi="Times New Roman" w:cs="Times New Roman"/>
                <w:sz w:val="24"/>
                <w:szCs w:val="24"/>
              </w:rPr>
              <w:t xml:space="preserve">Планирует ли Банк России пролонгацию предоставления банкам кредитов в рамках заключенных Генеральных соглашений о предоставлении Банком России кредитной организации кредитов без обеспечения, направленных на </w:t>
            </w:r>
            <w:r w:rsidRPr="00C91669">
              <w:rPr>
                <w:rFonts w:ascii="Times New Roman" w:hAnsi="Times New Roman" w:cs="Times New Roman"/>
                <w:sz w:val="24"/>
                <w:szCs w:val="24"/>
              </w:rPr>
              <w:lastRenderedPageBreak/>
              <w:t>поддержку кредитования субъектов малого и среднего предпринимательства</w:t>
            </w:r>
            <w:r w:rsidR="00FF53FC">
              <w:rPr>
                <w:rStyle w:val="a6"/>
                <w:rFonts w:ascii="Times New Roman" w:hAnsi="Times New Roman" w:cs="Times New Roman"/>
                <w:sz w:val="24"/>
                <w:szCs w:val="24"/>
              </w:rPr>
              <w:footnoteReference w:id="1"/>
            </w:r>
            <w:r w:rsidRPr="00C91669">
              <w:rPr>
                <w:rFonts w:ascii="Times New Roman" w:hAnsi="Times New Roman" w:cs="Times New Roman"/>
                <w:sz w:val="24"/>
                <w:szCs w:val="24"/>
              </w:rPr>
              <w:t xml:space="preserve">? </w:t>
            </w:r>
          </w:p>
        </w:tc>
        <w:tc>
          <w:tcPr>
            <w:tcW w:w="8080" w:type="dxa"/>
          </w:tcPr>
          <w:p w:rsidR="00C91669" w:rsidRPr="00B2125C" w:rsidRDefault="002E4491" w:rsidP="002E4491">
            <w:pPr>
              <w:spacing w:after="0" w:line="240" w:lineRule="auto"/>
              <w:ind w:firstLine="317"/>
              <w:contextualSpacing/>
              <w:jc w:val="both"/>
              <w:rPr>
                <w:rFonts w:ascii="Times New Roman" w:hAnsi="Times New Roman" w:cs="Times New Roman"/>
                <w:sz w:val="24"/>
                <w:szCs w:val="24"/>
              </w:rPr>
            </w:pPr>
            <w:r w:rsidRPr="002E4491">
              <w:rPr>
                <w:rFonts w:ascii="Times New Roman" w:eastAsia="Calibri" w:hAnsi="Times New Roman" w:cs="Times New Roman"/>
                <w:sz w:val="24"/>
                <w:szCs w:val="24"/>
              </w:rPr>
              <w:lastRenderedPageBreak/>
              <w:t xml:space="preserve">Не планирует. Механизм предоставления кредитов Банка России без обеспечения, направленных на поддержку кредитования субъектов малого и среднего предпринимательства, являлся временным и действовал в период, когда необходимо было оказать дополнительную поддержку субъектам МСП в условиях пандемии коронавирусной инфекции и связанных с ней ограничительных мер. </w:t>
            </w:r>
          </w:p>
        </w:tc>
      </w:tr>
      <w:tr w:rsidR="00C91669" w:rsidRPr="00C91669" w:rsidTr="00EE7211">
        <w:tc>
          <w:tcPr>
            <w:tcW w:w="568" w:type="dxa"/>
          </w:tcPr>
          <w:p w:rsidR="00C91669" w:rsidRPr="00C91669"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91" w:type="dxa"/>
          </w:tcPr>
          <w:p w:rsidR="00C91669" w:rsidRPr="00C91669" w:rsidRDefault="00C91669" w:rsidP="00C91669">
            <w:pPr>
              <w:spacing w:after="0" w:line="240" w:lineRule="auto"/>
              <w:ind w:firstLine="204"/>
              <w:jc w:val="both"/>
              <w:rPr>
                <w:rFonts w:ascii="Times New Roman" w:hAnsi="Times New Roman" w:cs="Times New Roman"/>
                <w:sz w:val="24"/>
                <w:szCs w:val="24"/>
              </w:rPr>
            </w:pPr>
            <w:r w:rsidRPr="00C91669">
              <w:rPr>
                <w:rFonts w:ascii="Times New Roman" w:hAnsi="Times New Roman" w:cs="Times New Roman"/>
                <w:sz w:val="24"/>
                <w:szCs w:val="24"/>
              </w:rPr>
              <w:t>В целях повышения эффективности и стимулирования финансирования со стороны банковского сектора инвестиционных проектов, реализуемых организациями ОПК</w:t>
            </w:r>
            <w:r w:rsidR="00FF53FC">
              <w:rPr>
                <w:rStyle w:val="a6"/>
                <w:rFonts w:ascii="Times New Roman" w:hAnsi="Times New Roman" w:cs="Times New Roman"/>
                <w:sz w:val="24"/>
                <w:szCs w:val="24"/>
              </w:rPr>
              <w:footnoteReference w:id="2"/>
            </w:r>
            <w:r w:rsidRPr="00C91669">
              <w:rPr>
                <w:rFonts w:ascii="Times New Roman" w:hAnsi="Times New Roman" w:cs="Times New Roman"/>
                <w:sz w:val="24"/>
                <w:szCs w:val="24"/>
              </w:rPr>
              <w:t>, в рамках национальных проектов и проектов диверсификации</w:t>
            </w:r>
            <w:r w:rsidRPr="00C91669">
              <w:rPr>
                <w:rFonts w:ascii="Times New Roman" w:hAnsi="Times New Roman" w:cs="Times New Roman"/>
                <w:sz w:val="24"/>
                <w:szCs w:val="24"/>
                <w:vertAlign w:val="superscript"/>
              </w:rPr>
              <w:footnoteReference w:id="3"/>
            </w:r>
            <w:r w:rsidRPr="00C91669">
              <w:rPr>
                <w:rFonts w:ascii="Times New Roman" w:hAnsi="Times New Roman" w:cs="Times New Roman"/>
                <w:sz w:val="24"/>
                <w:szCs w:val="24"/>
              </w:rPr>
              <w:t>, в рамках запуска нового инвестиционного цикла предлагаем рассмотреть возможность расширения механизмов специализированных инструментов рефинансирования Банка России по кредитам предприятий ОПК, а именно: дополнить механизмы Банка России специализированными инструментами рефинансирования, обеспеченными залогом прав требований по кредитам, предоставленными на финансирование проектов диверсификации производства ОПК</w:t>
            </w:r>
            <w:r w:rsidRPr="00C91669">
              <w:rPr>
                <w:rFonts w:ascii="Times New Roman" w:hAnsi="Times New Roman" w:cs="Times New Roman"/>
                <w:sz w:val="24"/>
                <w:szCs w:val="24"/>
              </w:rPr>
              <w:footnoteReference w:id="4"/>
            </w:r>
            <w:r w:rsidRPr="00C91669">
              <w:rPr>
                <w:rFonts w:ascii="Times New Roman" w:hAnsi="Times New Roman" w:cs="Times New Roman"/>
                <w:sz w:val="24"/>
                <w:szCs w:val="24"/>
              </w:rPr>
              <w:t>, сроком до 7 лет по льготной ставке (ключевая ставка Банка России минус 2 п.п.).</w:t>
            </w:r>
          </w:p>
        </w:tc>
        <w:tc>
          <w:tcPr>
            <w:tcW w:w="8080" w:type="dxa"/>
          </w:tcPr>
          <w:p w:rsidR="00C91669" w:rsidRPr="00B2125C" w:rsidRDefault="002E4491" w:rsidP="002E4491">
            <w:pPr>
              <w:spacing w:after="0" w:line="240" w:lineRule="auto"/>
              <w:ind w:firstLine="317"/>
              <w:jc w:val="both"/>
              <w:rPr>
                <w:rFonts w:ascii="Times New Roman" w:hAnsi="Times New Roman" w:cs="Times New Roman"/>
                <w:sz w:val="24"/>
                <w:szCs w:val="24"/>
              </w:rPr>
            </w:pPr>
            <w:r w:rsidRPr="00B2125C">
              <w:rPr>
                <w:rFonts w:ascii="Times New Roman" w:hAnsi="Times New Roman" w:cs="Times New Roman"/>
                <w:sz w:val="24"/>
                <w:szCs w:val="24"/>
              </w:rPr>
              <w:t>См. ответ на вопрос 2</w:t>
            </w:r>
          </w:p>
        </w:tc>
      </w:tr>
      <w:tr w:rsidR="00C91669" w:rsidRPr="00C91669" w:rsidTr="00EE7211">
        <w:tc>
          <w:tcPr>
            <w:tcW w:w="568" w:type="dxa"/>
          </w:tcPr>
          <w:p w:rsidR="00C91669" w:rsidRPr="00C91669"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91" w:type="dxa"/>
          </w:tcPr>
          <w:p w:rsidR="00C91669" w:rsidRPr="00F048C7" w:rsidRDefault="00C91669" w:rsidP="00F048C7">
            <w:pPr>
              <w:spacing w:line="240" w:lineRule="auto"/>
              <w:ind w:firstLine="346"/>
              <w:contextualSpacing/>
              <w:jc w:val="both"/>
              <w:rPr>
                <w:rFonts w:ascii="Times New Roman" w:hAnsi="Times New Roman" w:cs="Times New Roman"/>
                <w:sz w:val="24"/>
                <w:szCs w:val="24"/>
              </w:rPr>
            </w:pPr>
            <w:r w:rsidRPr="00F048C7">
              <w:rPr>
                <w:rFonts w:ascii="Times New Roman" w:hAnsi="Times New Roman" w:cs="Times New Roman"/>
                <w:sz w:val="24"/>
                <w:szCs w:val="24"/>
              </w:rPr>
              <w:t xml:space="preserve">Рассматривается ли возможность внедрения инструмента беззалогового предоставления кредитов-овернайт для банков, программ долгосрочного кредитования под залог ОФЗ? </w:t>
            </w:r>
          </w:p>
          <w:p w:rsidR="00C91669" w:rsidRPr="00C91669" w:rsidRDefault="00C91669" w:rsidP="00C91669">
            <w:pPr>
              <w:spacing w:after="0" w:line="240" w:lineRule="auto"/>
              <w:ind w:firstLine="204"/>
              <w:jc w:val="both"/>
              <w:rPr>
                <w:rFonts w:ascii="Times New Roman" w:hAnsi="Times New Roman" w:cs="Times New Roman"/>
                <w:sz w:val="24"/>
                <w:szCs w:val="24"/>
              </w:rPr>
            </w:pPr>
          </w:p>
        </w:tc>
        <w:tc>
          <w:tcPr>
            <w:tcW w:w="8080" w:type="dxa"/>
          </w:tcPr>
          <w:p w:rsidR="002E4491" w:rsidRPr="002E4491" w:rsidRDefault="002E4491" w:rsidP="00B2125C">
            <w:pPr>
              <w:spacing w:after="0" w:line="240" w:lineRule="auto"/>
              <w:ind w:firstLine="317"/>
              <w:contextualSpacing/>
              <w:jc w:val="both"/>
              <w:rPr>
                <w:rFonts w:ascii="Times New Roman" w:eastAsia="Calibri" w:hAnsi="Times New Roman" w:cs="Times New Roman"/>
                <w:sz w:val="24"/>
                <w:szCs w:val="24"/>
              </w:rPr>
            </w:pPr>
            <w:r w:rsidRPr="002E4491">
              <w:rPr>
                <w:rFonts w:ascii="Times New Roman" w:eastAsia="Calibri" w:hAnsi="Times New Roman" w:cs="Times New Roman"/>
                <w:sz w:val="24"/>
                <w:szCs w:val="24"/>
              </w:rPr>
              <w:t xml:space="preserve">Возможность предоставления кредитов овернайт без обеспечения не рассматривается, поскольку у кредитных организаций достаточно обеспечения для проведения данных операций под обеспечение. Банк России на регулярной основе анализирует ситуацию с обеспечением у кредитных организаций и готов при необходимости </w:t>
            </w:r>
            <w:r w:rsidR="001427D7">
              <w:rPr>
                <w:rFonts w:ascii="Times New Roman" w:eastAsia="Calibri" w:hAnsi="Times New Roman" w:cs="Times New Roman"/>
                <w:sz w:val="24"/>
                <w:szCs w:val="24"/>
              </w:rPr>
              <w:t xml:space="preserve">изменить требования к </w:t>
            </w:r>
            <w:r w:rsidRPr="002E4491">
              <w:rPr>
                <w:rFonts w:ascii="Times New Roman" w:eastAsia="Calibri" w:hAnsi="Times New Roman" w:cs="Times New Roman"/>
                <w:sz w:val="24"/>
                <w:szCs w:val="24"/>
              </w:rPr>
              <w:t xml:space="preserve">активам, принимаемым в обеспечение. </w:t>
            </w:r>
          </w:p>
          <w:p w:rsidR="00C91669" w:rsidRPr="00B2125C" w:rsidRDefault="002E4491" w:rsidP="00B2125C">
            <w:pPr>
              <w:spacing w:after="0" w:line="240" w:lineRule="auto"/>
              <w:ind w:firstLine="317"/>
              <w:contextualSpacing/>
              <w:jc w:val="both"/>
              <w:rPr>
                <w:rFonts w:ascii="Times New Roman" w:hAnsi="Times New Roman" w:cs="Times New Roman"/>
                <w:sz w:val="24"/>
                <w:szCs w:val="24"/>
              </w:rPr>
            </w:pPr>
            <w:r w:rsidRPr="002E4491">
              <w:rPr>
                <w:rFonts w:ascii="Times New Roman" w:eastAsia="Calibri" w:hAnsi="Times New Roman" w:cs="Times New Roman"/>
                <w:sz w:val="24"/>
                <w:szCs w:val="24"/>
              </w:rPr>
              <w:t>Что касается долгосрочного кредитования под залог ОФЗ, то кредитные организации могут использовать ОФЗ для заключения с Банком России сделок репо на срок</w:t>
            </w:r>
            <w:r w:rsidR="001427D7">
              <w:rPr>
                <w:rFonts w:ascii="Times New Roman" w:eastAsia="Calibri" w:hAnsi="Times New Roman" w:cs="Times New Roman"/>
                <w:sz w:val="24"/>
                <w:szCs w:val="24"/>
              </w:rPr>
              <w:t>и</w:t>
            </w:r>
            <w:r w:rsidRPr="002E4491">
              <w:rPr>
                <w:rFonts w:ascii="Times New Roman" w:eastAsia="Calibri" w:hAnsi="Times New Roman" w:cs="Times New Roman"/>
                <w:sz w:val="24"/>
                <w:szCs w:val="24"/>
              </w:rPr>
              <w:t xml:space="preserve"> 1 год</w:t>
            </w:r>
            <w:r w:rsidR="001427D7">
              <w:rPr>
                <w:rFonts w:ascii="Times New Roman" w:eastAsia="Calibri" w:hAnsi="Times New Roman" w:cs="Times New Roman"/>
                <w:sz w:val="24"/>
                <w:szCs w:val="24"/>
              </w:rPr>
              <w:t xml:space="preserve"> и 1 месяц</w:t>
            </w:r>
            <w:r w:rsidRPr="002E4491">
              <w:rPr>
                <w:rFonts w:ascii="Times New Roman" w:eastAsia="Calibri" w:hAnsi="Times New Roman" w:cs="Times New Roman"/>
                <w:sz w:val="24"/>
                <w:szCs w:val="24"/>
              </w:rPr>
              <w:t>.</w:t>
            </w:r>
          </w:p>
        </w:tc>
      </w:tr>
      <w:tr w:rsidR="00C91669" w:rsidRPr="00C91669" w:rsidTr="00EE7211">
        <w:tc>
          <w:tcPr>
            <w:tcW w:w="568" w:type="dxa"/>
          </w:tcPr>
          <w:p w:rsidR="00C91669" w:rsidRPr="00C91669"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691" w:type="dxa"/>
          </w:tcPr>
          <w:p w:rsidR="00C91669" w:rsidRPr="00C91669" w:rsidRDefault="00C91669" w:rsidP="00C91669">
            <w:pPr>
              <w:spacing w:after="0" w:line="240" w:lineRule="auto"/>
              <w:ind w:firstLine="204"/>
              <w:contextualSpacing/>
              <w:jc w:val="both"/>
              <w:rPr>
                <w:rFonts w:ascii="Times New Roman" w:hAnsi="Times New Roman" w:cs="Times New Roman"/>
                <w:sz w:val="24"/>
                <w:szCs w:val="24"/>
              </w:rPr>
            </w:pPr>
            <w:r w:rsidRPr="00C91669">
              <w:rPr>
                <w:rFonts w:ascii="Times New Roman" w:hAnsi="Times New Roman" w:cs="Times New Roman"/>
                <w:sz w:val="24"/>
                <w:szCs w:val="24"/>
              </w:rPr>
              <w:t xml:space="preserve">Предлагаем Банку России вернуться к освобождению от ФОР средств от размещения локальных рублевых облигаций и еврооблигаций, номинированных в рублях, сроком более 3-х лет. </w:t>
            </w:r>
          </w:p>
          <w:p w:rsidR="00C91669" w:rsidRPr="00C91669" w:rsidRDefault="00C91669" w:rsidP="00C91669">
            <w:pPr>
              <w:spacing w:after="0" w:line="240" w:lineRule="auto"/>
              <w:ind w:firstLine="204"/>
              <w:jc w:val="both"/>
              <w:rPr>
                <w:rFonts w:ascii="Times New Roman" w:hAnsi="Times New Roman" w:cs="Times New Roman"/>
                <w:sz w:val="24"/>
                <w:szCs w:val="24"/>
              </w:rPr>
            </w:pPr>
          </w:p>
        </w:tc>
        <w:tc>
          <w:tcPr>
            <w:tcW w:w="8080" w:type="dxa"/>
          </w:tcPr>
          <w:p w:rsidR="002E4491" w:rsidRPr="002E4491" w:rsidRDefault="002E4491" w:rsidP="00B2125C">
            <w:pPr>
              <w:spacing w:after="0" w:line="240" w:lineRule="auto"/>
              <w:ind w:firstLine="318"/>
              <w:contextualSpacing/>
              <w:jc w:val="both"/>
              <w:rPr>
                <w:rFonts w:ascii="Times New Roman" w:eastAsia="Calibri" w:hAnsi="Times New Roman" w:cs="Times New Roman"/>
                <w:sz w:val="24"/>
                <w:szCs w:val="24"/>
              </w:rPr>
            </w:pPr>
            <w:r w:rsidRPr="00B2125C">
              <w:rPr>
                <w:rFonts w:ascii="Times New Roman" w:eastAsia="Calibri" w:hAnsi="Times New Roman" w:cs="Times New Roman"/>
                <w:sz w:val="24"/>
                <w:szCs w:val="24"/>
              </w:rPr>
              <w:t>П</w:t>
            </w:r>
            <w:r w:rsidRPr="002E4491">
              <w:rPr>
                <w:rFonts w:ascii="Times New Roman" w:eastAsia="Calibri" w:hAnsi="Times New Roman" w:cs="Times New Roman"/>
                <w:sz w:val="24"/>
                <w:szCs w:val="24"/>
              </w:rPr>
              <w:t xml:space="preserve">редложение не поддерживается. Основная функция обязательных резервных требований как инструмента денежно-кредитной политики заключается в формировании стабильного и предсказуемого спроса банковского сектора на ликвидность, то есть на средства на корреспондентских счетах, используемые для проведения платежей и расчетов. Это улучшает возможности Банка России по управлению процентными ставками денежного рынка и формирует условия для эффективного достижения операционной цели денежно-кредитной политики – сближения ставок денежного рынка с ключевой ставкой Банка России. </w:t>
            </w:r>
          </w:p>
          <w:p w:rsidR="002E4491" w:rsidRPr="002E4491" w:rsidRDefault="002E4491" w:rsidP="00B2125C">
            <w:pPr>
              <w:spacing w:after="0" w:line="240" w:lineRule="auto"/>
              <w:ind w:firstLine="318"/>
              <w:contextualSpacing/>
              <w:jc w:val="both"/>
              <w:rPr>
                <w:rFonts w:ascii="Times New Roman" w:eastAsia="Calibri" w:hAnsi="Times New Roman" w:cs="Times New Roman"/>
                <w:sz w:val="24"/>
                <w:szCs w:val="24"/>
              </w:rPr>
            </w:pPr>
            <w:r w:rsidRPr="002E4491">
              <w:rPr>
                <w:rFonts w:ascii="Times New Roman" w:eastAsia="Calibri" w:hAnsi="Times New Roman" w:cs="Times New Roman"/>
                <w:sz w:val="24"/>
                <w:szCs w:val="24"/>
              </w:rPr>
              <w:t xml:space="preserve">При этом Банк России стремится отказаться от наделения обязательных резервных требований иными, несвойственными данному механизму функциями, в том числе функциями стимулирования рынка долгосрочных облигаций. </w:t>
            </w:r>
          </w:p>
          <w:p w:rsidR="00C91669" w:rsidRPr="00B2125C" w:rsidRDefault="002E4491" w:rsidP="00B2125C">
            <w:pPr>
              <w:spacing w:after="0" w:line="240" w:lineRule="auto"/>
              <w:ind w:firstLine="318"/>
              <w:contextualSpacing/>
              <w:jc w:val="both"/>
              <w:rPr>
                <w:rFonts w:ascii="Times New Roman" w:hAnsi="Times New Roman" w:cs="Times New Roman"/>
                <w:sz w:val="24"/>
                <w:szCs w:val="24"/>
              </w:rPr>
            </w:pPr>
            <w:r w:rsidRPr="002E4491">
              <w:rPr>
                <w:rFonts w:ascii="Times New Roman" w:eastAsia="Calibri" w:hAnsi="Times New Roman" w:cs="Times New Roman"/>
                <w:sz w:val="24"/>
                <w:szCs w:val="24"/>
              </w:rPr>
              <w:t xml:space="preserve">С учетом изложенного Банком России было принято решение о включении долгосрочных обязательств по выпущенным ценным бумагам в состав в резервируемых обязательств кредитных организаций, при этом в целях нейтрализации эффекта от реализуемой меры одновременно были снижены нормативы обязательных резервов. </w:t>
            </w:r>
          </w:p>
        </w:tc>
      </w:tr>
      <w:tr w:rsidR="002E4491" w:rsidRPr="00C91669" w:rsidTr="00EE7211">
        <w:trPr>
          <w:trHeight w:val="595"/>
        </w:trPr>
        <w:tc>
          <w:tcPr>
            <w:tcW w:w="568" w:type="dxa"/>
          </w:tcPr>
          <w:p w:rsidR="002E4491"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91" w:type="dxa"/>
          </w:tcPr>
          <w:p w:rsidR="002E4491" w:rsidRPr="00542233" w:rsidRDefault="00542233" w:rsidP="00C91669">
            <w:pPr>
              <w:spacing w:after="0" w:line="240" w:lineRule="auto"/>
              <w:ind w:firstLine="204"/>
              <w:contextualSpacing/>
              <w:jc w:val="both"/>
              <w:rPr>
                <w:rFonts w:ascii="Times New Roman" w:hAnsi="Times New Roman" w:cs="Times New Roman"/>
                <w:sz w:val="24"/>
                <w:szCs w:val="24"/>
              </w:rPr>
            </w:pPr>
            <w:r w:rsidRPr="00542233">
              <w:rPr>
                <w:rFonts w:ascii="Times New Roman" w:hAnsi="Times New Roman" w:cs="Times New Roman"/>
                <w:bCs/>
                <w:sz w:val="24"/>
                <w:szCs w:val="24"/>
              </w:rPr>
              <w:t>В рамках работы с Условиями 4801-У</w:t>
            </w:r>
            <w:r w:rsidR="00FF53FC">
              <w:rPr>
                <w:rStyle w:val="a6"/>
                <w:rFonts w:ascii="Times New Roman" w:hAnsi="Times New Roman" w:cs="Times New Roman"/>
                <w:bCs/>
                <w:sz w:val="24"/>
                <w:szCs w:val="24"/>
              </w:rPr>
              <w:footnoteReference w:id="5"/>
            </w:r>
            <w:r w:rsidRPr="00542233">
              <w:rPr>
                <w:rFonts w:ascii="Times New Roman" w:hAnsi="Times New Roman" w:cs="Times New Roman"/>
                <w:bCs/>
                <w:sz w:val="24"/>
                <w:szCs w:val="24"/>
              </w:rPr>
              <w:t xml:space="preserve"> Банком России анализируется годовая отчетность Заемщиков, права по кредитным договорам которых передаются в пул обеспечения. Можно ли оценивать финансовые показатели Заемщиков не только по годовой отчетности, но и по квартальной, в случае их улучшения?</w:t>
            </w:r>
          </w:p>
        </w:tc>
        <w:tc>
          <w:tcPr>
            <w:tcW w:w="8080" w:type="dxa"/>
          </w:tcPr>
          <w:p w:rsidR="00542233" w:rsidRPr="00542233" w:rsidRDefault="00542233" w:rsidP="00542233">
            <w:pPr>
              <w:spacing w:after="0" w:line="240" w:lineRule="auto"/>
              <w:ind w:firstLine="317"/>
              <w:jc w:val="both"/>
              <w:rPr>
                <w:rFonts w:ascii="Times New Roman" w:hAnsi="Times New Roman" w:cs="Times New Roman"/>
                <w:sz w:val="24"/>
                <w:szCs w:val="24"/>
              </w:rPr>
            </w:pPr>
            <w:r w:rsidRPr="00542233">
              <w:rPr>
                <w:rFonts w:ascii="Times New Roman" w:hAnsi="Times New Roman" w:cs="Times New Roman"/>
                <w:sz w:val="24"/>
                <w:szCs w:val="24"/>
              </w:rPr>
              <w:t>В настоящее время по отдельным нерыночным активам (для которых в соответствии с Условиями проведения операций по предоставлению и погашению кредитов Банка России, обеспеченных ценными бумагами или правами требования по кредитным договорам (далее – Условия), требуется представление бухгалтерской отчетности юридических лиц, обязанных по кредитным договорам) проводится анализ показателей бухгалтерской отчетности обязанных лиц.</w:t>
            </w:r>
          </w:p>
          <w:p w:rsidR="00542233" w:rsidRPr="00542233" w:rsidRDefault="00542233" w:rsidP="00542233">
            <w:pPr>
              <w:spacing w:after="0" w:line="240" w:lineRule="auto"/>
              <w:ind w:firstLine="317"/>
              <w:jc w:val="both"/>
              <w:rPr>
                <w:rFonts w:ascii="Times New Roman" w:hAnsi="Times New Roman" w:cs="Times New Roman"/>
                <w:sz w:val="24"/>
                <w:szCs w:val="24"/>
              </w:rPr>
            </w:pPr>
            <w:r w:rsidRPr="00542233">
              <w:rPr>
                <w:rFonts w:ascii="Times New Roman" w:hAnsi="Times New Roman" w:cs="Times New Roman"/>
                <w:sz w:val="24"/>
                <w:szCs w:val="24"/>
              </w:rPr>
              <w:t>При этом оцениваются не только показатели годовой бухгалтерской отчетности, но и квартальной бухгалтерской отчетности.</w:t>
            </w:r>
          </w:p>
          <w:p w:rsidR="002E4491" w:rsidRPr="00C91669" w:rsidRDefault="00542233" w:rsidP="00542233">
            <w:pPr>
              <w:spacing w:after="0" w:line="240" w:lineRule="auto"/>
              <w:ind w:firstLine="317"/>
              <w:jc w:val="both"/>
              <w:rPr>
                <w:rFonts w:ascii="Times New Roman" w:hAnsi="Times New Roman" w:cs="Times New Roman"/>
                <w:sz w:val="24"/>
                <w:szCs w:val="24"/>
              </w:rPr>
            </w:pPr>
            <w:r w:rsidRPr="00542233">
              <w:rPr>
                <w:rFonts w:ascii="Times New Roman" w:hAnsi="Times New Roman" w:cs="Times New Roman"/>
                <w:sz w:val="24"/>
                <w:szCs w:val="24"/>
              </w:rPr>
              <w:t xml:space="preserve">Подробная информация о сроках представления бухгалтерской отчетности и отчетных периодах, за которые требуется представление </w:t>
            </w:r>
            <w:r w:rsidRPr="00542233">
              <w:rPr>
                <w:rFonts w:ascii="Times New Roman" w:hAnsi="Times New Roman" w:cs="Times New Roman"/>
                <w:sz w:val="24"/>
                <w:szCs w:val="24"/>
              </w:rPr>
              <w:lastRenderedPageBreak/>
              <w:t>бухгалтерской отчетности в рамках Условий, указана на сайте Банка России (</w:t>
            </w:r>
            <w:hyperlink r:id="rId8" w:history="1">
              <w:r w:rsidRPr="00542233">
                <w:rPr>
                  <w:rFonts w:ascii="Times New Roman" w:hAnsi="Times New Roman" w:cs="Times New Roman"/>
                  <w:sz w:val="24"/>
                  <w:szCs w:val="24"/>
                </w:rPr>
                <w:t>http://www.cbr.ru/oper_br/t_odm/secured_loans/pr_3/</w:t>
              </w:r>
            </w:hyperlink>
            <w:r w:rsidRPr="00542233">
              <w:rPr>
                <w:rFonts w:ascii="Times New Roman" w:hAnsi="Times New Roman" w:cs="Times New Roman"/>
                <w:sz w:val="24"/>
                <w:szCs w:val="24"/>
              </w:rPr>
              <w:t>).</w:t>
            </w:r>
          </w:p>
        </w:tc>
      </w:tr>
      <w:tr w:rsidR="002E4491" w:rsidRPr="00C91669" w:rsidTr="00EE7211">
        <w:tc>
          <w:tcPr>
            <w:tcW w:w="568" w:type="dxa"/>
          </w:tcPr>
          <w:p w:rsidR="002E4491" w:rsidRDefault="002E4491" w:rsidP="00C91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691" w:type="dxa"/>
          </w:tcPr>
          <w:p w:rsidR="002E4491" w:rsidRPr="002E4491" w:rsidRDefault="002E4491" w:rsidP="00C91669">
            <w:pPr>
              <w:spacing w:after="0" w:line="240" w:lineRule="auto"/>
              <w:ind w:firstLine="204"/>
              <w:contextualSpacing/>
              <w:jc w:val="both"/>
              <w:rPr>
                <w:rFonts w:ascii="Times New Roman" w:hAnsi="Times New Roman" w:cs="Times New Roman"/>
                <w:sz w:val="24"/>
                <w:szCs w:val="24"/>
              </w:rPr>
            </w:pPr>
            <w:r w:rsidRPr="002E4491">
              <w:rPr>
                <w:rFonts w:ascii="Times New Roman" w:hAnsi="Times New Roman" w:cs="Times New Roman"/>
                <w:bCs/>
                <w:sz w:val="24"/>
                <w:szCs w:val="24"/>
              </w:rPr>
              <w:t>В рамках работы с Условиями 4801-У применяется практика приема в качестве обязанного лица, поручителя или залогодателя по кредитной линии в случае, если Заемщик не соответствует одному или нескольким требованиям Условий, за исключением требования об ОКВЭД. Можно ли внести изменения в правила и принимать в качестве обязанного лица по активу, сторону по кредитной сделке, отвечающую требованиям по ОКВЭД?</w:t>
            </w:r>
          </w:p>
        </w:tc>
        <w:tc>
          <w:tcPr>
            <w:tcW w:w="8080" w:type="dxa"/>
          </w:tcPr>
          <w:p w:rsidR="002E4491" w:rsidRPr="002E4491" w:rsidRDefault="002E4491" w:rsidP="002E4491">
            <w:pPr>
              <w:spacing w:after="0" w:line="240" w:lineRule="auto"/>
              <w:ind w:firstLine="175"/>
              <w:jc w:val="both"/>
              <w:rPr>
                <w:rFonts w:ascii="Times New Roman" w:eastAsia="Calibri" w:hAnsi="Times New Roman" w:cs="Times New Roman"/>
                <w:sz w:val="24"/>
                <w:szCs w:val="24"/>
              </w:rPr>
            </w:pPr>
            <w:r w:rsidRPr="002E4491">
              <w:rPr>
                <w:rFonts w:ascii="Times New Roman" w:eastAsia="Calibri" w:hAnsi="Times New Roman" w:cs="Times New Roman"/>
                <w:sz w:val="24"/>
                <w:szCs w:val="24"/>
              </w:rPr>
              <w:t>Требование о соответствии заемщиков и лиц, выступающих обязанными лицами по кредитным договорам, основному виду деятельности, включенному в список основных видов экономической деятельности, установленный Банком России, распространяется как на нерыночные активы, в которых заемщик и обязанное лицо являются одной и той же организацией, так и на нерыночные активы, в которых заемщик и обязанное лицо различаются. Это необходимо, чтобы непосредственный получатель кредита (заемщик) соответствовал требованию о допустимом с точки зрения операций рефинансирования Банка России основном виде деятельности.</w:t>
            </w:r>
          </w:p>
          <w:p w:rsidR="002E4491" w:rsidRPr="00C91669" w:rsidRDefault="002E4491" w:rsidP="002E4491">
            <w:pPr>
              <w:spacing w:after="0" w:line="240" w:lineRule="auto"/>
              <w:ind w:firstLine="175"/>
              <w:jc w:val="both"/>
              <w:rPr>
                <w:rFonts w:ascii="Times New Roman" w:hAnsi="Times New Roman" w:cs="Times New Roman"/>
                <w:sz w:val="24"/>
                <w:szCs w:val="24"/>
              </w:rPr>
            </w:pPr>
            <w:r w:rsidRPr="002E4491">
              <w:rPr>
                <w:rFonts w:ascii="Times New Roman" w:eastAsia="Calibri" w:hAnsi="Times New Roman" w:cs="Times New Roman"/>
                <w:sz w:val="24"/>
                <w:szCs w:val="24"/>
              </w:rPr>
              <w:t>Внесение в Условия изменений в части отмены требования о соответствии основного вида деятельности заемщика виду деятельности, включенному в установленный Банком России список, не планируется.</w:t>
            </w:r>
          </w:p>
        </w:tc>
      </w:tr>
    </w:tbl>
    <w:p w:rsidR="00442619" w:rsidRDefault="00442619" w:rsidP="002038AC">
      <w:pPr>
        <w:spacing w:after="160" w:line="259" w:lineRule="auto"/>
        <w:rPr>
          <w:rFonts w:ascii="Times New Roman" w:hAnsi="Times New Roman" w:cs="Times New Roman"/>
          <w:sz w:val="24"/>
          <w:szCs w:val="24"/>
        </w:rPr>
      </w:pPr>
    </w:p>
    <w:sectPr w:rsidR="00442619" w:rsidSect="00296936">
      <w:footerReference w:type="default" r:id="rId9"/>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98" w:rsidRDefault="003E3A98" w:rsidP="00A6271B">
      <w:pPr>
        <w:spacing w:after="0" w:line="240" w:lineRule="auto"/>
      </w:pPr>
      <w:r>
        <w:separator/>
      </w:r>
    </w:p>
  </w:endnote>
  <w:endnote w:type="continuationSeparator" w:id="0">
    <w:p w:rsidR="003E3A98" w:rsidRDefault="003E3A98"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11095D">
          <w:rPr>
            <w:rFonts w:ascii="Times New Roman" w:hAnsi="Times New Roman" w:cs="Times New Roman"/>
            <w:noProof/>
            <w:sz w:val="18"/>
            <w:szCs w:val="18"/>
          </w:rPr>
          <w:t>3</w:t>
        </w:r>
        <w:r w:rsidRPr="00296936">
          <w:rPr>
            <w:rFonts w:ascii="Times New Roman" w:hAnsi="Times New Roman" w:cs="Times New Roman"/>
            <w:sz w:val="18"/>
            <w:szCs w:val="18"/>
          </w:rPr>
          <w:fldChar w:fldCharType="end"/>
        </w:r>
      </w:p>
    </w:sdtContent>
  </w:sdt>
  <w:p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98" w:rsidRDefault="003E3A98" w:rsidP="00A6271B">
      <w:pPr>
        <w:spacing w:after="0" w:line="240" w:lineRule="auto"/>
      </w:pPr>
      <w:r>
        <w:separator/>
      </w:r>
    </w:p>
  </w:footnote>
  <w:footnote w:type="continuationSeparator" w:id="0">
    <w:p w:rsidR="003E3A98" w:rsidRDefault="003E3A98" w:rsidP="00A6271B">
      <w:pPr>
        <w:spacing w:after="0" w:line="240" w:lineRule="auto"/>
      </w:pPr>
      <w:r>
        <w:continuationSeparator/>
      </w:r>
    </w:p>
  </w:footnote>
  <w:footnote w:id="1">
    <w:p w:rsidR="00FF53FC" w:rsidRPr="00FF53FC" w:rsidRDefault="00FF53FC">
      <w:pPr>
        <w:pStyle w:val="a7"/>
        <w:rPr>
          <w:rFonts w:ascii="Times New Roman" w:hAnsi="Times New Roman" w:cs="Times New Roman"/>
        </w:rPr>
      </w:pPr>
      <w:r w:rsidRPr="00FF53FC">
        <w:rPr>
          <w:rStyle w:val="a6"/>
          <w:rFonts w:ascii="Times New Roman" w:hAnsi="Times New Roman" w:cs="Times New Roman"/>
        </w:rPr>
        <w:footnoteRef/>
      </w:r>
      <w:r w:rsidRPr="00FF53FC">
        <w:rPr>
          <w:rFonts w:ascii="Times New Roman" w:hAnsi="Times New Roman" w:cs="Times New Roman"/>
        </w:rPr>
        <w:t xml:space="preserve"> МСП.</w:t>
      </w:r>
    </w:p>
  </w:footnote>
  <w:footnote w:id="2">
    <w:p w:rsidR="00FF53FC" w:rsidRDefault="00FF53FC">
      <w:pPr>
        <w:pStyle w:val="a7"/>
      </w:pPr>
      <w:r>
        <w:rPr>
          <w:rStyle w:val="a6"/>
        </w:rPr>
        <w:footnoteRef/>
      </w:r>
      <w:r>
        <w:t xml:space="preserve"> </w:t>
      </w:r>
      <w:r w:rsidRPr="00C91669">
        <w:rPr>
          <w:rFonts w:ascii="Times New Roman" w:hAnsi="Times New Roman" w:cs="Times New Roman"/>
        </w:rPr>
        <w:t>оборонно-промышленн</w:t>
      </w:r>
      <w:r>
        <w:rPr>
          <w:rFonts w:ascii="Times New Roman" w:hAnsi="Times New Roman" w:cs="Times New Roman"/>
        </w:rPr>
        <w:t>ый комплекс.</w:t>
      </w:r>
    </w:p>
  </w:footnote>
  <w:footnote w:id="3">
    <w:p w:rsidR="00EE7211" w:rsidRPr="00C953F8" w:rsidRDefault="00EE7211" w:rsidP="00C91669">
      <w:pPr>
        <w:pStyle w:val="a7"/>
        <w:jc w:val="both"/>
      </w:pPr>
      <w:r w:rsidRPr="00C91669">
        <w:rPr>
          <w:rStyle w:val="a6"/>
          <w:rFonts w:ascii="Times New Roman" w:hAnsi="Times New Roman" w:cs="Times New Roman"/>
        </w:rPr>
        <w:footnoteRef/>
      </w:r>
      <w:r w:rsidRPr="00C91669">
        <w:rPr>
          <w:rFonts w:ascii="Times New Roman" w:hAnsi="Times New Roman" w:cs="Times New Roman"/>
        </w:rPr>
        <w:t xml:space="preserve"> В соответствии с Указом от 07.05.2018 № 204 «О национальных целях и стратегических задачах развития Российской Федерации на период до 2024 г.» и Перечнем поручений Президента Российской Федерации по итогам совещания 21.11.2018 по вопросу диверсификации ОПК.</w:t>
      </w:r>
    </w:p>
  </w:footnote>
  <w:footnote w:id="4">
    <w:p w:rsidR="00EE7211" w:rsidRPr="00C91669" w:rsidRDefault="00EE7211" w:rsidP="00C91669">
      <w:pPr>
        <w:pStyle w:val="a7"/>
        <w:jc w:val="both"/>
        <w:rPr>
          <w:rFonts w:ascii="Times New Roman" w:hAnsi="Times New Roman" w:cs="Times New Roman"/>
        </w:rPr>
      </w:pPr>
      <w:r w:rsidRPr="00C91669">
        <w:rPr>
          <w:rStyle w:val="a6"/>
          <w:rFonts w:ascii="Times New Roman" w:hAnsi="Times New Roman" w:cs="Times New Roman"/>
        </w:rPr>
        <w:footnoteRef/>
      </w:r>
      <w:r w:rsidRPr="00C91669">
        <w:rPr>
          <w:rFonts w:ascii="Times New Roman" w:hAnsi="Times New Roman" w:cs="Times New Roman"/>
        </w:rPr>
        <w:t xml:space="preserve"> В рамках Постановления Правительства РФ от 21.01.2020 № 26 «Об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 выдаваемым в рамках поддержки производства высокотехнологичной продукции гражданского и двойного назначения организациями оборонно-промышленного комплекса».</w:t>
      </w:r>
    </w:p>
  </w:footnote>
  <w:footnote w:id="5">
    <w:p w:rsidR="00FF53FC" w:rsidRPr="00FF53FC" w:rsidRDefault="00FF53FC" w:rsidP="00FF53FC">
      <w:pPr>
        <w:pStyle w:val="a7"/>
        <w:rPr>
          <w:rFonts w:ascii="Times New Roman" w:hAnsi="Times New Roman" w:cs="Times New Roman"/>
        </w:rPr>
      </w:pPr>
      <w:r w:rsidRPr="00FF53FC">
        <w:rPr>
          <w:rStyle w:val="a6"/>
          <w:rFonts w:ascii="Times New Roman" w:hAnsi="Times New Roman" w:cs="Times New Roman"/>
        </w:rPr>
        <w:footnoteRef/>
      </w:r>
      <w:r w:rsidRPr="00FF53FC">
        <w:rPr>
          <w:rFonts w:ascii="Times New Roman" w:hAnsi="Times New Roman" w:cs="Times New Roman"/>
        </w:rPr>
        <w:t xml:space="preserve"> Указание Банка России от 22.05.2018 № 4801-У «О форме и условиях рефинансирования кредитных организаций под обеспечение».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E365E"/>
    <w:rsid w:val="000F2962"/>
    <w:rsid w:val="00101F09"/>
    <w:rsid w:val="0011095D"/>
    <w:rsid w:val="001111EB"/>
    <w:rsid w:val="00114DCF"/>
    <w:rsid w:val="001427D7"/>
    <w:rsid w:val="0016040C"/>
    <w:rsid w:val="0016208A"/>
    <w:rsid w:val="00177242"/>
    <w:rsid w:val="001E71E7"/>
    <w:rsid w:val="002038AC"/>
    <w:rsid w:val="00206F8F"/>
    <w:rsid w:val="00235822"/>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E3A98"/>
    <w:rsid w:val="003F36F3"/>
    <w:rsid w:val="00430593"/>
    <w:rsid w:val="00430CCD"/>
    <w:rsid w:val="00430E21"/>
    <w:rsid w:val="004357EF"/>
    <w:rsid w:val="00442619"/>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B7942"/>
    <w:rsid w:val="006C202B"/>
    <w:rsid w:val="006E63F2"/>
    <w:rsid w:val="007004D9"/>
    <w:rsid w:val="00712644"/>
    <w:rsid w:val="007320A5"/>
    <w:rsid w:val="00764099"/>
    <w:rsid w:val="007A6C38"/>
    <w:rsid w:val="007B6C0B"/>
    <w:rsid w:val="007C7DBC"/>
    <w:rsid w:val="007E112D"/>
    <w:rsid w:val="0081189D"/>
    <w:rsid w:val="0084738E"/>
    <w:rsid w:val="00860FDE"/>
    <w:rsid w:val="008619C0"/>
    <w:rsid w:val="00891552"/>
    <w:rsid w:val="008B2214"/>
    <w:rsid w:val="008F0DE0"/>
    <w:rsid w:val="008F7D69"/>
    <w:rsid w:val="00941DF1"/>
    <w:rsid w:val="00953DA3"/>
    <w:rsid w:val="009620FF"/>
    <w:rsid w:val="009A2159"/>
    <w:rsid w:val="009B6A1A"/>
    <w:rsid w:val="009D54E3"/>
    <w:rsid w:val="009E6309"/>
    <w:rsid w:val="00A17D0B"/>
    <w:rsid w:val="00A26B61"/>
    <w:rsid w:val="00A524F7"/>
    <w:rsid w:val="00A5763F"/>
    <w:rsid w:val="00A6023C"/>
    <w:rsid w:val="00A6271B"/>
    <w:rsid w:val="00AA0E30"/>
    <w:rsid w:val="00AA518A"/>
    <w:rsid w:val="00AB0F19"/>
    <w:rsid w:val="00AD4CA4"/>
    <w:rsid w:val="00AE1036"/>
    <w:rsid w:val="00AE4ED5"/>
    <w:rsid w:val="00B02631"/>
    <w:rsid w:val="00B2125C"/>
    <w:rsid w:val="00B37181"/>
    <w:rsid w:val="00B5350F"/>
    <w:rsid w:val="00B71868"/>
    <w:rsid w:val="00B7634D"/>
    <w:rsid w:val="00BB0D5B"/>
    <w:rsid w:val="00BC4DA1"/>
    <w:rsid w:val="00BF1B66"/>
    <w:rsid w:val="00C1662E"/>
    <w:rsid w:val="00C16BB9"/>
    <w:rsid w:val="00C26ABB"/>
    <w:rsid w:val="00C3050F"/>
    <w:rsid w:val="00C434CB"/>
    <w:rsid w:val="00C52EB7"/>
    <w:rsid w:val="00C91669"/>
    <w:rsid w:val="00CB415A"/>
    <w:rsid w:val="00CD5E86"/>
    <w:rsid w:val="00CE03A2"/>
    <w:rsid w:val="00D155E9"/>
    <w:rsid w:val="00D23BB2"/>
    <w:rsid w:val="00D274E9"/>
    <w:rsid w:val="00D3193F"/>
    <w:rsid w:val="00D412E3"/>
    <w:rsid w:val="00D42013"/>
    <w:rsid w:val="00D470F7"/>
    <w:rsid w:val="00D72306"/>
    <w:rsid w:val="00DD3D29"/>
    <w:rsid w:val="00DF14AB"/>
    <w:rsid w:val="00E1040F"/>
    <w:rsid w:val="00E14B8D"/>
    <w:rsid w:val="00E56BB7"/>
    <w:rsid w:val="00E8004F"/>
    <w:rsid w:val="00EC1DB6"/>
    <w:rsid w:val="00EE7211"/>
    <w:rsid w:val="00F01962"/>
    <w:rsid w:val="00F048C7"/>
    <w:rsid w:val="00F15700"/>
    <w:rsid w:val="00F164CD"/>
    <w:rsid w:val="00F32E4D"/>
    <w:rsid w:val="00F543DC"/>
    <w:rsid w:val="00F64907"/>
    <w:rsid w:val="00F85392"/>
    <w:rsid w:val="00FB5462"/>
    <w:rsid w:val="00FD3FC7"/>
    <w:rsid w:val="00FE5D7A"/>
    <w:rsid w:val="00FE6B41"/>
    <w:rsid w:val="00FF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oper_br/t_odm/secured_loans/pr_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162F-51EE-4F89-9552-B90D5015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9207</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2021-03-26T13:31:00Z</dcterms:created>
  <dcterms:modified xsi:type="dcterms:W3CDTF">2021-03-26T13:31:00Z</dcterms:modified>
</cp:coreProperties>
</file>