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3C5B" w14:textId="77777777" w:rsidR="00377B25" w:rsidRPr="00727997" w:rsidRDefault="00377B25" w:rsidP="00377B25">
      <w:pPr>
        <w:jc w:val="right"/>
        <w:rPr>
          <w:sz w:val="28"/>
          <w:szCs w:val="28"/>
        </w:rPr>
      </w:pPr>
      <w:r w:rsidRPr="00727997">
        <w:rPr>
          <w:sz w:val="28"/>
          <w:szCs w:val="28"/>
        </w:rPr>
        <w:t xml:space="preserve">Приложение </w:t>
      </w:r>
    </w:p>
    <w:p w14:paraId="76947BFF" w14:textId="77777777" w:rsidR="00377B25" w:rsidRPr="00727997" w:rsidRDefault="00377B25" w:rsidP="00377B25">
      <w:pPr>
        <w:jc w:val="right"/>
        <w:rPr>
          <w:sz w:val="28"/>
          <w:szCs w:val="28"/>
        </w:rPr>
      </w:pPr>
    </w:p>
    <w:p w14:paraId="3965D91A" w14:textId="18A12BF6" w:rsidR="00377B25" w:rsidRPr="00727997" w:rsidRDefault="00377B25" w:rsidP="00377B25">
      <w:pPr>
        <w:jc w:val="center"/>
        <w:rPr>
          <w:b/>
          <w:sz w:val="28"/>
          <w:szCs w:val="28"/>
        </w:rPr>
      </w:pPr>
      <w:r w:rsidRPr="00727997">
        <w:rPr>
          <w:b/>
          <w:sz w:val="28"/>
          <w:szCs w:val="28"/>
        </w:rPr>
        <w:t xml:space="preserve">Сводная таблица предложений и замечаний </w:t>
      </w:r>
      <w:r>
        <w:rPr>
          <w:b/>
          <w:sz w:val="28"/>
          <w:szCs w:val="28"/>
        </w:rPr>
        <w:t xml:space="preserve">членов рабочей группы Ассоциации «Россия» </w:t>
      </w:r>
      <w:r w:rsidRPr="00727997">
        <w:rPr>
          <w:b/>
          <w:sz w:val="28"/>
          <w:szCs w:val="28"/>
        </w:rPr>
        <w:t xml:space="preserve">к проекту указания </w:t>
      </w:r>
      <w:r w:rsidR="00B477BE">
        <w:rPr>
          <w:b/>
          <w:sz w:val="28"/>
          <w:szCs w:val="28"/>
        </w:rPr>
        <w:br/>
      </w:r>
      <w:r w:rsidRPr="00727997">
        <w:rPr>
          <w:b/>
          <w:sz w:val="28"/>
          <w:szCs w:val="28"/>
        </w:rPr>
        <w:t xml:space="preserve">Банка России «О внесении изменений в </w:t>
      </w:r>
      <w:r w:rsidR="00A7694E">
        <w:rPr>
          <w:b/>
          <w:sz w:val="28"/>
          <w:szCs w:val="28"/>
        </w:rPr>
        <w:t xml:space="preserve">приложение 1 к </w:t>
      </w:r>
      <w:r w:rsidRPr="00727997">
        <w:rPr>
          <w:b/>
          <w:sz w:val="28"/>
          <w:szCs w:val="28"/>
        </w:rPr>
        <w:t>Указани</w:t>
      </w:r>
      <w:r w:rsidR="00A7694E">
        <w:rPr>
          <w:b/>
          <w:sz w:val="28"/>
          <w:szCs w:val="28"/>
        </w:rPr>
        <w:t>ю</w:t>
      </w:r>
      <w:r w:rsidRPr="00727997">
        <w:rPr>
          <w:b/>
          <w:sz w:val="28"/>
          <w:szCs w:val="28"/>
        </w:rPr>
        <w:t xml:space="preserve"> Банка России от 10 апреля 2023 года № 6406-У» </w:t>
      </w:r>
    </w:p>
    <w:p w14:paraId="134690D7" w14:textId="77777777" w:rsidR="00377B25" w:rsidRPr="00727997" w:rsidRDefault="00377B25" w:rsidP="00377B25">
      <w:pPr>
        <w:jc w:val="center"/>
        <w:rPr>
          <w:b/>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6242"/>
        <w:gridCol w:w="1418"/>
        <w:gridCol w:w="6804"/>
      </w:tblGrid>
      <w:tr w:rsidR="00CC418E" w:rsidRPr="00727997" w14:paraId="7E654C44" w14:textId="77777777" w:rsidTr="00CC418E">
        <w:tc>
          <w:tcPr>
            <w:tcW w:w="704" w:type="dxa"/>
            <w:vAlign w:val="center"/>
          </w:tcPr>
          <w:p w14:paraId="152F4C25" w14:textId="77777777" w:rsidR="00CC418E" w:rsidRPr="00727997" w:rsidRDefault="00CC418E" w:rsidP="00F12F2D">
            <w:pPr>
              <w:jc w:val="center"/>
              <w:rPr>
                <w:lang w:val="en-US"/>
              </w:rPr>
            </w:pPr>
            <w:r w:rsidRPr="00727997">
              <w:rPr>
                <w:lang w:val="en-US"/>
              </w:rPr>
              <w:t>№</w:t>
            </w:r>
          </w:p>
          <w:p w14:paraId="5288D838" w14:textId="77777777" w:rsidR="00CC418E" w:rsidRPr="00727997" w:rsidRDefault="00CC418E" w:rsidP="00F12F2D">
            <w:pPr>
              <w:jc w:val="center"/>
            </w:pPr>
            <w:r w:rsidRPr="00727997">
              <w:t>п/п</w:t>
            </w:r>
          </w:p>
        </w:tc>
        <w:tc>
          <w:tcPr>
            <w:tcW w:w="6242" w:type="dxa"/>
            <w:vAlign w:val="center"/>
          </w:tcPr>
          <w:p w14:paraId="66DBBFB2" w14:textId="77777777" w:rsidR="00CC418E" w:rsidRPr="00727997" w:rsidRDefault="00CC418E" w:rsidP="00F12F2D">
            <w:pPr>
              <w:jc w:val="center"/>
            </w:pPr>
            <w:r w:rsidRPr="00727997">
              <w:t xml:space="preserve">Содержание замечания или предложения </w:t>
            </w:r>
          </w:p>
        </w:tc>
        <w:tc>
          <w:tcPr>
            <w:tcW w:w="1418" w:type="dxa"/>
            <w:vAlign w:val="center"/>
          </w:tcPr>
          <w:p w14:paraId="17560A53" w14:textId="77777777" w:rsidR="00CC418E" w:rsidRPr="00727997" w:rsidRDefault="00CC418E" w:rsidP="00F12F2D">
            <w:pPr>
              <w:jc w:val="center"/>
            </w:pPr>
            <w:r w:rsidRPr="00727997">
              <w:t>Решение</w:t>
            </w:r>
          </w:p>
        </w:tc>
        <w:tc>
          <w:tcPr>
            <w:tcW w:w="6804" w:type="dxa"/>
            <w:vAlign w:val="center"/>
          </w:tcPr>
          <w:p w14:paraId="5AD6D2E4" w14:textId="77777777" w:rsidR="00CC418E" w:rsidRPr="00727997" w:rsidRDefault="00CC418E" w:rsidP="00F12F2D">
            <w:pPr>
              <w:jc w:val="center"/>
            </w:pPr>
            <w:r w:rsidRPr="00727997">
              <w:t>Пояснение</w:t>
            </w:r>
          </w:p>
        </w:tc>
      </w:tr>
      <w:tr w:rsidR="00CC418E" w:rsidRPr="00727997" w14:paraId="23F5A0B7" w14:textId="77777777" w:rsidTr="00CC418E">
        <w:tc>
          <w:tcPr>
            <w:tcW w:w="704" w:type="dxa"/>
          </w:tcPr>
          <w:p w14:paraId="0F2BCBEF" w14:textId="77777777" w:rsidR="00CC418E" w:rsidRPr="00727997" w:rsidRDefault="00CC418E" w:rsidP="00F12F2D">
            <w:pPr>
              <w:jc w:val="center"/>
            </w:pPr>
            <w:r w:rsidRPr="00727997">
              <w:t>1</w:t>
            </w:r>
          </w:p>
        </w:tc>
        <w:tc>
          <w:tcPr>
            <w:tcW w:w="6242" w:type="dxa"/>
          </w:tcPr>
          <w:p w14:paraId="1E3B53C9" w14:textId="77777777" w:rsidR="00CC418E" w:rsidRPr="00727997" w:rsidRDefault="00CC418E" w:rsidP="00F12F2D">
            <w:pPr>
              <w:jc w:val="center"/>
            </w:pPr>
            <w:r w:rsidRPr="00727997">
              <w:t>2</w:t>
            </w:r>
          </w:p>
        </w:tc>
        <w:tc>
          <w:tcPr>
            <w:tcW w:w="1418" w:type="dxa"/>
          </w:tcPr>
          <w:p w14:paraId="650A1631" w14:textId="27B39C6C" w:rsidR="00CC418E" w:rsidRPr="00727997" w:rsidRDefault="00B477BE" w:rsidP="00F12F2D">
            <w:pPr>
              <w:jc w:val="center"/>
            </w:pPr>
            <w:r>
              <w:t>3</w:t>
            </w:r>
          </w:p>
        </w:tc>
        <w:tc>
          <w:tcPr>
            <w:tcW w:w="6804" w:type="dxa"/>
          </w:tcPr>
          <w:p w14:paraId="4F023D47" w14:textId="2FCE112B" w:rsidR="00CC418E" w:rsidRPr="00727997" w:rsidRDefault="00B477BE" w:rsidP="00F12F2D">
            <w:pPr>
              <w:jc w:val="center"/>
            </w:pPr>
            <w:r>
              <w:t>4</w:t>
            </w:r>
          </w:p>
        </w:tc>
      </w:tr>
      <w:tr w:rsidR="00377B25" w:rsidRPr="00727997" w14:paraId="62DD4EB4" w14:textId="77777777" w:rsidTr="00CC418E">
        <w:trPr>
          <w:trHeight w:val="543"/>
        </w:trPr>
        <w:tc>
          <w:tcPr>
            <w:tcW w:w="15168" w:type="dxa"/>
            <w:gridSpan w:val="4"/>
            <w:tcBorders>
              <w:top w:val="single" w:sz="4" w:space="0" w:color="auto"/>
              <w:left w:val="single" w:sz="4" w:space="0" w:color="auto"/>
              <w:bottom w:val="single" w:sz="4" w:space="0" w:color="auto"/>
              <w:right w:val="single" w:sz="4" w:space="0" w:color="auto"/>
            </w:tcBorders>
          </w:tcPr>
          <w:p w14:paraId="212350BE" w14:textId="77777777" w:rsidR="00377B25" w:rsidRPr="00727997" w:rsidRDefault="00377B25" w:rsidP="009104A2">
            <w:pPr>
              <w:ind w:firstLine="357"/>
              <w:jc w:val="center"/>
            </w:pPr>
            <w:r w:rsidRPr="00727997">
              <w:br w:type="page"/>
            </w:r>
            <w:r w:rsidRPr="00727997">
              <w:rPr>
                <w:b/>
              </w:rPr>
              <w:t>Форма отчетности 0409101 «Оборотная ведомость по счетам бухгалтерского учета кредитной организации»</w:t>
            </w:r>
            <w:r>
              <w:rPr>
                <w:b/>
              </w:rPr>
              <w:t xml:space="preserve"> (далее – форма 0409101)</w:t>
            </w:r>
          </w:p>
        </w:tc>
      </w:tr>
    </w:tbl>
    <w:p w14:paraId="504A07D0" w14:textId="77777777" w:rsidR="006040AB" w:rsidRDefault="006040AB" w:rsidP="00F12F2D">
      <w:pPr>
        <w:jc w:val="center"/>
        <w:sectPr w:rsidR="006040AB" w:rsidSect="00B5173B">
          <w:headerReference w:type="default" r:id="rId8"/>
          <w:footerReference w:type="even" r:id="rId9"/>
          <w:footerReference w:type="first" r:id="rId10"/>
          <w:footnotePr>
            <w:numRestart w:val="eachPage"/>
          </w:footnotePr>
          <w:pgSz w:w="16838" w:h="11906" w:orient="landscape"/>
          <w:pgMar w:top="709" w:right="851" w:bottom="709" w:left="851" w:header="709" w:footer="709" w:gutter="0"/>
          <w:cols w:space="708"/>
          <w:titlePg/>
          <w:docGrid w:linePitch="360"/>
        </w:sectPr>
      </w:pPr>
    </w:p>
    <w:p w14:paraId="6F9534E5" w14:textId="77777777" w:rsidR="006040AB" w:rsidRDefault="006040AB" w:rsidP="00F12F2D">
      <w:pPr>
        <w:jc w:val="center"/>
        <w:sectPr w:rsidR="006040AB" w:rsidSect="006040AB">
          <w:footnotePr>
            <w:numRestart w:val="eachPage"/>
          </w:footnotePr>
          <w:type w:val="continuous"/>
          <w:pgSz w:w="16838" w:h="11906" w:orient="landscape"/>
          <w:pgMar w:top="709" w:right="851" w:bottom="709" w:left="851" w:header="709" w:footer="709" w:gutter="0"/>
          <w:cols w:space="708"/>
          <w:titlePg/>
          <w:docGrid w:linePitch="360"/>
        </w:sect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6242"/>
        <w:gridCol w:w="1134"/>
        <w:gridCol w:w="7088"/>
      </w:tblGrid>
      <w:tr w:rsidR="00CC418E" w:rsidRPr="00727997" w14:paraId="122CEF33" w14:textId="77777777" w:rsidTr="000A579B">
        <w:trPr>
          <w:trHeight w:val="267"/>
        </w:trPr>
        <w:tc>
          <w:tcPr>
            <w:tcW w:w="704" w:type="dxa"/>
            <w:tcBorders>
              <w:top w:val="single" w:sz="4" w:space="0" w:color="auto"/>
              <w:left w:val="single" w:sz="4" w:space="0" w:color="auto"/>
              <w:bottom w:val="single" w:sz="4" w:space="0" w:color="auto"/>
              <w:right w:val="single" w:sz="4" w:space="0" w:color="auto"/>
            </w:tcBorders>
          </w:tcPr>
          <w:p w14:paraId="5F214CBE" w14:textId="431AA0BC" w:rsidR="00CC418E" w:rsidRPr="00727997" w:rsidRDefault="00CC418E" w:rsidP="00F12F2D">
            <w:pPr>
              <w:jc w:val="center"/>
            </w:pPr>
            <w:r>
              <w:t>1</w:t>
            </w:r>
          </w:p>
        </w:tc>
        <w:tc>
          <w:tcPr>
            <w:tcW w:w="6242" w:type="dxa"/>
            <w:tcBorders>
              <w:top w:val="single" w:sz="4" w:space="0" w:color="auto"/>
              <w:left w:val="single" w:sz="4" w:space="0" w:color="auto"/>
              <w:bottom w:val="single" w:sz="4" w:space="0" w:color="auto"/>
              <w:right w:val="single" w:sz="4" w:space="0" w:color="auto"/>
            </w:tcBorders>
          </w:tcPr>
          <w:p w14:paraId="1B8A10CF" w14:textId="77777777" w:rsidR="00CC418E" w:rsidRPr="00377B25" w:rsidRDefault="00CC418E" w:rsidP="002C6DCC">
            <w:pPr>
              <w:jc w:val="both"/>
              <w:rPr>
                <w:bCs/>
              </w:rPr>
            </w:pPr>
            <w:r w:rsidRPr="00377B25">
              <w:rPr>
                <w:bCs/>
              </w:rPr>
              <w:t>Вопросы по графам 6, 12, 18, 24 формы 0409101:</w:t>
            </w:r>
          </w:p>
          <w:p w14:paraId="1AB38B60" w14:textId="77777777" w:rsidR="00CC418E" w:rsidRPr="00377B25" w:rsidRDefault="00CC418E" w:rsidP="002C6DCC">
            <w:pPr>
              <w:jc w:val="both"/>
              <w:rPr>
                <w:bCs/>
              </w:rPr>
            </w:pPr>
            <w:r w:rsidRPr="00377B25">
              <w:rPr>
                <w:bCs/>
              </w:rPr>
              <w:t>1) Какие виды цифровых валют возможны?</w:t>
            </w:r>
          </w:p>
          <w:p w14:paraId="74F6A1DC" w14:textId="77777777" w:rsidR="00CC418E" w:rsidRPr="00377B25" w:rsidRDefault="00CC418E" w:rsidP="002C6DCC">
            <w:pPr>
              <w:jc w:val="both"/>
              <w:rPr>
                <w:bCs/>
              </w:rPr>
            </w:pPr>
            <w:r w:rsidRPr="00377B25">
              <w:rPr>
                <w:bCs/>
              </w:rPr>
              <w:t>2) На каких балансовых счетах могут быть отражены остатки в цифровых валютах?</w:t>
            </w:r>
          </w:p>
          <w:p w14:paraId="34AC79C5" w14:textId="3751B6FF" w:rsidR="00CC418E" w:rsidRPr="00727997" w:rsidRDefault="00CC418E" w:rsidP="002C6DCC">
            <w:pPr>
              <w:jc w:val="both"/>
              <w:rPr>
                <w:bCs/>
              </w:rPr>
            </w:pPr>
            <w:r w:rsidRPr="00377B25">
              <w:rPr>
                <w:bCs/>
              </w:rPr>
              <w:t xml:space="preserve">3) В графах 6, 12, 18 и 24 не подлежат отражению остатки по сделкам с цифровыми </w:t>
            </w:r>
            <w:r w:rsidR="002C6DCC">
              <w:rPr>
                <w:bCs/>
              </w:rPr>
              <w:t xml:space="preserve">финансовыми активами (например, </w:t>
            </w:r>
            <w:r w:rsidR="000E0E0E">
              <w:rPr>
                <w:bCs/>
              </w:rPr>
              <w:t>остатки на ба</w:t>
            </w:r>
            <w:r w:rsidR="00862728">
              <w:rPr>
                <w:bCs/>
              </w:rPr>
              <w:t>л</w:t>
            </w:r>
            <w:r w:rsidRPr="00377B25">
              <w:rPr>
                <w:bCs/>
              </w:rPr>
              <w:t>ансовом счете 533</w:t>
            </w:r>
            <w:r>
              <w:rPr>
                <w:bCs/>
              </w:rPr>
              <w:t>)</w:t>
            </w:r>
            <w:r w:rsidRPr="00377B25">
              <w:rPr>
                <w:bCs/>
              </w:rPr>
              <w:t>?</w:t>
            </w:r>
          </w:p>
        </w:tc>
        <w:tc>
          <w:tcPr>
            <w:tcW w:w="1134" w:type="dxa"/>
            <w:tcBorders>
              <w:top w:val="single" w:sz="4" w:space="0" w:color="auto"/>
              <w:left w:val="single" w:sz="4" w:space="0" w:color="auto"/>
              <w:bottom w:val="single" w:sz="4" w:space="0" w:color="auto"/>
              <w:right w:val="single" w:sz="4" w:space="0" w:color="auto"/>
            </w:tcBorders>
          </w:tcPr>
          <w:p w14:paraId="57C8565A" w14:textId="77777777" w:rsidR="00CC418E" w:rsidRPr="00727997" w:rsidRDefault="00CC418E" w:rsidP="00F12F2D">
            <w:pPr>
              <w:jc w:val="center"/>
            </w:pPr>
            <w:r>
              <w:t>Даны пояснения</w:t>
            </w:r>
          </w:p>
        </w:tc>
        <w:tc>
          <w:tcPr>
            <w:tcW w:w="7088" w:type="dxa"/>
            <w:tcBorders>
              <w:top w:val="single" w:sz="4" w:space="0" w:color="auto"/>
              <w:left w:val="single" w:sz="4" w:space="0" w:color="auto"/>
              <w:bottom w:val="single" w:sz="4" w:space="0" w:color="auto"/>
              <w:right w:val="single" w:sz="4" w:space="0" w:color="auto"/>
            </w:tcBorders>
          </w:tcPr>
          <w:p w14:paraId="3BA5A817" w14:textId="021D25B9" w:rsidR="00CC418E" w:rsidRDefault="00CC418E" w:rsidP="00F12F2D">
            <w:pPr>
              <w:jc w:val="both"/>
            </w:pPr>
            <w:r w:rsidRPr="00B5083D">
              <w:t xml:space="preserve">1) </w:t>
            </w:r>
            <w:r w:rsidR="000903FA">
              <w:t>В</w:t>
            </w:r>
            <w:r w:rsidR="002A5F27">
              <w:t xml:space="preserve"> графах 6, 12, 18, 24 формы 0409101 подлежат отражению остатки и обороты по балансовым счетам, на которых</w:t>
            </w:r>
            <w:r w:rsidR="00474A08">
              <w:t xml:space="preserve"> КО</w:t>
            </w:r>
            <w:r w:rsidR="00976700">
              <w:rPr>
                <w:rStyle w:val="a4"/>
              </w:rPr>
              <w:footnoteReference w:id="1"/>
            </w:r>
            <w:r w:rsidR="00474A08">
              <w:t xml:space="preserve"> учтены</w:t>
            </w:r>
            <w:r w:rsidR="002A5F27">
              <w:t xml:space="preserve"> </w:t>
            </w:r>
            <w:r w:rsidR="00567632">
              <w:t>требования (обязательства),</w:t>
            </w:r>
            <w:r w:rsidR="002A5F27">
              <w:t xml:space="preserve"> </w:t>
            </w:r>
            <w:r w:rsidR="00567632">
              <w:t>выраженные в</w:t>
            </w:r>
            <w:r w:rsidR="002A5F27">
              <w:t xml:space="preserve"> цифровы</w:t>
            </w:r>
            <w:r w:rsidR="00567632">
              <w:t>х</w:t>
            </w:r>
            <w:r w:rsidR="002A5F27">
              <w:t xml:space="preserve"> валют</w:t>
            </w:r>
            <w:r w:rsidR="00567632">
              <w:t>ах (далее – ЦВ). С учетом требований статьи 6</w:t>
            </w:r>
            <w:r w:rsidR="00567632" w:rsidRPr="003B7504">
              <w:rPr>
                <w:vertAlign w:val="superscript"/>
              </w:rPr>
              <w:t xml:space="preserve">1 </w:t>
            </w:r>
            <w:r w:rsidR="00567632">
              <w:t>Федерального закона «О банках и банковской деятельности»</w:t>
            </w:r>
            <w:r w:rsidR="00567632">
              <w:rPr>
                <w:rStyle w:val="a4"/>
              </w:rPr>
              <w:t xml:space="preserve"> </w:t>
            </w:r>
            <w:r w:rsidR="00567632">
              <w:rPr>
                <w:rStyle w:val="a4"/>
              </w:rPr>
              <w:footnoteReference w:id="2"/>
            </w:r>
            <w:r w:rsidR="00567632">
              <w:t xml:space="preserve"> в целях составления </w:t>
            </w:r>
            <w:r w:rsidR="003B7504">
              <w:t>формы 0409101</w:t>
            </w:r>
            <w:r w:rsidR="00567632">
              <w:t xml:space="preserve"> под ЦВ </w:t>
            </w:r>
            <w:r w:rsidR="003B7504" w:rsidRPr="003B7504">
              <w:t>по общему правилу</w:t>
            </w:r>
            <w:r w:rsidR="002A2D12">
              <w:rPr>
                <w:rStyle w:val="a4"/>
              </w:rPr>
              <w:footnoteReference w:id="3"/>
            </w:r>
            <w:r w:rsidR="002A2D12">
              <w:t xml:space="preserve"> </w:t>
            </w:r>
            <w:r w:rsidR="00567632">
              <w:t>следует понимать</w:t>
            </w:r>
            <w:r w:rsidR="002A5F27">
              <w:t xml:space="preserve"> </w:t>
            </w:r>
            <w:r w:rsidR="00567632">
              <w:t>ЦВ, допущенные</w:t>
            </w:r>
            <w:r w:rsidR="002A5F27">
              <w:t xml:space="preserve"> к организованным торгам в соответствии с требованиями законодательства Российский Федерации</w:t>
            </w:r>
            <w:r w:rsidR="003B7504" w:rsidRPr="003B7504">
              <w:t>, если иное не предусмотрено нормативным актом Банка России</w:t>
            </w:r>
            <w:r w:rsidR="002A5F27">
              <w:t>.</w:t>
            </w:r>
          </w:p>
          <w:p w14:paraId="6D7D7A0C" w14:textId="77777777" w:rsidR="002A2D12" w:rsidRDefault="002A2D12" w:rsidP="00F12F2D">
            <w:pPr>
              <w:jc w:val="both"/>
            </w:pPr>
          </w:p>
          <w:p w14:paraId="1F73DA55" w14:textId="6D96F36C" w:rsidR="00BA222B" w:rsidRDefault="00CC418E">
            <w:pPr>
              <w:jc w:val="both"/>
            </w:pPr>
            <w:r>
              <w:t xml:space="preserve">2) </w:t>
            </w:r>
            <w:r w:rsidR="002A5F27">
              <w:t>Согласно изменениям</w:t>
            </w:r>
            <w:r w:rsidR="002A5F27">
              <w:rPr>
                <w:rStyle w:val="a4"/>
              </w:rPr>
              <w:footnoteReference w:id="4"/>
            </w:r>
            <w:r w:rsidR="002A5F27">
              <w:t xml:space="preserve"> в Положение № 809-П с</w:t>
            </w:r>
            <w:r>
              <w:t xml:space="preserve">чета в </w:t>
            </w:r>
            <w:r w:rsidR="00BA222B">
              <w:t xml:space="preserve">ЦВ </w:t>
            </w:r>
            <w:r>
              <w:t xml:space="preserve">открываются на любых </w:t>
            </w:r>
            <w:r w:rsidR="00BA222B">
              <w:t xml:space="preserve">балансовых </w:t>
            </w:r>
            <w:r>
              <w:t>счетах Плана счетов</w:t>
            </w:r>
            <w:r w:rsidR="00871AAF">
              <w:rPr>
                <w:rStyle w:val="a4"/>
              </w:rPr>
              <w:footnoteReference w:id="5"/>
            </w:r>
            <w:r>
              <w:t xml:space="preserve">, на которых могут учитываться операции в </w:t>
            </w:r>
            <w:r w:rsidR="00BA222B">
              <w:t>ЦВ</w:t>
            </w:r>
            <w:r>
              <w:t>.</w:t>
            </w:r>
            <w:r w:rsidR="002A5F27">
              <w:t xml:space="preserve"> Таким образом, в графах 6, 12, 18, 24 формы 0409101 подлежат отражению остатки и обороты по</w:t>
            </w:r>
            <w:r w:rsidR="00DD369C">
              <w:t xml:space="preserve"> предусмотренным</w:t>
            </w:r>
            <w:r w:rsidR="002A5F27">
              <w:t xml:space="preserve"> </w:t>
            </w:r>
            <w:r w:rsidR="00DD369C">
              <w:t xml:space="preserve">Планом счетов </w:t>
            </w:r>
            <w:r w:rsidR="002A5F27">
              <w:t xml:space="preserve">балансовым счетам, </w:t>
            </w:r>
            <w:r w:rsidR="00DD369C">
              <w:lastRenderedPageBreak/>
              <w:t xml:space="preserve">на которых открыты лицевые счета в </w:t>
            </w:r>
            <w:r w:rsidR="00B926AF">
              <w:t>ЦВ</w:t>
            </w:r>
            <w:r w:rsidR="00DD369C">
              <w:t xml:space="preserve">, в части сумм, учтенных на указанных лицевых счетах. </w:t>
            </w:r>
          </w:p>
          <w:p w14:paraId="73DA5584" w14:textId="77777777" w:rsidR="009E4B67" w:rsidRDefault="009E4B67">
            <w:pPr>
              <w:jc w:val="both"/>
            </w:pPr>
          </w:p>
          <w:p w14:paraId="568046E7" w14:textId="37ACFAC5" w:rsidR="00CC418E" w:rsidRPr="00B5083D" w:rsidRDefault="00CC418E" w:rsidP="003B7504">
            <w:pPr>
              <w:jc w:val="both"/>
            </w:pPr>
            <w:r>
              <w:t>3)</w:t>
            </w:r>
            <w:r w:rsidR="004D12B6" w:rsidRPr="004D12B6">
              <w:t xml:space="preserve"> </w:t>
            </w:r>
            <w:r w:rsidR="00A541F8">
              <w:t>Исходя из понятия цифровых финансовых активов</w:t>
            </w:r>
            <w:r w:rsidR="00A541F8">
              <w:rPr>
                <w:rStyle w:val="a4"/>
              </w:rPr>
              <w:footnoteReference w:id="6"/>
            </w:r>
            <w:r w:rsidR="00A541F8">
              <w:t xml:space="preserve"> (далее – ЦФА), установленного </w:t>
            </w:r>
            <w:r w:rsidR="003B7504" w:rsidRPr="003B7504">
              <w:t xml:space="preserve">в пункте 15 части 1 </w:t>
            </w:r>
            <w:r w:rsidR="00A541F8">
              <w:t>стать</w:t>
            </w:r>
            <w:r w:rsidR="003B7504">
              <w:t>и</w:t>
            </w:r>
            <w:r w:rsidR="00A541F8">
              <w:t xml:space="preserve"> 2 Федерального закона № 282-ФЗ</w:t>
            </w:r>
            <w:r w:rsidR="00A541F8">
              <w:rPr>
                <w:rStyle w:val="a4"/>
              </w:rPr>
              <w:footnoteReference w:id="7"/>
            </w:r>
            <w:r w:rsidR="00A541F8">
              <w:t xml:space="preserve">, </w:t>
            </w:r>
            <w:r w:rsidR="00D31FAB">
              <w:t xml:space="preserve">полагаем, что </w:t>
            </w:r>
            <w:r w:rsidR="00A541F8">
              <w:t>требования (обязательства), возникшие по операциям (сделкам) с ЦФА, не могут быть выражены в ЦВ. В этой связи остатки и обороты по балансовому счету № 533</w:t>
            </w:r>
            <w:r w:rsidR="00A541F8">
              <w:rPr>
                <w:rStyle w:val="a4"/>
              </w:rPr>
              <w:footnoteReference w:id="8"/>
            </w:r>
            <w:r w:rsidR="00A541F8">
              <w:t xml:space="preserve"> не подлежат отражению в графах 6, 12, 18, 24 формы 0409101.</w:t>
            </w:r>
          </w:p>
        </w:tc>
      </w:tr>
      <w:tr w:rsidR="00377B25" w:rsidRPr="00727997" w14:paraId="3D1B4A6B" w14:textId="77777777" w:rsidTr="00CC418E">
        <w:trPr>
          <w:trHeight w:val="267"/>
        </w:trPr>
        <w:tc>
          <w:tcPr>
            <w:tcW w:w="15168" w:type="dxa"/>
            <w:gridSpan w:val="4"/>
            <w:tcBorders>
              <w:top w:val="single" w:sz="4" w:space="0" w:color="auto"/>
              <w:left w:val="single" w:sz="4" w:space="0" w:color="auto"/>
              <w:bottom w:val="single" w:sz="4" w:space="0" w:color="auto"/>
              <w:right w:val="single" w:sz="4" w:space="0" w:color="auto"/>
            </w:tcBorders>
          </w:tcPr>
          <w:p w14:paraId="720824F7" w14:textId="6B9CD4DD" w:rsidR="00862728" w:rsidRDefault="009104A2" w:rsidP="00B477BE">
            <w:pPr>
              <w:pStyle w:val="a3"/>
              <w:spacing w:before="0" w:beforeAutospacing="0" w:after="0" w:afterAutospacing="0"/>
              <w:jc w:val="center"/>
              <w:rPr>
                <w:b/>
              </w:rPr>
            </w:pPr>
            <w:r w:rsidRPr="009104A2">
              <w:rPr>
                <w:b/>
                <w:bCs/>
              </w:rPr>
              <w:lastRenderedPageBreak/>
              <w:t>Формы отчетности</w:t>
            </w:r>
            <w:r>
              <w:rPr>
                <w:b/>
                <w:bCs/>
              </w:rPr>
              <w:t xml:space="preserve">: </w:t>
            </w:r>
            <w:r w:rsidR="00B477BE">
              <w:rPr>
                <w:b/>
                <w:bCs/>
              </w:rPr>
              <w:t>0</w:t>
            </w:r>
            <w:r w:rsidR="00377B25" w:rsidRPr="009104A2">
              <w:rPr>
                <w:b/>
                <w:bCs/>
              </w:rPr>
              <w:t>409121</w:t>
            </w:r>
            <w:r w:rsidRPr="009104A2">
              <w:rPr>
                <w:b/>
                <w:bCs/>
              </w:rPr>
              <w:t xml:space="preserve"> «</w:t>
            </w:r>
            <w:r w:rsidRPr="009104A2">
              <w:rPr>
                <w:rFonts w:eastAsia="Times New Roman"/>
                <w:b/>
              </w:rPr>
              <w:t xml:space="preserve">Расчет </w:t>
            </w:r>
            <w:r w:rsidRPr="009104A2">
              <w:rPr>
                <w:b/>
              </w:rPr>
              <w:t xml:space="preserve">системно значимыми кредитными организациями норматива структурной ликвидности (норматива чистого стабильного фондирования) </w:t>
            </w:r>
            <w:r>
              <w:rPr>
                <w:b/>
              </w:rPr>
              <w:t>(«</w:t>
            </w:r>
            <w:r w:rsidRPr="009104A2">
              <w:rPr>
                <w:b/>
              </w:rPr>
              <w:t>БАЗЕЛЬ III</w:t>
            </w:r>
            <w:r>
              <w:rPr>
                <w:b/>
              </w:rPr>
              <w:t>»</w:t>
            </w:r>
            <w:r w:rsidRPr="009104A2">
              <w:rPr>
                <w:b/>
              </w:rPr>
              <w:t>),</w:t>
            </w:r>
            <w:r>
              <w:rPr>
                <w:b/>
              </w:rPr>
              <w:t xml:space="preserve"> </w:t>
            </w:r>
            <w:r w:rsidR="00A7694E">
              <w:rPr>
                <w:b/>
              </w:rPr>
              <w:br/>
            </w:r>
            <w:r w:rsidR="00377B25" w:rsidRPr="009104A2">
              <w:rPr>
                <w:b/>
                <w:bCs/>
              </w:rPr>
              <w:t>0409122</w:t>
            </w:r>
            <w:r w:rsidRPr="009104A2">
              <w:rPr>
                <w:b/>
                <w:bCs/>
              </w:rPr>
              <w:t xml:space="preserve"> «Расчет показателя краткосрочной ликвидности </w:t>
            </w:r>
            <w:r>
              <w:rPr>
                <w:b/>
              </w:rPr>
              <w:t>(«</w:t>
            </w:r>
            <w:r w:rsidRPr="009104A2">
              <w:rPr>
                <w:b/>
              </w:rPr>
              <w:t>БАЗЕЛЬ III</w:t>
            </w:r>
            <w:r>
              <w:rPr>
                <w:b/>
              </w:rPr>
              <w:t>»</w:t>
            </w:r>
            <w:r w:rsidRPr="009104A2">
              <w:rPr>
                <w:b/>
              </w:rPr>
              <w:t>)</w:t>
            </w:r>
            <w:r w:rsidRPr="009104A2">
              <w:rPr>
                <w:b/>
                <w:bCs/>
              </w:rPr>
              <w:t xml:space="preserve">, </w:t>
            </w:r>
            <w:r w:rsidR="00A7694E">
              <w:rPr>
                <w:b/>
                <w:bCs/>
              </w:rPr>
              <w:br/>
            </w:r>
            <w:r w:rsidRPr="009104A2">
              <w:rPr>
                <w:b/>
                <w:bCs/>
              </w:rPr>
              <w:t>0409135 «И</w:t>
            </w:r>
            <w:r w:rsidRPr="009104A2">
              <w:rPr>
                <w:rFonts w:eastAsia="Times New Roman"/>
                <w:b/>
              </w:rPr>
              <w:t>нформация</w:t>
            </w:r>
            <w:r>
              <w:rPr>
                <w:rFonts w:eastAsia="Times New Roman"/>
                <w:b/>
              </w:rPr>
              <w:t xml:space="preserve"> </w:t>
            </w:r>
            <w:r w:rsidRPr="009104A2">
              <w:rPr>
                <w:b/>
              </w:rPr>
              <w:t xml:space="preserve">об обязательных нормативах и о других показателях деятельности кредитной организации», </w:t>
            </w:r>
          </w:p>
          <w:p w14:paraId="60E144DA" w14:textId="4192EF3A" w:rsidR="00377B25" w:rsidRPr="009104A2" w:rsidRDefault="00377B25" w:rsidP="00B477BE">
            <w:pPr>
              <w:pStyle w:val="a3"/>
              <w:spacing w:before="0" w:beforeAutospacing="0" w:after="0" w:afterAutospacing="0"/>
              <w:jc w:val="center"/>
              <w:rPr>
                <w:b/>
                <w:bCs/>
              </w:rPr>
            </w:pPr>
            <w:r w:rsidRPr="009104A2">
              <w:rPr>
                <w:b/>
                <w:bCs/>
              </w:rPr>
              <w:t>0409136</w:t>
            </w:r>
            <w:r w:rsidR="009104A2" w:rsidRPr="009104A2">
              <w:rPr>
                <w:b/>
                <w:bCs/>
              </w:rPr>
              <w:t xml:space="preserve"> «</w:t>
            </w:r>
            <w:r w:rsidR="009104A2" w:rsidRPr="009104A2">
              <w:rPr>
                <w:b/>
              </w:rPr>
              <w:t xml:space="preserve">Расчет системно значимыми кредитными организациями норматива краткосрочной ликвидности», </w:t>
            </w:r>
            <w:r w:rsidR="00A7694E">
              <w:rPr>
                <w:b/>
              </w:rPr>
              <w:br/>
            </w:r>
            <w:r w:rsidRPr="009104A2">
              <w:rPr>
                <w:b/>
                <w:bCs/>
              </w:rPr>
              <w:t>0409805</w:t>
            </w:r>
            <w:r w:rsidR="009104A2" w:rsidRPr="009104A2">
              <w:rPr>
                <w:b/>
                <w:bCs/>
              </w:rPr>
              <w:t xml:space="preserve"> </w:t>
            </w:r>
            <w:r w:rsidR="009104A2">
              <w:rPr>
                <w:rFonts w:eastAsia="Times New Roman"/>
                <w:b/>
              </w:rPr>
              <w:t>«</w:t>
            </w:r>
            <w:r w:rsidR="009104A2" w:rsidRPr="009104A2">
              <w:rPr>
                <w:rFonts w:eastAsia="Times New Roman"/>
                <w:b/>
              </w:rPr>
              <w:t>Расчет собственных средств (капитала) и значений обязательн</w:t>
            </w:r>
            <w:r w:rsidR="009104A2">
              <w:rPr>
                <w:rFonts w:eastAsia="Times New Roman"/>
                <w:b/>
              </w:rPr>
              <w:t>ых нормативов банковской группы»</w:t>
            </w:r>
            <w:r w:rsidR="009104A2" w:rsidRPr="009104A2">
              <w:rPr>
                <w:b/>
              </w:rPr>
              <w:t>.</w:t>
            </w:r>
          </w:p>
        </w:tc>
      </w:tr>
      <w:tr w:rsidR="00CC418E" w:rsidRPr="00727997" w14:paraId="173D00A2" w14:textId="77777777" w:rsidTr="000A579B">
        <w:trPr>
          <w:trHeight w:val="267"/>
        </w:trPr>
        <w:tc>
          <w:tcPr>
            <w:tcW w:w="704" w:type="dxa"/>
            <w:tcBorders>
              <w:top w:val="single" w:sz="4" w:space="0" w:color="auto"/>
              <w:left w:val="single" w:sz="4" w:space="0" w:color="auto"/>
              <w:bottom w:val="single" w:sz="4" w:space="0" w:color="auto"/>
              <w:right w:val="single" w:sz="4" w:space="0" w:color="auto"/>
            </w:tcBorders>
          </w:tcPr>
          <w:p w14:paraId="5B02C1F0" w14:textId="77777777" w:rsidR="00CC418E" w:rsidRPr="00727997" w:rsidRDefault="00CC418E" w:rsidP="00F12F2D">
            <w:pPr>
              <w:jc w:val="center"/>
            </w:pPr>
            <w:r>
              <w:t>2</w:t>
            </w:r>
          </w:p>
        </w:tc>
        <w:tc>
          <w:tcPr>
            <w:tcW w:w="6242" w:type="dxa"/>
            <w:tcBorders>
              <w:top w:val="single" w:sz="4" w:space="0" w:color="auto"/>
              <w:left w:val="single" w:sz="4" w:space="0" w:color="auto"/>
              <w:bottom w:val="single" w:sz="4" w:space="0" w:color="auto"/>
              <w:right w:val="single" w:sz="4" w:space="0" w:color="auto"/>
            </w:tcBorders>
          </w:tcPr>
          <w:p w14:paraId="13D6F094" w14:textId="77777777" w:rsidR="00CC418E" w:rsidRPr="00727997" w:rsidRDefault="00CC418E" w:rsidP="002C6DCC">
            <w:pPr>
              <w:jc w:val="both"/>
              <w:rPr>
                <w:bCs/>
              </w:rPr>
            </w:pPr>
            <w:r w:rsidRPr="00377B25">
              <w:rPr>
                <w:bCs/>
              </w:rPr>
              <w:t>Могут ли быть включены цифровые валюты в состав высоколиквидных активов для</w:t>
            </w:r>
            <w:r>
              <w:rPr>
                <w:bCs/>
              </w:rPr>
              <w:t xml:space="preserve"> расчета нормативов ликвидности </w:t>
            </w:r>
            <w:r w:rsidRPr="00377B25">
              <w:rPr>
                <w:bCs/>
              </w:rPr>
              <w:t>(ЛАМ, ЛАТ), в том числе и для системно значимых банков - в расчет компонентов высоколиквидных активов для расчета</w:t>
            </w:r>
            <w:r>
              <w:rPr>
                <w:bCs/>
              </w:rPr>
              <w:t xml:space="preserve"> </w:t>
            </w:r>
            <w:r w:rsidRPr="00377B25">
              <w:rPr>
                <w:bCs/>
              </w:rPr>
              <w:t>норматива краткосрочной ликвидности, показателя краткосрочной ликвидности («Базель III»), а также в составе величины</w:t>
            </w:r>
            <w:r>
              <w:rPr>
                <w:bCs/>
              </w:rPr>
              <w:t xml:space="preserve"> </w:t>
            </w:r>
            <w:r w:rsidRPr="00377B25">
              <w:rPr>
                <w:bCs/>
              </w:rPr>
              <w:t>требуемого стабильного фондирования для расчета норматива структурной ликвидности (норматива чистого стабильного</w:t>
            </w:r>
            <w:r>
              <w:rPr>
                <w:bCs/>
              </w:rPr>
              <w:t xml:space="preserve"> </w:t>
            </w:r>
            <w:r w:rsidRPr="00377B25">
              <w:rPr>
                <w:bCs/>
              </w:rPr>
              <w:t>фондирования («Базель III»)?</w:t>
            </w:r>
          </w:p>
        </w:tc>
        <w:tc>
          <w:tcPr>
            <w:tcW w:w="1134" w:type="dxa"/>
            <w:tcBorders>
              <w:top w:val="single" w:sz="4" w:space="0" w:color="auto"/>
              <w:left w:val="single" w:sz="4" w:space="0" w:color="auto"/>
              <w:bottom w:val="single" w:sz="4" w:space="0" w:color="auto"/>
              <w:right w:val="single" w:sz="4" w:space="0" w:color="auto"/>
            </w:tcBorders>
          </w:tcPr>
          <w:p w14:paraId="37D80FD2" w14:textId="77777777" w:rsidR="00CC418E" w:rsidRPr="009104A2" w:rsidRDefault="00CC418E" w:rsidP="00B5083D">
            <w:pPr>
              <w:jc w:val="center"/>
            </w:pPr>
          </w:p>
        </w:tc>
        <w:tc>
          <w:tcPr>
            <w:tcW w:w="7088" w:type="dxa"/>
            <w:tcBorders>
              <w:top w:val="single" w:sz="4" w:space="0" w:color="auto"/>
              <w:left w:val="single" w:sz="4" w:space="0" w:color="auto"/>
              <w:bottom w:val="single" w:sz="4" w:space="0" w:color="auto"/>
              <w:right w:val="single" w:sz="4" w:space="0" w:color="auto"/>
            </w:tcBorders>
          </w:tcPr>
          <w:p w14:paraId="68A761AD" w14:textId="479D02B3" w:rsidR="00843906" w:rsidRDefault="00843906" w:rsidP="00843906">
            <w:pPr>
              <w:spacing w:line="252" w:lineRule="auto"/>
              <w:jc w:val="both"/>
            </w:pPr>
            <w:r>
              <w:t xml:space="preserve">По </w:t>
            </w:r>
            <w:r w:rsidR="002A2D12">
              <w:t>ЦВ</w:t>
            </w:r>
            <w:r>
              <w:t xml:space="preserve"> и финансовым инструментам, стоимость которых зависит от стоимости ЦВ, необходимо консервативно оценивать риски ликвидности консистентно подходу к ограничению и покрытию сопряженных с такими инструментами рисков капиталом. </w:t>
            </w:r>
          </w:p>
          <w:p w14:paraId="785B13A5" w14:textId="77777777" w:rsidR="00843906" w:rsidRDefault="00843906" w:rsidP="00843906">
            <w:pPr>
              <w:spacing w:line="252" w:lineRule="auto"/>
              <w:jc w:val="both"/>
            </w:pPr>
          </w:p>
          <w:p w14:paraId="590D8D10" w14:textId="0CAACF08" w:rsidR="00843906" w:rsidRDefault="00843906" w:rsidP="00843906">
            <w:pPr>
              <w:spacing w:line="252" w:lineRule="auto"/>
              <w:jc w:val="both"/>
            </w:pPr>
            <w:r>
              <w:t>В части Н2/Н3.</w:t>
            </w:r>
          </w:p>
          <w:p w14:paraId="77E97CD8" w14:textId="7019F0C1" w:rsidR="00843906" w:rsidRDefault="00843906" w:rsidP="00843906">
            <w:pPr>
              <w:spacing w:line="252" w:lineRule="auto"/>
              <w:jc w:val="both"/>
            </w:pPr>
            <w:r>
              <w:t>Включение ЦВ в состав высоколиквидных (Лам) и ликвидных (Лат) активов при расчете нормативов мгновенной (Н2) и текущей (Н3) ликвидности в целях Инструкции № 220-И</w:t>
            </w:r>
            <w:r>
              <w:rPr>
                <w:rStyle w:val="a4"/>
              </w:rPr>
              <w:footnoteReference w:id="9"/>
            </w:r>
            <w:r>
              <w:t xml:space="preserve"> не планируется.</w:t>
            </w:r>
          </w:p>
          <w:p w14:paraId="53676919" w14:textId="77777777" w:rsidR="00843906" w:rsidRDefault="00843906" w:rsidP="00843906">
            <w:pPr>
              <w:spacing w:line="252" w:lineRule="auto"/>
              <w:jc w:val="both"/>
            </w:pPr>
          </w:p>
          <w:p w14:paraId="0B0E1198" w14:textId="77777777" w:rsidR="00843906" w:rsidRPr="00AE6A33" w:rsidRDefault="00843906" w:rsidP="00843906">
            <w:pPr>
              <w:jc w:val="both"/>
            </w:pPr>
            <w:r w:rsidRPr="00AE6A33">
              <w:lastRenderedPageBreak/>
              <w:t>В части ПКЛ</w:t>
            </w:r>
            <w:r>
              <w:rPr>
                <w:rStyle w:val="a4"/>
              </w:rPr>
              <w:footnoteReference w:id="10"/>
            </w:r>
            <w:r w:rsidRPr="00AE6A33">
              <w:t>/НКЛ</w:t>
            </w:r>
            <w:r>
              <w:rPr>
                <w:rStyle w:val="a4"/>
              </w:rPr>
              <w:footnoteReference w:id="11"/>
            </w:r>
            <w:r>
              <w:t>.</w:t>
            </w:r>
          </w:p>
          <w:p w14:paraId="5596F07B" w14:textId="14FB83CA" w:rsidR="00843906" w:rsidRDefault="00843906" w:rsidP="00843906">
            <w:pPr>
              <w:jc w:val="both"/>
            </w:pPr>
            <w:r w:rsidRPr="00AE6A33">
              <w:t xml:space="preserve">Физическая позиция по </w:t>
            </w:r>
            <w:r>
              <w:t>ЦВ</w:t>
            </w:r>
            <w:r w:rsidRPr="00AE6A33">
              <w:t xml:space="preserve"> в состав ВЛА</w:t>
            </w:r>
            <w:r w:rsidRPr="00B85DD1">
              <w:rPr>
                <w:vertAlign w:val="superscript"/>
              </w:rPr>
              <w:footnoteReference w:id="12"/>
            </w:r>
            <w:r w:rsidRPr="00AE6A33">
              <w:t xml:space="preserve"> не включается. Это обосновано высокими рисками, присущими </w:t>
            </w:r>
            <w:r>
              <w:t>ЦВ</w:t>
            </w:r>
            <w:r w:rsidRPr="00AE6A33">
              <w:t xml:space="preserve">. Помимо высокой волатильности стоимости </w:t>
            </w:r>
            <w:r>
              <w:t>ЦВ</w:t>
            </w:r>
            <w:r w:rsidRPr="00AE6A33">
              <w:t xml:space="preserve"> </w:t>
            </w:r>
            <w:r>
              <w:t>свойственны</w:t>
            </w:r>
            <w:r w:rsidRPr="00AE6A33">
              <w:t xml:space="preserve"> специфические риски</w:t>
            </w:r>
            <w:r>
              <w:t xml:space="preserve">, </w:t>
            </w:r>
            <w:r w:rsidRPr="00AE6A33">
              <w:t>в том числе технологические.</w:t>
            </w:r>
          </w:p>
          <w:p w14:paraId="1A948EC7" w14:textId="77777777" w:rsidR="00843906" w:rsidRDefault="00843906" w:rsidP="00843906">
            <w:pPr>
              <w:spacing w:line="252" w:lineRule="auto"/>
              <w:jc w:val="both"/>
            </w:pPr>
            <w:r>
              <w:t>Одновременно отмечаем, что ожидаемые оттоки и притоки средств в ЦВ и (или) по финансовым инструментам, стоимость которых зависит от стоимости ЦВ, а также обязательства и требования, выраженные в ЦВ, в составе СОФР следует определять с должной степенью консерватизма, предполагая полный отток / обесценение и, соответственно, необходимость полного покрытия обязательств по ним.</w:t>
            </w:r>
          </w:p>
          <w:p w14:paraId="503637F1" w14:textId="77777777" w:rsidR="00843906" w:rsidRDefault="00843906" w:rsidP="00843906">
            <w:pPr>
              <w:spacing w:line="252" w:lineRule="auto"/>
              <w:jc w:val="both"/>
            </w:pPr>
          </w:p>
          <w:p w14:paraId="7AE28839" w14:textId="77777777" w:rsidR="00843906" w:rsidRPr="00AE6A33" w:rsidRDefault="00843906" w:rsidP="00843906">
            <w:pPr>
              <w:jc w:val="both"/>
            </w:pPr>
            <w:r w:rsidRPr="00AE6A33">
              <w:t>В части НЧСФ</w:t>
            </w:r>
            <w:r>
              <w:rPr>
                <w:rStyle w:val="a4"/>
              </w:rPr>
              <w:footnoteReference w:id="13"/>
            </w:r>
            <w:r>
              <w:t>.</w:t>
            </w:r>
            <w:r w:rsidRPr="00AE6A33">
              <w:t xml:space="preserve"> </w:t>
            </w:r>
          </w:p>
          <w:p w14:paraId="4B375270" w14:textId="77777777" w:rsidR="00843906" w:rsidRDefault="00843906" w:rsidP="00843906">
            <w:pPr>
              <w:spacing w:line="252" w:lineRule="auto"/>
              <w:jc w:val="both"/>
            </w:pPr>
            <w:r>
              <w:t xml:space="preserve">Активы/требования в ЦВ включаются в расчет требуемого стабильного фондирования с коэффициентом 100%. Обязательства в ЦВ не рассматриваются как стабильное фондирование и включаются в расчет показателя имеющегося стабильного фондирования с коэффициентом 0%. </w:t>
            </w:r>
          </w:p>
          <w:p w14:paraId="24627AB1" w14:textId="77777777" w:rsidR="00843906" w:rsidRDefault="00843906" w:rsidP="00843906">
            <w:pPr>
              <w:spacing w:line="252" w:lineRule="auto"/>
              <w:jc w:val="both"/>
            </w:pPr>
          </w:p>
          <w:p w14:paraId="76E3ABA6" w14:textId="6D8AE31B" w:rsidR="00CC418E" w:rsidRPr="00727997" w:rsidRDefault="00843906" w:rsidP="00862728">
            <w:pPr>
              <w:jc w:val="both"/>
            </w:pPr>
            <w:r>
              <w:t xml:space="preserve">Дополнительно отмечаем, что до конца текущего года </w:t>
            </w:r>
            <w:r w:rsidR="00862728">
              <w:t>Банк России</w:t>
            </w:r>
            <w:r>
              <w:t xml:space="preserve"> планирует опубликовать подробные разъяснения по включению ЦВ и финансовых инструментов, стоимость которых зависит от стоимости ЦВ, в нормативы ликвидности и их отражению в соответствующих формах отчетности.</w:t>
            </w:r>
          </w:p>
        </w:tc>
      </w:tr>
    </w:tbl>
    <w:p w14:paraId="1A4E0E1C" w14:textId="4C439C5D" w:rsidR="00843906" w:rsidRDefault="00843906" w:rsidP="00377B25"/>
    <w:p w14:paraId="58D287AE" w14:textId="77777777" w:rsidR="00843906" w:rsidRDefault="00843906">
      <w:pPr>
        <w:spacing w:after="160" w:line="259" w:lineRule="auto"/>
      </w:pPr>
      <w:r>
        <w:br w:type="page"/>
      </w:r>
    </w:p>
    <w:p w14:paraId="5C733EF8" w14:textId="77777777" w:rsidR="00377B25" w:rsidRDefault="00377B25" w:rsidP="00377B25"/>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237"/>
        <w:gridCol w:w="1418"/>
        <w:gridCol w:w="6804"/>
      </w:tblGrid>
      <w:tr w:rsidR="00377B25" w:rsidRPr="00727997" w14:paraId="30274FF7" w14:textId="77777777" w:rsidTr="00CC418E">
        <w:trPr>
          <w:trHeight w:val="267"/>
        </w:trPr>
        <w:tc>
          <w:tcPr>
            <w:tcW w:w="15168" w:type="dxa"/>
            <w:gridSpan w:val="4"/>
            <w:tcBorders>
              <w:top w:val="single" w:sz="4" w:space="0" w:color="auto"/>
              <w:left w:val="single" w:sz="4" w:space="0" w:color="auto"/>
              <w:bottom w:val="single" w:sz="4" w:space="0" w:color="auto"/>
              <w:right w:val="single" w:sz="4" w:space="0" w:color="auto"/>
            </w:tcBorders>
          </w:tcPr>
          <w:p w14:paraId="3F80180C" w14:textId="77777777" w:rsidR="00377B25" w:rsidRPr="00AB61BF" w:rsidRDefault="00377B25" w:rsidP="00AB61BF">
            <w:pPr>
              <w:ind w:firstLine="357"/>
              <w:jc w:val="center"/>
              <w:rPr>
                <w:b/>
              </w:rPr>
            </w:pPr>
            <w:r w:rsidRPr="00727997">
              <w:rPr>
                <w:b/>
              </w:rPr>
              <w:t>Форма отчетности 0409345 «Данные о ежедневных остатках подлежащих страхованию денежных средств, размещенных во вклады»</w:t>
            </w:r>
            <w:r>
              <w:rPr>
                <w:b/>
              </w:rPr>
              <w:t xml:space="preserve"> (далее – форма 0409345</w:t>
            </w:r>
            <w:r w:rsidR="009104A2">
              <w:rPr>
                <w:b/>
              </w:rPr>
              <w:t>, Отчет</w:t>
            </w:r>
            <w:r>
              <w:rPr>
                <w:b/>
              </w:rPr>
              <w:t>)</w:t>
            </w:r>
          </w:p>
        </w:tc>
      </w:tr>
      <w:tr w:rsidR="00CC418E" w:rsidRPr="00727997" w14:paraId="08BB2493" w14:textId="77777777" w:rsidTr="00CC418E">
        <w:trPr>
          <w:trHeight w:val="267"/>
        </w:trPr>
        <w:tc>
          <w:tcPr>
            <w:tcW w:w="709" w:type="dxa"/>
            <w:tcBorders>
              <w:top w:val="single" w:sz="4" w:space="0" w:color="auto"/>
              <w:left w:val="single" w:sz="4" w:space="0" w:color="auto"/>
              <w:bottom w:val="single" w:sz="4" w:space="0" w:color="auto"/>
              <w:right w:val="single" w:sz="4" w:space="0" w:color="auto"/>
            </w:tcBorders>
          </w:tcPr>
          <w:p w14:paraId="6F3374C5" w14:textId="77777777" w:rsidR="00CC418E" w:rsidRPr="00727997" w:rsidRDefault="00CC418E" w:rsidP="00F12F2D">
            <w:pPr>
              <w:jc w:val="center"/>
            </w:pPr>
            <w:r>
              <w:t>3.1</w:t>
            </w:r>
          </w:p>
        </w:tc>
        <w:tc>
          <w:tcPr>
            <w:tcW w:w="6237" w:type="dxa"/>
            <w:tcBorders>
              <w:top w:val="single" w:sz="4" w:space="0" w:color="auto"/>
              <w:left w:val="single" w:sz="4" w:space="0" w:color="auto"/>
              <w:bottom w:val="single" w:sz="4" w:space="0" w:color="auto"/>
              <w:right w:val="single" w:sz="4" w:space="0" w:color="auto"/>
            </w:tcBorders>
          </w:tcPr>
          <w:p w14:paraId="241392B1" w14:textId="77777777" w:rsidR="00CC418E" w:rsidRPr="00377B25" w:rsidRDefault="00CC418E" w:rsidP="002C6DCC">
            <w:pPr>
              <w:jc w:val="both"/>
              <w:rPr>
                <w:bCs/>
              </w:rPr>
            </w:pPr>
            <w:r w:rsidRPr="00377B25">
              <w:rPr>
                <w:bCs/>
              </w:rPr>
              <w:t>В Раздел 1 добавлен балансовый счет 40914 «Средства для осуществления переводов (возврата остатков) электронных</w:t>
            </w:r>
            <w:r w:rsidRPr="00AB61BF">
              <w:rPr>
                <w:bCs/>
              </w:rPr>
              <w:t xml:space="preserve"> </w:t>
            </w:r>
            <w:r w:rsidRPr="00377B25">
              <w:rPr>
                <w:bCs/>
              </w:rPr>
              <w:t>денежных средств физических лиц» и не добавлен балансовый счет 40915 «Средства для осуществления переводов</w:t>
            </w:r>
            <w:r w:rsidRPr="00AB61BF">
              <w:rPr>
                <w:bCs/>
              </w:rPr>
              <w:t xml:space="preserve"> </w:t>
            </w:r>
            <w:r w:rsidRPr="00377B25">
              <w:rPr>
                <w:bCs/>
              </w:rPr>
              <w:t>(возврата остатков) электронных денежных средств юридических лиц, индивидуальны</w:t>
            </w:r>
            <w:r>
              <w:rPr>
                <w:bCs/>
              </w:rPr>
              <w:t>х предпринимателей». Балансовый</w:t>
            </w:r>
            <w:r w:rsidRPr="00AB61BF">
              <w:rPr>
                <w:bCs/>
              </w:rPr>
              <w:t xml:space="preserve"> </w:t>
            </w:r>
            <w:r w:rsidRPr="00377B25">
              <w:rPr>
                <w:bCs/>
              </w:rPr>
              <w:t>счет 40915 включен только в Раздел 2 «Данные об остатках денежных средств юридических лиц, подлежащих</w:t>
            </w:r>
            <w:r>
              <w:rPr>
                <w:bCs/>
              </w:rPr>
              <w:t xml:space="preserve"> </w:t>
            </w:r>
            <w:r w:rsidRPr="00377B25">
              <w:rPr>
                <w:bCs/>
              </w:rPr>
              <w:t>страхованию».</w:t>
            </w:r>
          </w:p>
          <w:p w14:paraId="1DEF6426" w14:textId="3F81E900" w:rsidR="00CC418E" w:rsidRPr="00377B25" w:rsidRDefault="00CC418E" w:rsidP="002C6DCC">
            <w:pPr>
              <w:jc w:val="both"/>
              <w:rPr>
                <w:bCs/>
              </w:rPr>
            </w:pPr>
            <w:r w:rsidRPr="00377B25">
              <w:rPr>
                <w:bCs/>
              </w:rPr>
              <w:t>1.1. Верно ли, что средства ИП, учтенные на счете 40915 и прошедшие идентификаци</w:t>
            </w:r>
            <w:r>
              <w:rPr>
                <w:bCs/>
              </w:rPr>
              <w:t xml:space="preserve">ю по Федеральному закону </w:t>
            </w:r>
            <w:r w:rsidR="004014DA">
              <w:rPr>
                <w:bCs/>
              </w:rPr>
              <w:br/>
            </w:r>
            <w:r>
              <w:rPr>
                <w:bCs/>
              </w:rPr>
              <w:t>№ 115-</w:t>
            </w:r>
            <w:r w:rsidRPr="00377B25">
              <w:rPr>
                <w:bCs/>
              </w:rPr>
              <w:t>ФЗ</w:t>
            </w:r>
            <w:r>
              <w:rPr>
                <w:rStyle w:val="a4"/>
                <w:bCs/>
              </w:rPr>
              <w:footnoteReference w:id="14"/>
            </w:r>
            <w:r w:rsidRPr="00377B25">
              <w:rPr>
                <w:bCs/>
              </w:rPr>
              <w:t>, не подлежат отражению в Отчете либо подлежат, но в Разделе 2?</w:t>
            </w:r>
          </w:p>
          <w:p w14:paraId="03E1C31A" w14:textId="77777777" w:rsidR="00CC418E" w:rsidRPr="00727997" w:rsidRDefault="00CC418E" w:rsidP="002C6DCC">
            <w:pPr>
              <w:jc w:val="both"/>
              <w:rPr>
                <w:bCs/>
              </w:rPr>
            </w:pPr>
            <w:r w:rsidRPr="00377B25">
              <w:rPr>
                <w:bCs/>
              </w:rPr>
              <w:t>1.2. Предлагается инициировать введение отдельного балансового счета «Средства для осуществления переводов</w:t>
            </w:r>
            <w:r w:rsidRPr="00AB61BF">
              <w:rPr>
                <w:bCs/>
              </w:rPr>
              <w:t xml:space="preserve"> </w:t>
            </w:r>
            <w:r w:rsidRPr="00377B25">
              <w:rPr>
                <w:bCs/>
              </w:rPr>
              <w:t>электронных денежных средств индивидуальных предпринимателей» и включить его в расчет Раздела 1 Отчета, либо счет</w:t>
            </w:r>
            <w:r w:rsidR="002C6DCC">
              <w:rPr>
                <w:bCs/>
              </w:rPr>
              <w:t xml:space="preserve"> </w:t>
            </w:r>
            <w:r w:rsidRPr="00377B25">
              <w:rPr>
                <w:bCs/>
              </w:rPr>
              <w:t>40914 переименовать «Средства для осуществления переводов электронных денежных средств физических лиц и</w:t>
            </w:r>
            <w:r w:rsidRPr="00AB61BF">
              <w:rPr>
                <w:bCs/>
              </w:rPr>
              <w:t xml:space="preserve"> </w:t>
            </w:r>
            <w:r w:rsidRPr="00377B25">
              <w:rPr>
                <w:bCs/>
              </w:rPr>
              <w:t>индивидуальных предпринимателей» и счет 40915 переименовать «Средства для осуществления переводов электронных</w:t>
            </w:r>
            <w:r w:rsidRPr="00AB61BF">
              <w:rPr>
                <w:bCs/>
              </w:rPr>
              <w:t xml:space="preserve"> </w:t>
            </w:r>
            <w:r w:rsidRPr="00377B25">
              <w:rPr>
                <w:bCs/>
              </w:rPr>
              <w:t>ден</w:t>
            </w:r>
            <w:r>
              <w:rPr>
                <w:bCs/>
              </w:rPr>
              <w:t>ежных средств юридических лиц».</w:t>
            </w:r>
          </w:p>
        </w:tc>
        <w:tc>
          <w:tcPr>
            <w:tcW w:w="1418" w:type="dxa"/>
            <w:tcBorders>
              <w:top w:val="single" w:sz="4" w:space="0" w:color="auto"/>
              <w:left w:val="single" w:sz="4" w:space="0" w:color="auto"/>
              <w:bottom w:val="single" w:sz="4" w:space="0" w:color="auto"/>
              <w:right w:val="single" w:sz="4" w:space="0" w:color="auto"/>
            </w:tcBorders>
          </w:tcPr>
          <w:p w14:paraId="07065FE4" w14:textId="77777777" w:rsidR="00CC418E" w:rsidRPr="00AB61BF" w:rsidRDefault="00CC418E" w:rsidP="00F12F2D">
            <w:pPr>
              <w:jc w:val="center"/>
            </w:pPr>
            <w:r>
              <w:t>Учтено</w:t>
            </w:r>
          </w:p>
        </w:tc>
        <w:tc>
          <w:tcPr>
            <w:tcW w:w="6804" w:type="dxa"/>
            <w:tcBorders>
              <w:top w:val="single" w:sz="4" w:space="0" w:color="auto"/>
              <w:left w:val="single" w:sz="4" w:space="0" w:color="auto"/>
              <w:bottom w:val="single" w:sz="4" w:space="0" w:color="auto"/>
              <w:right w:val="single" w:sz="4" w:space="0" w:color="auto"/>
            </w:tcBorders>
          </w:tcPr>
          <w:p w14:paraId="1A995E16" w14:textId="75392754" w:rsidR="00CC418E" w:rsidRPr="00727997" w:rsidRDefault="00CC418E" w:rsidP="0006471A">
            <w:pPr>
              <w:jc w:val="both"/>
            </w:pPr>
            <w:r>
              <w:t xml:space="preserve">Балансовый счет </w:t>
            </w:r>
            <w:r w:rsidR="0006471A">
              <w:t xml:space="preserve">№ </w:t>
            </w:r>
            <w:r w:rsidRPr="00377B25">
              <w:rPr>
                <w:bCs/>
              </w:rPr>
              <w:t>40915</w:t>
            </w:r>
            <w:r w:rsidR="0006471A">
              <w:rPr>
                <w:rStyle w:val="a4"/>
                <w:bCs/>
              </w:rPr>
              <w:footnoteReference w:id="15"/>
            </w:r>
            <w:r w:rsidRPr="00377B25">
              <w:rPr>
                <w:bCs/>
              </w:rPr>
              <w:t xml:space="preserve"> </w:t>
            </w:r>
            <w:r>
              <w:rPr>
                <w:bCs/>
              </w:rPr>
              <w:t>включен в Раздел 1</w:t>
            </w:r>
            <w:r w:rsidR="00534AE7">
              <w:rPr>
                <w:rStyle w:val="a4"/>
                <w:bCs/>
              </w:rPr>
              <w:footnoteReference w:id="16"/>
            </w:r>
            <w:r>
              <w:rPr>
                <w:bCs/>
              </w:rPr>
              <w:t xml:space="preserve"> формы 0409345.</w:t>
            </w:r>
          </w:p>
        </w:tc>
      </w:tr>
      <w:tr w:rsidR="00CC418E" w:rsidRPr="00727997" w14:paraId="6CE6A238" w14:textId="77777777" w:rsidTr="00CC418E">
        <w:trPr>
          <w:trHeight w:val="267"/>
        </w:trPr>
        <w:tc>
          <w:tcPr>
            <w:tcW w:w="709" w:type="dxa"/>
            <w:tcBorders>
              <w:top w:val="single" w:sz="4" w:space="0" w:color="auto"/>
              <w:left w:val="single" w:sz="4" w:space="0" w:color="auto"/>
              <w:bottom w:val="single" w:sz="4" w:space="0" w:color="auto"/>
              <w:right w:val="single" w:sz="4" w:space="0" w:color="auto"/>
            </w:tcBorders>
          </w:tcPr>
          <w:p w14:paraId="0E76BFD2" w14:textId="77777777" w:rsidR="00CC418E" w:rsidRDefault="00CC418E" w:rsidP="00F12F2D">
            <w:pPr>
              <w:jc w:val="center"/>
            </w:pPr>
            <w:r>
              <w:t>3.2</w:t>
            </w:r>
          </w:p>
        </w:tc>
        <w:tc>
          <w:tcPr>
            <w:tcW w:w="6237" w:type="dxa"/>
            <w:tcBorders>
              <w:top w:val="single" w:sz="4" w:space="0" w:color="auto"/>
              <w:left w:val="single" w:sz="4" w:space="0" w:color="auto"/>
              <w:bottom w:val="single" w:sz="4" w:space="0" w:color="auto"/>
              <w:right w:val="single" w:sz="4" w:space="0" w:color="auto"/>
            </w:tcBorders>
          </w:tcPr>
          <w:p w14:paraId="7CA99967" w14:textId="60570B92" w:rsidR="00CC418E" w:rsidRPr="00377B25" w:rsidRDefault="00CC418E" w:rsidP="002C6DCC">
            <w:pPr>
              <w:jc w:val="both"/>
              <w:rPr>
                <w:bCs/>
              </w:rPr>
            </w:pPr>
            <w:r w:rsidRPr="00377B25">
              <w:rPr>
                <w:bCs/>
              </w:rPr>
              <w:t>Верно ли, что в соответствии с требованиями Федерального закона № 177-ФЗ</w:t>
            </w:r>
            <w:r>
              <w:rPr>
                <w:rStyle w:val="a4"/>
                <w:bCs/>
              </w:rPr>
              <w:footnoteReference w:id="17"/>
            </w:r>
            <w:r w:rsidRPr="00377B25">
              <w:rPr>
                <w:bCs/>
              </w:rPr>
              <w:t xml:space="preserve"> средства клиентов – </w:t>
            </w:r>
            <w:r w:rsidRPr="00377B25">
              <w:rPr>
                <w:bCs/>
              </w:rPr>
              <w:lastRenderedPageBreak/>
              <w:t>юридических лиц,</w:t>
            </w:r>
            <w:r>
              <w:rPr>
                <w:bCs/>
              </w:rPr>
              <w:t xml:space="preserve"> </w:t>
            </w:r>
            <w:r w:rsidRPr="00377B25">
              <w:rPr>
                <w:bCs/>
              </w:rPr>
              <w:t>прошедших идентификацию по Федеральному закону № 115-ФЗ, подлежат дальнейшему анализу на предмет их отнесения</w:t>
            </w:r>
            <w:r>
              <w:rPr>
                <w:bCs/>
              </w:rPr>
              <w:t xml:space="preserve"> </w:t>
            </w:r>
            <w:r w:rsidRPr="00377B25">
              <w:rPr>
                <w:bCs/>
              </w:rPr>
              <w:t>к МСП и отсутствия иных признаков, в соответствии с которыми средства не подлежат включению в Отчет? Либо средства</w:t>
            </w:r>
            <w:r>
              <w:rPr>
                <w:bCs/>
              </w:rPr>
              <w:t xml:space="preserve"> </w:t>
            </w:r>
            <w:r w:rsidRPr="00377B25">
              <w:rPr>
                <w:bCs/>
              </w:rPr>
              <w:t>всех клиентов-юридических лиц, которые прошли идентификацию в соответствии с Федеральным законом № 115-ФЗ и</w:t>
            </w:r>
            <w:r>
              <w:rPr>
                <w:bCs/>
              </w:rPr>
              <w:t xml:space="preserve"> </w:t>
            </w:r>
            <w:r w:rsidRPr="00377B25">
              <w:rPr>
                <w:bCs/>
              </w:rPr>
              <w:t>отражены на балансовом счете 40915, подлежат отражению в Отчете без дальнейшего анализа? Например</w:t>
            </w:r>
            <w:r>
              <w:rPr>
                <w:bCs/>
              </w:rPr>
              <w:t>,</w:t>
            </w:r>
            <w:r w:rsidRPr="00377B25">
              <w:rPr>
                <w:bCs/>
              </w:rPr>
              <w:t xml:space="preserve"> клиент</w:t>
            </w:r>
            <w:r>
              <w:rPr>
                <w:bCs/>
              </w:rPr>
              <w:t xml:space="preserve"> </w:t>
            </w:r>
            <w:r w:rsidRPr="00377B25">
              <w:rPr>
                <w:bCs/>
              </w:rPr>
              <w:t xml:space="preserve">юридическое лицо не включен в реестр МСП, прошел идентификацию по Федеральному закону </w:t>
            </w:r>
            <w:r w:rsidR="004014DA">
              <w:rPr>
                <w:bCs/>
              </w:rPr>
              <w:br/>
            </w:r>
            <w:r w:rsidRPr="00377B25">
              <w:rPr>
                <w:bCs/>
              </w:rPr>
              <w:t>№ 115-ФЗ и имеет оста</w:t>
            </w:r>
            <w:r>
              <w:rPr>
                <w:bCs/>
              </w:rPr>
              <w:t xml:space="preserve">ток </w:t>
            </w:r>
            <w:r w:rsidRPr="00377B25">
              <w:rPr>
                <w:bCs/>
              </w:rPr>
              <w:t>на счете 40915. Должен ли этот остаток отражаться в Разделе 2 Отчета?</w:t>
            </w:r>
          </w:p>
        </w:tc>
        <w:tc>
          <w:tcPr>
            <w:tcW w:w="1418" w:type="dxa"/>
            <w:tcBorders>
              <w:top w:val="single" w:sz="4" w:space="0" w:color="auto"/>
              <w:left w:val="single" w:sz="4" w:space="0" w:color="auto"/>
              <w:bottom w:val="single" w:sz="4" w:space="0" w:color="auto"/>
              <w:right w:val="single" w:sz="4" w:space="0" w:color="auto"/>
            </w:tcBorders>
          </w:tcPr>
          <w:p w14:paraId="116EF484" w14:textId="77777777" w:rsidR="00CC418E" w:rsidRDefault="00CC418E" w:rsidP="00F12F2D">
            <w:pPr>
              <w:jc w:val="center"/>
            </w:pPr>
            <w:r>
              <w:lastRenderedPageBreak/>
              <w:t>Даны пояснения</w:t>
            </w:r>
          </w:p>
        </w:tc>
        <w:tc>
          <w:tcPr>
            <w:tcW w:w="6804" w:type="dxa"/>
            <w:tcBorders>
              <w:top w:val="single" w:sz="4" w:space="0" w:color="auto"/>
              <w:left w:val="single" w:sz="4" w:space="0" w:color="auto"/>
              <w:bottom w:val="single" w:sz="4" w:space="0" w:color="auto"/>
              <w:right w:val="single" w:sz="4" w:space="0" w:color="auto"/>
            </w:tcBorders>
          </w:tcPr>
          <w:p w14:paraId="68A7153D" w14:textId="6BF13EB4" w:rsidR="00C32E29" w:rsidRPr="004B5DD8" w:rsidRDefault="00B926AF" w:rsidP="004014DA">
            <w:pPr>
              <w:jc w:val="both"/>
              <w:rPr>
                <w:sz w:val="22"/>
                <w:szCs w:val="22"/>
              </w:rPr>
            </w:pPr>
            <w:r>
              <w:t xml:space="preserve">На основании требований пункта 4 статьи 2 и пункта 5 части </w:t>
            </w:r>
            <w:r w:rsidR="00A3491A">
              <w:t>2</w:t>
            </w:r>
            <w:r>
              <w:t xml:space="preserve"> статьи 5 Федерального закона № 177-ФЗ страхованию подлежат </w:t>
            </w:r>
            <w:r>
              <w:lastRenderedPageBreak/>
              <w:t xml:space="preserve">остатки электронных денежных средств юридических лиц, которые указаны в статье 5.1 Федерального закона </w:t>
            </w:r>
            <w:r w:rsidR="004014DA">
              <w:br/>
            </w:r>
            <w:r>
              <w:t>№ 177-ФЗ и в отношении которых проводилась идентификация в соответствии с Федеральным законом № 115-ФЗ.  Таким образом, в форму 04</w:t>
            </w:r>
            <w:r w:rsidR="00005439">
              <w:t>0</w:t>
            </w:r>
            <w:r>
              <w:t xml:space="preserve">9345 подлежат включению остатки электронных денежных средств только тех юридических лиц, которые </w:t>
            </w:r>
            <w:r w:rsidR="00005439">
              <w:t xml:space="preserve">определены </w:t>
            </w:r>
            <w:r>
              <w:t xml:space="preserve">в </w:t>
            </w:r>
            <w:r w:rsidR="004014DA">
              <w:t>статье</w:t>
            </w:r>
            <w:r w:rsidR="00005439">
              <w:t xml:space="preserve"> 5.1 Федерального закона </w:t>
            </w:r>
            <w:r w:rsidR="003A15C5" w:rsidRPr="003A15C5">
              <w:t xml:space="preserve">                   </w:t>
            </w:r>
            <w:r>
              <w:t>№ 177-ФЗ</w:t>
            </w:r>
            <w:r w:rsidR="00CA49A2">
              <w:t>,</w:t>
            </w:r>
            <w:r>
              <w:t xml:space="preserve"> в отношении которых проводилась идентификация. </w:t>
            </w:r>
          </w:p>
        </w:tc>
      </w:tr>
      <w:tr w:rsidR="00CC418E" w:rsidRPr="00727997" w14:paraId="5051EB3C" w14:textId="77777777" w:rsidTr="00CC418E">
        <w:trPr>
          <w:trHeight w:val="267"/>
        </w:trPr>
        <w:tc>
          <w:tcPr>
            <w:tcW w:w="709" w:type="dxa"/>
            <w:tcBorders>
              <w:top w:val="single" w:sz="4" w:space="0" w:color="auto"/>
              <w:left w:val="single" w:sz="4" w:space="0" w:color="auto"/>
              <w:bottom w:val="single" w:sz="4" w:space="0" w:color="auto"/>
              <w:right w:val="single" w:sz="4" w:space="0" w:color="auto"/>
            </w:tcBorders>
          </w:tcPr>
          <w:p w14:paraId="66EA2F1C" w14:textId="5F4B07DE" w:rsidR="00CC418E" w:rsidRDefault="00CC418E" w:rsidP="00F12F2D">
            <w:pPr>
              <w:jc w:val="center"/>
            </w:pPr>
            <w:r>
              <w:lastRenderedPageBreak/>
              <w:t>3.3</w:t>
            </w:r>
          </w:p>
        </w:tc>
        <w:tc>
          <w:tcPr>
            <w:tcW w:w="6237" w:type="dxa"/>
            <w:tcBorders>
              <w:top w:val="single" w:sz="4" w:space="0" w:color="auto"/>
              <w:left w:val="single" w:sz="4" w:space="0" w:color="auto"/>
              <w:bottom w:val="single" w:sz="4" w:space="0" w:color="auto"/>
              <w:right w:val="single" w:sz="4" w:space="0" w:color="auto"/>
            </w:tcBorders>
          </w:tcPr>
          <w:p w14:paraId="411E2D3F" w14:textId="77777777" w:rsidR="00CC418E" w:rsidRPr="00377B25" w:rsidRDefault="00CC418E" w:rsidP="002C6DCC">
            <w:pPr>
              <w:jc w:val="both"/>
              <w:rPr>
                <w:bCs/>
              </w:rPr>
            </w:pPr>
            <w:r w:rsidRPr="00377B25">
              <w:rPr>
                <w:bCs/>
              </w:rPr>
              <w:t>Верно ли, что на балансовом счете 42325 «Привлеченные средства по договору жилищных сбережений на срок свыше 3</w:t>
            </w:r>
            <w:r>
              <w:rPr>
                <w:bCs/>
              </w:rPr>
              <w:t xml:space="preserve"> </w:t>
            </w:r>
            <w:r w:rsidRPr="00377B25">
              <w:rPr>
                <w:bCs/>
              </w:rPr>
              <w:t>лет» денежные средства продолжают учитываться и по истечении срока действия договора до фактического</w:t>
            </w:r>
            <w:r>
              <w:rPr>
                <w:bCs/>
              </w:rPr>
              <w:t xml:space="preserve"> </w:t>
            </w:r>
            <w:r w:rsidRPr="00377B25">
              <w:rPr>
                <w:bCs/>
              </w:rPr>
              <w:t>востребования/использования клиентом?</w:t>
            </w:r>
          </w:p>
          <w:p w14:paraId="3DBAAF31" w14:textId="77777777" w:rsidR="00CC418E" w:rsidRPr="00377B25" w:rsidRDefault="00CC418E" w:rsidP="002C6DCC">
            <w:pPr>
              <w:jc w:val="both"/>
              <w:rPr>
                <w:bCs/>
              </w:rPr>
            </w:pPr>
            <w:r w:rsidRPr="00377B25">
              <w:rPr>
                <w:bCs/>
              </w:rPr>
              <w:t>Просьба привести примеры расчета сумм страхового возмещения по окончании срока действия договора.</w:t>
            </w:r>
          </w:p>
          <w:p w14:paraId="3DDFB475" w14:textId="77777777" w:rsidR="00CC418E" w:rsidRPr="00377B25" w:rsidRDefault="00CC418E" w:rsidP="002C6DCC">
            <w:pPr>
              <w:jc w:val="both"/>
              <w:rPr>
                <w:bCs/>
              </w:rPr>
            </w:pPr>
            <w:r w:rsidRPr="00377B25">
              <w:rPr>
                <w:bCs/>
              </w:rPr>
              <w:t>Вопрос связан с тем, что в соответствии с:</w:t>
            </w:r>
          </w:p>
          <w:p w14:paraId="4A1AB52F" w14:textId="77777777" w:rsidR="00CC418E" w:rsidRPr="00377B25" w:rsidRDefault="00CC418E" w:rsidP="002C6DCC">
            <w:pPr>
              <w:jc w:val="both"/>
              <w:rPr>
                <w:bCs/>
              </w:rPr>
            </w:pPr>
            <w:r w:rsidRPr="00377B25">
              <w:rPr>
                <w:bCs/>
              </w:rPr>
              <w:t xml:space="preserve">- п. 1 статьи 13.10-1 Федерального закона № 177-ФЗ </w:t>
            </w:r>
            <w:r>
              <w:rPr>
                <w:bCs/>
              </w:rPr>
              <w:t>с</w:t>
            </w:r>
            <w:r w:rsidRPr="00377B25">
              <w:rPr>
                <w:bCs/>
              </w:rPr>
              <w:t>траховое возмещение по договору жилищных сбережений</w:t>
            </w:r>
            <w:r>
              <w:rPr>
                <w:bCs/>
              </w:rPr>
              <w:t xml:space="preserve"> </w:t>
            </w:r>
            <w:r w:rsidRPr="00377B25">
              <w:rPr>
                <w:bCs/>
              </w:rPr>
              <w:t>выплачивается вкладчику в размере 100 процентов суммы вклада на день наступления страхового случая, но не более 10</w:t>
            </w:r>
            <w:r>
              <w:rPr>
                <w:bCs/>
              </w:rPr>
              <w:t xml:space="preserve"> </w:t>
            </w:r>
            <w:r w:rsidRPr="00377B25">
              <w:rPr>
                <w:bCs/>
              </w:rPr>
              <w:t>млн. рублей»;</w:t>
            </w:r>
          </w:p>
          <w:p w14:paraId="7DA5AD41" w14:textId="77777777" w:rsidR="00CC418E" w:rsidRPr="00377B25" w:rsidRDefault="00CC418E" w:rsidP="002C6DCC">
            <w:pPr>
              <w:jc w:val="both"/>
              <w:rPr>
                <w:bCs/>
              </w:rPr>
            </w:pPr>
            <w:r w:rsidRPr="00377B25">
              <w:rPr>
                <w:bCs/>
              </w:rPr>
              <w:t xml:space="preserve">- п. 4 статьи 13.10-1 Федерального закона № 177-ФЗ </w:t>
            </w:r>
            <w:r>
              <w:rPr>
                <w:bCs/>
              </w:rPr>
              <w:t>д</w:t>
            </w:r>
            <w:r w:rsidRPr="00377B25">
              <w:rPr>
                <w:bCs/>
              </w:rPr>
              <w:t>енежные средства, размещенные по договору жилищных сбережений,</w:t>
            </w:r>
            <w:r>
              <w:rPr>
                <w:bCs/>
              </w:rPr>
              <w:t xml:space="preserve"> </w:t>
            </w:r>
            <w:r w:rsidRPr="00377B25">
              <w:rPr>
                <w:bCs/>
              </w:rPr>
              <w:t>подлежат страхованию в соответствии с настоящим Федеральным законом в период со дня их размещения в банке до</w:t>
            </w:r>
            <w:r>
              <w:rPr>
                <w:bCs/>
              </w:rPr>
              <w:t xml:space="preserve"> </w:t>
            </w:r>
            <w:r w:rsidRPr="00377B25">
              <w:rPr>
                <w:bCs/>
              </w:rPr>
              <w:t>истечения трех месяцев со дня определенного договором жилищных сбережений срока возврата клиенту суммы вклада».</w:t>
            </w:r>
          </w:p>
        </w:tc>
        <w:tc>
          <w:tcPr>
            <w:tcW w:w="1418" w:type="dxa"/>
            <w:tcBorders>
              <w:top w:val="single" w:sz="4" w:space="0" w:color="auto"/>
              <w:left w:val="single" w:sz="4" w:space="0" w:color="auto"/>
              <w:bottom w:val="single" w:sz="4" w:space="0" w:color="auto"/>
              <w:right w:val="single" w:sz="4" w:space="0" w:color="auto"/>
            </w:tcBorders>
          </w:tcPr>
          <w:p w14:paraId="57F48701" w14:textId="77777777" w:rsidR="00CC418E" w:rsidRDefault="00CC418E" w:rsidP="00F12F2D">
            <w:pPr>
              <w:jc w:val="center"/>
            </w:pPr>
            <w:r>
              <w:t>Даны пояснения</w:t>
            </w:r>
          </w:p>
        </w:tc>
        <w:tc>
          <w:tcPr>
            <w:tcW w:w="6804" w:type="dxa"/>
            <w:tcBorders>
              <w:top w:val="single" w:sz="4" w:space="0" w:color="auto"/>
              <w:left w:val="single" w:sz="4" w:space="0" w:color="auto"/>
              <w:bottom w:val="single" w:sz="4" w:space="0" w:color="auto"/>
              <w:right w:val="single" w:sz="4" w:space="0" w:color="auto"/>
            </w:tcBorders>
          </w:tcPr>
          <w:p w14:paraId="66D399E1" w14:textId="2666532F" w:rsidR="007F40FB" w:rsidRDefault="007F40FB" w:rsidP="00651437">
            <w:pPr>
              <w:pStyle w:val="a3"/>
              <w:spacing w:before="0" w:beforeAutospacing="0" w:after="0" w:afterAutospacing="0" w:line="288" w:lineRule="atLeast"/>
              <w:jc w:val="both"/>
            </w:pPr>
            <w:r w:rsidRPr="004B7BB3">
              <w:t>Согласно характеристик</w:t>
            </w:r>
            <w:r w:rsidR="007A7CE2">
              <w:t>е</w:t>
            </w:r>
            <w:r w:rsidRPr="004B7BB3">
              <w:t xml:space="preserve"> балансового счета № 423, изложенной в пункте 4.65 части II Положения № 809-П, на счете учитываются на договорных условиях депозиты, прочие привлеченные средства физических лиц, характер привлекаемых средств определяется условиями договора. Полагаем, что отражение денежных средств на балансовом счете № 42325</w:t>
            </w:r>
            <w:r w:rsidR="006040AB">
              <w:rPr>
                <w:rStyle w:val="a4"/>
              </w:rPr>
              <w:footnoteReference w:id="18"/>
            </w:r>
            <w:r w:rsidRPr="004B7BB3">
              <w:t xml:space="preserve"> после истечения срока действия соответствующего договора зависит от условий договора. Если в соответствии с условиями договора денежные средства подлежат переводу на другой балансовый счет физического лица, то в этом случае эти денежные средства списываются с балансового счета № 42325.</w:t>
            </w:r>
          </w:p>
          <w:p w14:paraId="007AC421" w14:textId="30C90D51" w:rsidR="007F40FB" w:rsidRDefault="007A7CE2" w:rsidP="00651437">
            <w:pPr>
              <w:pStyle w:val="a3"/>
              <w:spacing w:before="0" w:beforeAutospacing="0" w:after="0" w:afterAutospacing="0" w:line="288" w:lineRule="atLeast"/>
              <w:jc w:val="both"/>
            </w:pPr>
            <w:r>
              <w:rPr>
                <w:bCs/>
              </w:rPr>
              <w:t xml:space="preserve">В период нахождения денежных средств </w:t>
            </w:r>
            <w:r w:rsidRPr="00B9479F">
              <w:rPr>
                <w:bCs/>
              </w:rPr>
              <w:t>на балансовом счете 42325 «Привлеченные средства по договору жилищных сбережений на срок свыше 3 лет»</w:t>
            </w:r>
            <w:r>
              <w:rPr>
                <w:bCs/>
              </w:rPr>
              <w:t xml:space="preserve"> они</w:t>
            </w:r>
            <w:r w:rsidRPr="00B9479F">
              <w:rPr>
                <w:bCs/>
              </w:rPr>
              <w:t xml:space="preserve"> подлежат страховой защите в пределах 10 млн рублей в соответствии </w:t>
            </w:r>
            <w:r>
              <w:rPr>
                <w:bCs/>
              </w:rPr>
              <w:t xml:space="preserve">с </w:t>
            </w:r>
            <w:r w:rsidRPr="00B9479F">
              <w:rPr>
                <w:bCs/>
              </w:rPr>
              <w:t>пунктом 4 статьи 13.10-1 Федерального закона № 177-ФЗ.</w:t>
            </w:r>
          </w:p>
          <w:p w14:paraId="3BC00378" w14:textId="05C8304A" w:rsidR="00764810" w:rsidRPr="00B27F73" w:rsidRDefault="00764810" w:rsidP="007A7CE2">
            <w:pPr>
              <w:jc w:val="both"/>
            </w:pPr>
          </w:p>
        </w:tc>
      </w:tr>
      <w:tr w:rsidR="00CC418E" w:rsidRPr="00727997" w14:paraId="2F989CE5" w14:textId="77777777" w:rsidTr="00CC418E">
        <w:trPr>
          <w:trHeight w:val="267"/>
        </w:trPr>
        <w:tc>
          <w:tcPr>
            <w:tcW w:w="709" w:type="dxa"/>
            <w:tcBorders>
              <w:top w:val="single" w:sz="4" w:space="0" w:color="auto"/>
              <w:left w:val="single" w:sz="4" w:space="0" w:color="auto"/>
              <w:bottom w:val="single" w:sz="4" w:space="0" w:color="auto"/>
              <w:right w:val="single" w:sz="4" w:space="0" w:color="auto"/>
            </w:tcBorders>
          </w:tcPr>
          <w:p w14:paraId="71BA3210" w14:textId="4B8DEF41" w:rsidR="00CC418E" w:rsidRDefault="00CC418E" w:rsidP="00F12F2D">
            <w:pPr>
              <w:jc w:val="center"/>
            </w:pPr>
            <w:r>
              <w:lastRenderedPageBreak/>
              <w:t>3.4</w:t>
            </w:r>
          </w:p>
        </w:tc>
        <w:tc>
          <w:tcPr>
            <w:tcW w:w="6237" w:type="dxa"/>
            <w:tcBorders>
              <w:top w:val="single" w:sz="4" w:space="0" w:color="auto"/>
              <w:left w:val="single" w:sz="4" w:space="0" w:color="auto"/>
              <w:bottom w:val="single" w:sz="4" w:space="0" w:color="auto"/>
              <w:right w:val="single" w:sz="4" w:space="0" w:color="auto"/>
            </w:tcBorders>
          </w:tcPr>
          <w:p w14:paraId="0F1F84C7" w14:textId="77777777" w:rsidR="00CC418E" w:rsidRPr="00377B25" w:rsidRDefault="00CC418E" w:rsidP="002C6DCC">
            <w:pPr>
              <w:jc w:val="both"/>
              <w:rPr>
                <w:bCs/>
              </w:rPr>
            </w:pPr>
            <w:r w:rsidRPr="00377B25">
              <w:rPr>
                <w:bCs/>
              </w:rPr>
              <w:t>Предлагается в подразделе 4.5 Раздела 4 изменить наименование графы 2 «Группировка счетов по размеру остатка, тыс.</w:t>
            </w:r>
            <w:r>
              <w:rPr>
                <w:bCs/>
              </w:rPr>
              <w:t xml:space="preserve"> </w:t>
            </w:r>
            <w:r w:rsidRPr="00377B25">
              <w:rPr>
                <w:bCs/>
              </w:rPr>
              <w:t>руб.» на «Группировка вкладчиков по размеру остатка, тыс. руб.».</w:t>
            </w:r>
          </w:p>
          <w:p w14:paraId="47358E99" w14:textId="77777777" w:rsidR="00CC418E" w:rsidRPr="00377B25" w:rsidRDefault="00CC418E" w:rsidP="002C6DCC">
            <w:pPr>
              <w:jc w:val="both"/>
              <w:rPr>
                <w:bCs/>
              </w:rPr>
            </w:pPr>
            <w:r w:rsidRPr="00377B25">
              <w:rPr>
                <w:bCs/>
              </w:rPr>
              <w:t>В подразделе 4.5 Раздела 4 отражаются обобщенные сведения по вкладчикам – фи</w:t>
            </w:r>
            <w:r>
              <w:rPr>
                <w:bCs/>
              </w:rPr>
              <w:t xml:space="preserve">зическим лицам, которым открыты </w:t>
            </w:r>
            <w:r w:rsidRPr="00377B25">
              <w:rPr>
                <w:bCs/>
              </w:rPr>
              <w:t>вклады по договорам жилищных сбережений, за последний календарный день отчетного периода.</w:t>
            </w:r>
          </w:p>
        </w:tc>
        <w:tc>
          <w:tcPr>
            <w:tcW w:w="1418" w:type="dxa"/>
            <w:tcBorders>
              <w:top w:val="single" w:sz="4" w:space="0" w:color="auto"/>
              <w:left w:val="single" w:sz="4" w:space="0" w:color="auto"/>
              <w:bottom w:val="single" w:sz="4" w:space="0" w:color="auto"/>
              <w:right w:val="single" w:sz="4" w:space="0" w:color="auto"/>
            </w:tcBorders>
          </w:tcPr>
          <w:p w14:paraId="6CAC6849" w14:textId="77777777" w:rsidR="00CC418E" w:rsidRDefault="00CC418E" w:rsidP="00F12F2D">
            <w:pPr>
              <w:jc w:val="center"/>
            </w:pPr>
            <w:r>
              <w:t>Учтено</w:t>
            </w:r>
          </w:p>
        </w:tc>
        <w:tc>
          <w:tcPr>
            <w:tcW w:w="6804" w:type="dxa"/>
            <w:tcBorders>
              <w:top w:val="single" w:sz="4" w:space="0" w:color="auto"/>
              <w:left w:val="single" w:sz="4" w:space="0" w:color="auto"/>
              <w:bottom w:val="single" w:sz="4" w:space="0" w:color="auto"/>
              <w:right w:val="single" w:sz="4" w:space="0" w:color="auto"/>
            </w:tcBorders>
          </w:tcPr>
          <w:p w14:paraId="2D299728" w14:textId="77777777" w:rsidR="00CC418E" w:rsidRPr="00727997" w:rsidRDefault="00CC418E" w:rsidP="00F12F2D">
            <w:pPr>
              <w:jc w:val="both"/>
            </w:pPr>
          </w:p>
        </w:tc>
      </w:tr>
    </w:tbl>
    <w:p w14:paraId="0CC7BBFC" w14:textId="77777777" w:rsidR="00377B25" w:rsidRPr="00C01FC2" w:rsidRDefault="00377B25" w:rsidP="00377B25"/>
    <w:p w14:paraId="65836E43" w14:textId="77777777" w:rsidR="009E6CD9" w:rsidRDefault="009E6CD9"/>
    <w:sectPr w:rsidR="009E6CD9" w:rsidSect="006040AB">
      <w:type w:val="continuous"/>
      <w:pgSz w:w="16838" w:h="11906" w:orient="landscape"/>
      <w:pgMar w:top="709" w:right="851"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A35D3" w14:textId="77777777" w:rsidR="007A17B8" w:rsidRDefault="007A17B8" w:rsidP="00377B25">
      <w:r>
        <w:separator/>
      </w:r>
    </w:p>
  </w:endnote>
  <w:endnote w:type="continuationSeparator" w:id="0">
    <w:p w14:paraId="5F9E3721" w14:textId="77777777" w:rsidR="007A17B8" w:rsidRDefault="007A17B8" w:rsidP="0037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7300" w14:textId="77777777" w:rsidR="000A579B" w:rsidRDefault="002C6DCC" w:rsidP="00D01A2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14:paraId="4A5BA662" w14:textId="77777777" w:rsidR="000A579B" w:rsidRDefault="000A579B" w:rsidP="00E42A6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82C97" w14:textId="77777777" w:rsidR="000A579B" w:rsidRDefault="000A579B">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93938" w14:textId="77777777" w:rsidR="007A17B8" w:rsidRDefault="007A17B8" w:rsidP="00377B25">
      <w:r>
        <w:separator/>
      </w:r>
    </w:p>
  </w:footnote>
  <w:footnote w:type="continuationSeparator" w:id="0">
    <w:p w14:paraId="211F09B7" w14:textId="77777777" w:rsidR="007A17B8" w:rsidRDefault="007A17B8" w:rsidP="00377B25">
      <w:r>
        <w:continuationSeparator/>
      </w:r>
    </w:p>
  </w:footnote>
  <w:footnote w:id="1">
    <w:p w14:paraId="027A5841" w14:textId="38CF5A30" w:rsidR="00976700" w:rsidRDefault="00976700" w:rsidP="002A2D12">
      <w:pPr>
        <w:pStyle w:val="a8"/>
        <w:jc w:val="both"/>
      </w:pPr>
      <w:r>
        <w:rPr>
          <w:rStyle w:val="a4"/>
        </w:rPr>
        <w:footnoteRef/>
      </w:r>
      <w:r>
        <w:t xml:space="preserve"> </w:t>
      </w:r>
      <w:r w:rsidRPr="00C7716D">
        <w:rPr>
          <w:sz w:val="18"/>
          <w:szCs w:val="18"/>
        </w:rPr>
        <w:t>Кредитные организации (далее – КО).</w:t>
      </w:r>
    </w:p>
  </w:footnote>
  <w:footnote w:id="2">
    <w:p w14:paraId="5504D6F1" w14:textId="7F013123" w:rsidR="00567632" w:rsidRPr="007E0636" w:rsidRDefault="00567632" w:rsidP="002A2D12">
      <w:pPr>
        <w:pStyle w:val="a8"/>
        <w:contextualSpacing/>
        <w:jc w:val="both"/>
        <w:rPr>
          <w:rStyle w:val="a4"/>
        </w:rPr>
      </w:pPr>
      <w:r w:rsidRPr="002A2D12">
        <w:rPr>
          <w:rStyle w:val="a4"/>
        </w:rPr>
        <w:footnoteRef/>
      </w:r>
      <w:r w:rsidRPr="007E0636">
        <w:rPr>
          <w:rStyle w:val="a4"/>
        </w:rPr>
        <w:t xml:space="preserve"> </w:t>
      </w:r>
      <w:r w:rsidRPr="007E0636">
        <w:rPr>
          <w:sz w:val="18"/>
          <w:szCs w:val="18"/>
        </w:rPr>
        <w:t>Федеральный закон от 02.12.1990 № 395-1 «О банках и банковской деятельности»</w:t>
      </w:r>
      <w:r w:rsidR="002A2D12" w:rsidRPr="007E0636">
        <w:rPr>
          <w:sz w:val="18"/>
          <w:szCs w:val="18"/>
        </w:rPr>
        <w:t xml:space="preserve"> (далее – Федеральный закон «О банках и банковской деятельности»</w:t>
      </w:r>
      <w:r w:rsidRPr="007E0636">
        <w:rPr>
          <w:sz w:val="18"/>
          <w:szCs w:val="18"/>
        </w:rPr>
        <w:t>.</w:t>
      </w:r>
    </w:p>
  </w:footnote>
  <w:footnote w:id="3">
    <w:p w14:paraId="29C7CBD7" w14:textId="3CB3D99A" w:rsidR="002A2D12" w:rsidRPr="007E0636" w:rsidRDefault="002A2D12" w:rsidP="002A2D12">
      <w:pPr>
        <w:contextualSpacing/>
        <w:jc w:val="both"/>
        <w:rPr>
          <w:rFonts w:eastAsiaTheme="minorHAnsi"/>
          <w:sz w:val="18"/>
          <w:szCs w:val="18"/>
        </w:rPr>
      </w:pPr>
      <w:r w:rsidRPr="007E0636">
        <w:rPr>
          <w:rStyle w:val="a4"/>
          <w:sz w:val="20"/>
          <w:szCs w:val="20"/>
        </w:rPr>
        <w:footnoteRef/>
      </w:r>
      <w:r w:rsidRPr="007E0636">
        <w:rPr>
          <w:sz w:val="18"/>
          <w:szCs w:val="18"/>
        </w:rPr>
        <w:t xml:space="preserve"> Информацию об остатках по операциям с ЦВ, не допущенными к организованным торгам, которые возникли у КО до вступления в силу Федерального закона от 04.08.2026 № 282-ФЗ «О цифровых валютах и цифровых правах» и изменений в статью 6.1 Федерального закона «О банках и банковской деятельности», также следует отражать в графах 6, 12, 18, 24 до момента их выбытия с баланса КО.</w:t>
      </w:r>
      <w:r w:rsidRPr="007E0636">
        <w:rPr>
          <w:rFonts w:eastAsiaTheme="minorHAnsi"/>
          <w:sz w:val="18"/>
          <w:szCs w:val="18"/>
        </w:rPr>
        <w:t xml:space="preserve"> </w:t>
      </w:r>
    </w:p>
  </w:footnote>
  <w:footnote w:id="4">
    <w:p w14:paraId="35B6AC53" w14:textId="4752D546" w:rsidR="002A5F27" w:rsidRPr="007E0636" w:rsidRDefault="002A5F27" w:rsidP="003008EF">
      <w:pPr>
        <w:jc w:val="both"/>
        <w:rPr>
          <w:sz w:val="18"/>
          <w:szCs w:val="18"/>
        </w:rPr>
      </w:pPr>
      <w:r w:rsidRPr="007E0636">
        <w:rPr>
          <w:rStyle w:val="a4"/>
          <w:sz w:val="18"/>
          <w:szCs w:val="18"/>
        </w:rPr>
        <w:footnoteRef/>
      </w:r>
      <w:r w:rsidRPr="007E0636">
        <w:rPr>
          <w:sz w:val="18"/>
          <w:szCs w:val="18"/>
        </w:rPr>
        <w:t xml:space="preserve"> </w:t>
      </w:r>
      <w:r w:rsidR="003008EF">
        <w:rPr>
          <w:sz w:val="18"/>
          <w:szCs w:val="18"/>
        </w:rPr>
        <w:t>П</w:t>
      </w:r>
      <w:r w:rsidRPr="007E0636">
        <w:rPr>
          <w:sz w:val="18"/>
          <w:szCs w:val="18"/>
        </w:rPr>
        <w:t>ункт 15</w:t>
      </w:r>
      <w:r w:rsidRPr="003008EF">
        <w:rPr>
          <w:sz w:val="18"/>
          <w:szCs w:val="18"/>
          <w:vertAlign w:val="superscript"/>
        </w:rPr>
        <w:t>1</w:t>
      </w:r>
      <w:r w:rsidRPr="007E0636">
        <w:rPr>
          <w:sz w:val="18"/>
          <w:szCs w:val="18"/>
        </w:rPr>
        <w:t xml:space="preserve"> </w:t>
      </w:r>
      <w:r w:rsidR="00380F6A" w:rsidRPr="007E0636">
        <w:rPr>
          <w:sz w:val="18"/>
          <w:szCs w:val="18"/>
        </w:rPr>
        <w:t>ч</w:t>
      </w:r>
      <w:r w:rsidRPr="007E0636">
        <w:rPr>
          <w:sz w:val="18"/>
          <w:szCs w:val="18"/>
        </w:rPr>
        <w:t>асти I</w:t>
      </w:r>
      <w:r w:rsidR="00BA222B" w:rsidRPr="007E0636">
        <w:rPr>
          <w:sz w:val="18"/>
          <w:szCs w:val="18"/>
        </w:rPr>
        <w:t xml:space="preserve"> </w:t>
      </w:r>
      <w:r w:rsidR="00B926AF" w:rsidRPr="007E0636">
        <w:rPr>
          <w:sz w:val="18"/>
          <w:szCs w:val="18"/>
        </w:rPr>
        <w:t>Положения Банка России от 24.11.2022 № 809-П «О Плане счетов бухгалтерского учета для кредитных организаций и порядке его</w:t>
      </w:r>
      <w:r w:rsidR="00380F6A" w:rsidRPr="007E0636">
        <w:rPr>
          <w:sz w:val="18"/>
          <w:szCs w:val="18"/>
        </w:rPr>
        <w:t xml:space="preserve"> </w:t>
      </w:r>
      <w:r w:rsidR="00B926AF" w:rsidRPr="007E0636">
        <w:rPr>
          <w:sz w:val="18"/>
          <w:szCs w:val="18"/>
        </w:rPr>
        <w:t>применения»</w:t>
      </w:r>
      <w:r w:rsidR="003008EF" w:rsidRPr="003008EF">
        <w:rPr>
          <w:sz w:val="18"/>
          <w:szCs w:val="18"/>
        </w:rPr>
        <w:t xml:space="preserve"> </w:t>
      </w:r>
      <w:r w:rsidR="0020603F" w:rsidRPr="007E0636">
        <w:rPr>
          <w:sz w:val="18"/>
          <w:szCs w:val="18"/>
        </w:rPr>
        <w:t>(далее – Положение</w:t>
      </w:r>
      <w:r w:rsidR="0020603F" w:rsidRPr="0020603F">
        <w:rPr>
          <w:sz w:val="18"/>
          <w:szCs w:val="18"/>
        </w:rPr>
        <w:t xml:space="preserve"> </w:t>
      </w:r>
      <w:r w:rsidR="0020603F" w:rsidRPr="007E0636">
        <w:rPr>
          <w:sz w:val="18"/>
          <w:szCs w:val="18"/>
        </w:rPr>
        <w:t>№ 809-П)</w:t>
      </w:r>
      <w:r w:rsidR="0020603F" w:rsidRPr="0020603F">
        <w:rPr>
          <w:sz w:val="18"/>
          <w:szCs w:val="18"/>
        </w:rPr>
        <w:t xml:space="preserve"> </w:t>
      </w:r>
      <w:r w:rsidR="003008EF">
        <w:rPr>
          <w:sz w:val="18"/>
          <w:szCs w:val="18"/>
        </w:rPr>
        <w:t xml:space="preserve">в редакции Указания Банка России </w:t>
      </w:r>
      <w:r w:rsidR="00866868">
        <w:rPr>
          <w:sz w:val="18"/>
          <w:szCs w:val="18"/>
        </w:rPr>
        <w:t xml:space="preserve">№ </w:t>
      </w:r>
      <w:r w:rsidR="003008EF">
        <w:rPr>
          <w:sz w:val="18"/>
          <w:szCs w:val="18"/>
        </w:rPr>
        <w:t>7</w:t>
      </w:r>
      <w:r w:rsidR="003008EF" w:rsidRPr="003008EF">
        <w:rPr>
          <w:sz w:val="18"/>
          <w:szCs w:val="18"/>
        </w:rPr>
        <w:t xml:space="preserve">452-У </w:t>
      </w:r>
      <w:r w:rsidR="00866868">
        <w:rPr>
          <w:sz w:val="18"/>
          <w:szCs w:val="18"/>
        </w:rPr>
        <w:t xml:space="preserve">от </w:t>
      </w:r>
      <w:r w:rsidR="003008EF" w:rsidRPr="003008EF">
        <w:rPr>
          <w:sz w:val="18"/>
          <w:szCs w:val="18"/>
        </w:rPr>
        <w:t xml:space="preserve">22.09.2026 </w:t>
      </w:r>
      <w:r w:rsidR="003008EF">
        <w:rPr>
          <w:sz w:val="18"/>
          <w:szCs w:val="18"/>
        </w:rPr>
        <w:t>«</w:t>
      </w:r>
      <w:r w:rsidR="003008EF" w:rsidRPr="003008EF">
        <w:rPr>
          <w:sz w:val="18"/>
          <w:szCs w:val="18"/>
        </w:rPr>
        <w:t>О внесении изменений в Положение Банка России от 24 ноября 2022 года № 809-П»</w:t>
      </w:r>
      <w:r w:rsidR="003008EF">
        <w:rPr>
          <w:sz w:val="18"/>
          <w:szCs w:val="18"/>
        </w:rPr>
        <w:t xml:space="preserve">, которое </w:t>
      </w:r>
      <w:r w:rsidR="0020603F">
        <w:rPr>
          <w:sz w:val="18"/>
          <w:szCs w:val="18"/>
        </w:rPr>
        <w:t xml:space="preserve">в настоящее время </w:t>
      </w:r>
      <w:r w:rsidR="003008EF">
        <w:rPr>
          <w:sz w:val="18"/>
          <w:szCs w:val="18"/>
        </w:rPr>
        <w:t>находится на регистрации в Минюсте России</w:t>
      </w:r>
      <w:r w:rsidR="00B926AF" w:rsidRPr="007E0636">
        <w:rPr>
          <w:sz w:val="18"/>
          <w:szCs w:val="18"/>
        </w:rPr>
        <w:t>.</w:t>
      </w:r>
      <w:r w:rsidRPr="007E0636">
        <w:rPr>
          <w:sz w:val="18"/>
          <w:szCs w:val="18"/>
        </w:rPr>
        <w:t xml:space="preserve"> </w:t>
      </w:r>
    </w:p>
  </w:footnote>
  <w:footnote w:id="5">
    <w:p w14:paraId="1087BF9F" w14:textId="6CE46750" w:rsidR="00871AAF" w:rsidRPr="00380F6A" w:rsidRDefault="00871AAF" w:rsidP="002A2D12">
      <w:pPr>
        <w:pStyle w:val="a8"/>
        <w:jc w:val="both"/>
        <w:rPr>
          <w:sz w:val="18"/>
          <w:szCs w:val="18"/>
        </w:rPr>
      </w:pPr>
      <w:r w:rsidRPr="007E0636">
        <w:rPr>
          <w:rStyle w:val="a4"/>
          <w:sz w:val="18"/>
          <w:szCs w:val="18"/>
        </w:rPr>
        <w:footnoteRef/>
      </w:r>
      <w:r w:rsidRPr="007E0636">
        <w:rPr>
          <w:sz w:val="18"/>
          <w:szCs w:val="18"/>
        </w:rPr>
        <w:t xml:space="preserve"> План счетов бухгалтерского учета для КО, установленный приложением к Положению № 809-П</w:t>
      </w:r>
      <w:r w:rsidR="00BA222B" w:rsidRPr="007E0636">
        <w:rPr>
          <w:sz w:val="18"/>
          <w:szCs w:val="18"/>
        </w:rPr>
        <w:t xml:space="preserve"> (далее – План счетов)</w:t>
      </w:r>
      <w:r w:rsidRPr="007E0636">
        <w:rPr>
          <w:sz w:val="18"/>
          <w:szCs w:val="18"/>
        </w:rPr>
        <w:t>.</w:t>
      </w:r>
    </w:p>
  </w:footnote>
  <w:footnote w:id="6">
    <w:p w14:paraId="76E13115" w14:textId="77777777" w:rsidR="00A541F8" w:rsidRPr="00380F6A" w:rsidRDefault="00A541F8" w:rsidP="00A541F8">
      <w:pPr>
        <w:jc w:val="both"/>
        <w:rPr>
          <w:sz w:val="18"/>
          <w:szCs w:val="18"/>
        </w:rPr>
      </w:pPr>
      <w:r w:rsidRPr="00380F6A">
        <w:rPr>
          <w:rStyle w:val="a4"/>
          <w:sz w:val="18"/>
          <w:szCs w:val="18"/>
        </w:rPr>
        <w:footnoteRef/>
      </w:r>
      <w:r w:rsidRPr="003A15C5">
        <w:rPr>
          <w:sz w:val="18"/>
          <w:szCs w:val="18"/>
        </w:rPr>
        <w:t xml:space="preserve"> </w:t>
      </w:r>
      <w:r w:rsidRPr="00380F6A">
        <w:rPr>
          <w:sz w:val="18"/>
          <w:szCs w:val="18"/>
        </w:rPr>
        <w:t>Цифровые права, удостоверяющие денежные требования, права из эмиссионных ценных бумаг, права участия в капитале непубличного акционерного общества, право требовать предоставления эмиссионных ценных бумаг, которые предусмотрены решением о выпуске цифровых прав, если они изначально возникли в качестве цифровых прав на основании решения о выпуске цифровых прав и их размещение было осуществлено оператором информационной системы, в которой осуществляется выпуск цифровых финансовых активов.</w:t>
      </w:r>
    </w:p>
  </w:footnote>
  <w:footnote w:id="7">
    <w:p w14:paraId="3824E156" w14:textId="77777777" w:rsidR="00A541F8" w:rsidRDefault="00A541F8" w:rsidP="00A541F8">
      <w:pPr>
        <w:pStyle w:val="a8"/>
        <w:jc w:val="both"/>
      </w:pPr>
      <w:r w:rsidRPr="00380F6A">
        <w:rPr>
          <w:rStyle w:val="a4"/>
          <w:sz w:val="18"/>
          <w:szCs w:val="18"/>
        </w:rPr>
        <w:footnoteRef/>
      </w:r>
      <w:r w:rsidRPr="00380F6A">
        <w:rPr>
          <w:sz w:val="18"/>
          <w:szCs w:val="18"/>
        </w:rPr>
        <w:t xml:space="preserve"> Федеральный закон от 04.08.2026 № 282-ФЗ «О цифровых валютах и цифровых правах».</w:t>
      </w:r>
    </w:p>
  </w:footnote>
  <w:footnote w:id="8">
    <w:p w14:paraId="79E57548" w14:textId="77777777" w:rsidR="00A541F8" w:rsidRPr="00380F6A" w:rsidRDefault="00A541F8" w:rsidP="00A541F8">
      <w:pPr>
        <w:pStyle w:val="a8"/>
        <w:jc w:val="both"/>
        <w:rPr>
          <w:sz w:val="18"/>
          <w:szCs w:val="18"/>
        </w:rPr>
      </w:pPr>
      <w:r w:rsidRPr="00380F6A">
        <w:rPr>
          <w:rStyle w:val="a4"/>
          <w:sz w:val="18"/>
          <w:szCs w:val="18"/>
        </w:rPr>
        <w:footnoteRef/>
      </w:r>
      <w:r w:rsidRPr="00380F6A">
        <w:rPr>
          <w:sz w:val="18"/>
          <w:szCs w:val="18"/>
        </w:rPr>
        <w:t xml:space="preserve"> Приобретенные цифровые финансовые активы, оцениваемые по амортизированной стоимости. </w:t>
      </w:r>
    </w:p>
  </w:footnote>
  <w:footnote w:id="9">
    <w:p w14:paraId="2E36034A" w14:textId="47F956C9" w:rsidR="00843906" w:rsidRPr="00843906" w:rsidRDefault="00843906" w:rsidP="00843906">
      <w:pPr>
        <w:pStyle w:val="a8"/>
        <w:jc w:val="both"/>
        <w:rPr>
          <w:sz w:val="18"/>
          <w:szCs w:val="18"/>
        </w:rPr>
      </w:pPr>
      <w:r>
        <w:rPr>
          <w:rStyle w:val="a4"/>
        </w:rPr>
        <w:footnoteRef/>
      </w:r>
      <w:r>
        <w:t xml:space="preserve"> </w:t>
      </w:r>
      <w:r>
        <w:rPr>
          <w:sz w:val="18"/>
          <w:szCs w:val="18"/>
        </w:rPr>
        <w:t>Инструкция Банка России от 26.05.2025 № 220-И «Об обязательных нормативах и надбавках к нормативам достаточности собственных средств (капитала) банков с универсальной лицензией и об осуществлении Банком России надзора за их соблюдением».</w:t>
      </w:r>
    </w:p>
  </w:footnote>
  <w:footnote w:id="10">
    <w:p w14:paraId="35C5A66C" w14:textId="77777777" w:rsidR="00843906" w:rsidRPr="00EA1792" w:rsidRDefault="00843906" w:rsidP="00843906">
      <w:pPr>
        <w:pStyle w:val="a8"/>
        <w:jc w:val="both"/>
        <w:rPr>
          <w:sz w:val="18"/>
          <w:szCs w:val="18"/>
        </w:rPr>
      </w:pPr>
      <w:r>
        <w:rPr>
          <w:rStyle w:val="a4"/>
        </w:rPr>
        <w:footnoteRef/>
      </w:r>
      <w:r>
        <w:t xml:space="preserve"> </w:t>
      </w:r>
      <w:r w:rsidRPr="00EA1792">
        <w:rPr>
          <w:sz w:val="18"/>
          <w:szCs w:val="18"/>
        </w:rPr>
        <w:t>Показатель краткосрочной ликвидности в соответствии с Положением Банка России от 30.05.2014 № 421-П «О порядке расчета показателя краткосрочной ликвидности («Базель III»)»</w:t>
      </w:r>
      <w:r w:rsidRPr="001D15F0">
        <w:rPr>
          <w:sz w:val="18"/>
          <w:szCs w:val="18"/>
        </w:rPr>
        <w:t>.</w:t>
      </w:r>
    </w:p>
  </w:footnote>
  <w:footnote w:id="11">
    <w:p w14:paraId="7A8E4B88" w14:textId="77777777" w:rsidR="00843906" w:rsidRPr="00EA1792" w:rsidRDefault="00843906" w:rsidP="00843906">
      <w:pPr>
        <w:pStyle w:val="a8"/>
        <w:jc w:val="both"/>
        <w:rPr>
          <w:sz w:val="18"/>
          <w:szCs w:val="18"/>
        </w:rPr>
      </w:pPr>
      <w:r w:rsidRPr="00EA1792">
        <w:rPr>
          <w:sz w:val="18"/>
          <w:szCs w:val="18"/>
          <w:vertAlign w:val="superscript"/>
        </w:rPr>
        <w:footnoteRef/>
      </w:r>
      <w:r w:rsidRPr="00EA1792">
        <w:rPr>
          <w:sz w:val="18"/>
          <w:szCs w:val="18"/>
        </w:rPr>
        <w:t xml:space="preserve"> Норматив краткосрочной ликвидности (далее – НКЛ) в соответствии с Положением Банка России от 31.07.2025 № 864-П «О порядке расчета системно значимыми кредитными организациями норматива краткосрочной ликвидности, о его предельном значении и об осуществлении Банком России надзора за их соблюдением».</w:t>
      </w:r>
    </w:p>
  </w:footnote>
  <w:footnote w:id="12">
    <w:p w14:paraId="1FCCF5B9" w14:textId="77777777" w:rsidR="00843906" w:rsidRPr="00AE6A33" w:rsidRDefault="00843906" w:rsidP="00843906">
      <w:pPr>
        <w:pStyle w:val="a8"/>
        <w:jc w:val="both"/>
        <w:rPr>
          <w:sz w:val="18"/>
          <w:szCs w:val="18"/>
        </w:rPr>
      </w:pPr>
      <w:r w:rsidRPr="00AE6A33">
        <w:rPr>
          <w:sz w:val="18"/>
          <w:szCs w:val="18"/>
          <w:vertAlign w:val="superscript"/>
        </w:rPr>
        <w:footnoteRef/>
      </w:r>
      <w:r w:rsidRPr="00AE6A33">
        <w:rPr>
          <w:sz w:val="18"/>
          <w:szCs w:val="18"/>
        </w:rPr>
        <w:t xml:space="preserve"> Высоколиквидные активы</w:t>
      </w:r>
      <w:r>
        <w:rPr>
          <w:sz w:val="18"/>
          <w:szCs w:val="18"/>
        </w:rPr>
        <w:t xml:space="preserve"> (далее – ВЛА)</w:t>
      </w:r>
      <w:r w:rsidRPr="00AE6A33">
        <w:rPr>
          <w:sz w:val="18"/>
          <w:szCs w:val="18"/>
        </w:rPr>
        <w:t xml:space="preserve">. </w:t>
      </w:r>
    </w:p>
  </w:footnote>
  <w:footnote w:id="13">
    <w:p w14:paraId="5F90E38C" w14:textId="77777777" w:rsidR="00843906" w:rsidRPr="006E70BF" w:rsidRDefault="00843906" w:rsidP="00843906">
      <w:pPr>
        <w:pStyle w:val="a8"/>
        <w:rPr>
          <w:sz w:val="18"/>
          <w:szCs w:val="18"/>
        </w:rPr>
      </w:pPr>
      <w:r>
        <w:rPr>
          <w:rStyle w:val="a4"/>
        </w:rPr>
        <w:footnoteRef/>
      </w:r>
      <w:r>
        <w:t xml:space="preserve"> </w:t>
      </w:r>
      <w:r w:rsidRPr="006E70BF">
        <w:rPr>
          <w:sz w:val="18"/>
          <w:szCs w:val="18"/>
        </w:rPr>
        <w:t>Положение Банка России от 26.07.2017 № 596-П «О порядке расчета системно значимыми кредитными организациями норматива структурной ликвидности (норматива чистого стабильного фондирования) («Базель III»)».</w:t>
      </w:r>
    </w:p>
  </w:footnote>
  <w:footnote w:id="14">
    <w:p w14:paraId="1E312C53" w14:textId="4848501E" w:rsidR="00CC418E" w:rsidRPr="003A15C5" w:rsidRDefault="00CC418E" w:rsidP="003A15C5">
      <w:pPr>
        <w:pStyle w:val="a8"/>
        <w:jc w:val="both"/>
        <w:rPr>
          <w:sz w:val="18"/>
          <w:szCs w:val="18"/>
        </w:rPr>
      </w:pPr>
      <w:r w:rsidRPr="003A15C5">
        <w:rPr>
          <w:rStyle w:val="a4"/>
          <w:sz w:val="18"/>
          <w:szCs w:val="18"/>
        </w:rPr>
        <w:footnoteRef/>
      </w:r>
      <w:r w:rsidRPr="003A15C5">
        <w:rPr>
          <w:sz w:val="18"/>
          <w:szCs w:val="18"/>
        </w:rPr>
        <w:t xml:space="preserve"> </w:t>
      </w:r>
      <w:r w:rsidRPr="003A15C5">
        <w:rPr>
          <w:bCs/>
          <w:sz w:val="18"/>
          <w:szCs w:val="18"/>
        </w:rPr>
        <w:t>Федеральный закон от 07.08.2001 № 115-ФЗ «О противодействии легализации (отмыванию) доходов, полученных преступным путем, и финансированию терроризма»</w:t>
      </w:r>
      <w:r w:rsidR="007552B6" w:rsidRPr="003A15C5">
        <w:rPr>
          <w:bCs/>
          <w:sz w:val="18"/>
          <w:szCs w:val="18"/>
        </w:rPr>
        <w:t xml:space="preserve"> (далее – Федеральный закон № 115-ФЗ)</w:t>
      </w:r>
      <w:r w:rsidRPr="003A15C5">
        <w:rPr>
          <w:bCs/>
          <w:sz w:val="18"/>
          <w:szCs w:val="18"/>
        </w:rPr>
        <w:t>.</w:t>
      </w:r>
    </w:p>
  </w:footnote>
  <w:footnote w:id="15">
    <w:p w14:paraId="7E395781" w14:textId="202C9330" w:rsidR="0006471A" w:rsidRPr="006040AB" w:rsidRDefault="0006471A">
      <w:pPr>
        <w:pStyle w:val="a8"/>
        <w:rPr>
          <w:sz w:val="18"/>
          <w:szCs w:val="18"/>
        </w:rPr>
      </w:pPr>
      <w:r>
        <w:rPr>
          <w:rStyle w:val="a4"/>
        </w:rPr>
        <w:footnoteRef/>
      </w:r>
      <w:r>
        <w:t xml:space="preserve"> </w:t>
      </w:r>
      <w:r w:rsidR="00B477BE">
        <w:t>«</w:t>
      </w:r>
      <w:r w:rsidRPr="006040AB">
        <w:rPr>
          <w:sz w:val="18"/>
          <w:szCs w:val="18"/>
        </w:rPr>
        <w:t>Средства для осуществления переводов (возврата остатков) электронных денежных средств юридических лиц, индивидуальных предпринимателей</w:t>
      </w:r>
      <w:r w:rsidR="00B477BE">
        <w:rPr>
          <w:sz w:val="18"/>
          <w:szCs w:val="18"/>
        </w:rPr>
        <w:t>»</w:t>
      </w:r>
      <w:r w:rsidRPr="006040AB">
        <w:rPr>
          <w:sz w:val="18"/>
          <w:szCs w:val="18"/>
        </w:rPr>
        <w:t>.</w:t>
      </w:r>
    </w:p>
  </w:footnote>
  <w:footnote w:id="16">
    <w:p w14:paraId="3A163CB5" w14:textId="10DE86D7" w:rsidR="00534AE7" w:rsidRPr="003A15C5" w:rsidRDefault="00534AE7" w:rsidP="003A15C5">
      <w:pPr>
        <w:pStyle w:val="a8"/>
        <w:jc w:val="both"/>
        <w:rPr>
          <w:sz w:val="18"/>
          <w:szCs w:val="18"/>
        </w:rPr>
      </w:pPr>
      <w:r w:rsidRPr="003A15C5">
        <w:rPr>
          <w:rStyle w:val="a4"/>
          <w:sz w:val="18"/>
          <w:szCs w:val="18"/>
        </w:rPr>
        <w:footnoteRef/>
      </w:r>
      <w:r w:rsidRPr="003A15C5">
        <w:rPr>
          <w:sz w:val="18"/>
          <w:szCs w:val="18"/>
        </w:rPr>
        <w:t xml:space="preserve"> Раздел 1 «Данные об остатках денежных средств физических лиц, в том числе индивидуальных предпринимателей, подлежащих страхованию».</w:t>
      </w:r>
    </w:p>
  </w:footnote>
  <w:footnote w:id="17">
    <w:p w14:paraId="5F7E2EE9" w14:textId="5F5A22FD" w:rsidR="00CC418E" w:rsidRPr="009104A2" w:rsidRDefault="00CC418E" w:rsidP="00176C2D">
      <w:pPr>
        <w:pStyle w:val="a3"/>
        <w:spacing w:before="0" w:beforeAutospacing="0" w:after="0" w:afterAutospacing="0"/>
        <w:jc w:val="both"/>
        <w:rPr>
          <w:sz w:val="20"/>
          <w:szCs w:val="20"/>
        </w:rPr>
      </w:pPr>
      <w:r w:rsidRPr="003A15C5">
        <w:rPr>
          <w:rStyle w:val="a4"/>
          <w:sz w:val="18"/>
          <w:szCs w:val="18"/>
        </w:rPr>
        <w:footnoteRef/>
      </w:r>
      <w:r w:rsidRPr="003A15C5">
        <w:rPr>
          <w:sz w:val="18"/>
          <w:szCs w:val="18"/>
        </w:rPr>
        <w:t xml:space="preserve"> </w:t>
      </w:r>
      <w:r w:rsidRPr="003A15C5">
        <w:rPr>
          <w:bCs/>
          <w:sz w:val="18"/>
          <w:szCs w:val="18"/>
        </w:rPr>
        <w:t xml:space="preserve">Федеральный Закон от 23 декабря 2003 г. № 177-ФЗ «О страховании вкладов в банках Российской Федерации», вступает в силу с 01.01.2027 (в редакции Федерального закона от 04.07.2026 </w:t>
      </w:r>
      <w:r w:rsidR="006040AB">
        <w:rPr>
          <w:bCs/>
          <w:sz w:val="18"/>
          <w:szCs w:val="18"/>
        </w:rPr>
        <w:br/>
      </w:r>
      <w:r w:rsidRPr="003A15C5">
        <w:rPr>
          <w:bCs/>
          <w:sz w:val="18"/>
          <w:szCs w:val="18"/>
        </w:rPr>
        <w:t>№ 230-ФЗ «О внесении изменений в отдельные законодательные акты Российской Федерации» и Федерального закона от 04.08.2026 № 317-ФЗ «</w:t>
      </w:r>
      <w:r w:rsidRPr="003A15C5">
        <w:rPr>
          <w:sz w:val="18"/>
          <w:szCs w:val="18"/>
        </w:rPr>
        <w:t xml:space="preserve">О внесении изменений в Федеральный закон </w:t>
      </w:r>
      <w:r w:rsidR="006040AB">
        <w:rPr>
          <w:sz w:val="18"/>
          <w:szCs w:val="18"/>
        </w:rPr>
        <w:br/>
        <w:t>«</w:t>
      </w:r>
      <w:r w:rsidRPr="003A15C5">
        <w:rPr>
          <w:sz w:val="18"/>
          <w:szCs w:val="18"/>
        </w:rPr>
        <w:t>О страховании вкладо</w:t>
      </w:r>
      <w:r w:rsidR="006040AB">
        <w:rPr>
          <w:sz w:val="18"/>
          <w:szCs w:val="18"/>
        </w:rPr>
        <w:t>в в банках Российской Федерации» и Федеральный закон «</w:t>
      </w:r>
      <w:r w:rsidRPr="003A15C5">
        <w:rPr>
          <w:sz w:val="18"/>
          <w:szCs w:val="18"/>
        </w:rPr>
        <w:t>О несостоятельности (банкротстве)») (далее – Федеральный закон № 177-ФЗ).</w:t>
      </w:r>
    </w:p>
  </w:footnote>
  <w:footnote w:id="18">
    <w:p w14:paraId="4D4E3634" w14:textId="418A3612" w:rsidR="006040AB" w:rsidRPr="006040AB" w:rsidRDefault="006040AB" w:rsidP="006040AB">
      <w:pPr>
        <w:pStyle w:val="a8"/>
        <w:rPr>
          <w:rFonts w:eastAsia="Calibri"/>
          <w:sz w:val="18"/>
          <w:szCs w:val="18"/>
        </w:rPr>
      </w:pPr>
      <w:r>
        <w:rPr>
          <w:rStyle w:val="a4"/>
        </w:rPr>
        <w:footnoteRef/>
      </w:r>
      <w:r>
        <w:t xml:space="preserve"> </w:t>
      </w:r>
      <w:r w:rsidRPr="006040AB">
        <w:rPr>
          <w:rFonts w:eastAsia="Calibri"/>
          <w:sz w:val="18"/>
          <w:szCs w:val="18"/>
        </w:rPr>
        <w:t>Привлеченные средства по договору жилищных сбережений на срок свыше 3 лет.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78243"/>
      <w:docPartObj>
        <w:docPartGallery w:val="Page Numbers (Top of Page)"/>
        <w:docPartUnique/>
      </w:docPartObj>
    </w:sdtPr>
    <w:sdtEndPr/>
    <w:sdtContent>
      <w:p w14:paraId="70A22B73" w14:textId="33CEFBF0" w:rsidR="000A579B" w:rsidRDefault="002C6DCC">
        <w:pPr>
          <w:pStyle w:val="aa"/>
          <w:jc w:val="center"/>
        </w:pPr>
        <w:r>
          <w:fldChar w:fldCharType="begin"/>
        </w:r>
        <w:r>
          <w:instrText>PAGE   \* MERGEFORMAT</w:instrText>
        </w:r>
        <w:r>
          <w:fldChar w:fldCharType="separate"/>
        </w:r>
        <w:r w:rsidR="003B7504">
          <w:rPr>
            <w:noProof/>
          </w:rPr>
          <w:t>2</w:t>
        </w:r>
        <w:r>
          <w:fldChar w:fldCharType="end"/>
        </w:r>
      </w:p>
    </w:sdtContent>
  </w:sdt>
  <w:p w14:paraId="1869CFE5" w14:textId="77777777" w:rsidR="000A579B" w:rsidRDefault="000A579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19167B"/>
    <w:multiLevelType w:val="hybridMultilevel"/>
    <w:tmpl w:val="DE96B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1149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25"/>
    <w:rsid w:val="00005439"/>
    <w:rsid w:val="000469B5"/>
    <w:rsid w:val="0006471A"/>
    <w:rsid w:val="000903FA"/>
    <w:rsid w:val="0009354D"/>
    <w:rsid w:val="000A579B"/>
    <w:rsid w:val="000B5892"/>
    <w:rsid w:val="000E0E0E"/>
    <w:rsid w:val="00123D3C"/>
    <w:rsid w:val="001370ED"/>
    <w:rsid w:val="001703BF"/>
    <w:rsid w:val="00176C2D"/>
    <w:rsid w:val="00177E4E"/>
    <w:rsid w:val="001B0CF7"/>
    <w:rsid w:val="001D0E0F"/>
    <w:rsid w:val="001D15F0"/>
    <w:rsid w:val="001E780F"/>
    <w:rsid w:val="0020603F"/>
    <w:rsid w:val="00226F28"/>
    <w:rsid w:val="00293FA6"/>
    <w:rsid w:val="002A2D12"/>
    <w:rsid w:val="002A5F27"/>
    <w:rsid w:val="002B3E08"/>
    <w:rsid w:val="002C6DCC"/>
    <w:rsid w:val="002F016B"/>
    <w:rsid w:val="002F3B0D"/>
    <w:rsid w:val="003008EF"/>
    <w:rsid w:val="00326CC2"/>
    <w:rsid w:val="00345087"/>
    <w:rsid w:val="00377B25"/>
    <w:rsid w:val="00380F6A"/>
    <w:rsid w:val="003842A8"/>
    <w:rsid w:val="003A15C5"/>
    <w:rsid w:val="003B7504"/>
    <w:rsid w:val="003D49EA"/>
    <w:rsid w:val="003E2B68"/>
    <w:rsid w:val="004014DA"/>
    <w:rsid w:val="0041755D"/>
    <w:rsid w:val="00423873"/>
    <w:rsid w:val="004509AB"/>
    <w:rsid w:val="00474A08"/>
    <w:rsid w:val="004B5DD8"/>
    <w:rsid w:val="004B7BB3"/>
    <w:rsid w:val="004D12B6"/>
    <w:rsid w:val="004F2BFB"/>
    <w:rsid w:val="00522E62"/>
    <w:rsid w:val="00534AE7"/>
    <w:rsid w:val="00557CFF"/>
    <w:rsid w:val="00567632"/>
    <w:rsid w:val="006040AB"/>
    <w:rsid w:val="006160A1"/>
    <w:rsid w:val="0064155B"/>
    <w:rsid w:val="00642BFF"/>
    <w:rsid w:val="00651437"/>
    <w:rsid w:val="006554CB"/>
    <w:rsid w:val="006762F4"/>
    <w:rsid w:val="00682F27"/>
    <w:rsid w:val="006B62A3"/>
    <w:rsid w:val="006C5FDB"/>
    <w:rsid w:val="006C7150"/>
    <w:rsid w:val="0072671F"/>
    <w:rsid w:val="007552B6"/>
    <w:rsid w:val="00764810"/>
    <w:rsid w:val="007A17B8"/>
    <w:rsid w:val="007A7CE2"/>
    <w:rsid w:val="007E0636"/>
    <w:rsid w:val="007F40FB"/>
    <w:rsid w:val="0080501B"/>
    <w:rsid w:val="008310F0"/>
    <w:rsid w:val="0084081A"/>
    <w:rsid w:val="00843906"/>
    <w:rsid w:val="0085403D"/>
    <w:rsid w:val="00862728"/>
    <w:rsid w:val="00866868"/>
    <w:rsid w:val="00871AAF"/>
    <w:rsid w:val="00873435"/>
    <w:rsid w:val="008B29FE"/>
    <w:rsid w:val="008C414B"/>
    <w:rsid w:val="008F572C"/>
    <w:rsid w:val="009104A2"/>
    <w:rsid w:val="00960632"/>
    <w:rsid w:val="00976700"/>
    <w:rsid w:val="009850C0"/>
    <w:rsid w:val="009B3E72"/>
    <w:rsid w:val="009E4B67"/>
    <w:rsid w:val="009E6CD9"/>
    <w:rsid w:val="00A14CEF"/>
    <w:rsid w:val="00A3491A"/>
    <w:rsid w:val="00A541F8"/>
    <w:rsid w:val="00A7694E"/>
    <w:rsid w:val="00AB61BF"/>
    <w:rsid w:val="00AE00C8"/>
    <w:rsid w:val="00B27F73"/>
    <w:rsid w:val="00B36360"/>
    <w:rsid w:val="00B477BE"/>
    <w:rsid w:val="00B5083D"/>
    <w:rsid w:val="00B6519B"/>
    <w:rsid w:val="00B7393A"/>
    <w:rsid w:val="00B92280"/>
    <w:rsid w:val="00B926AF"/>
    <w:rsid w:val="00BA222B"/>
    <w:rsid w:val="00BD295B"/>
    <w:rsid w:val="00C32E29"/>
    <w:rsid w:val="00C54CEF"/>
    <w:rsid w:val="00C7716D"/>
    <w:rsid w:val="00C924DB"/>
    <w:rsid w:val="00CA49A2"/>
    <w:rsid w:val="00CC3104"/>
    <w:rsid w:val="00CC418E"/>
    <w:rsid w:val="00CC64E7"/>
    <w:rsid w:val="00CE63E2"/>
    <w:rsid w:val="00D31FAB"/>
    <w:rsid w:val="00DD369C"/>
    <w:rsid w:val="00E431D2"/>
    <w:rsid w:val="00EF6648"/>
    <w:rsid w:val="00F223C9"/>
    <w:rsid w:val="00F31458"/>
    <w:rsid w:val="00F73FF2"/>
    <w:rsid w:val="00FD5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3EF7F"/>
  <w15:chartTrackingRefBased/>
  <w15:docId w15:val="{601569A1-A401-44F7-9D4E-027454A6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B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77B25"/>
    <w:pPr>
      <w:spacing w:before="100" w:beforeAutospacing="1" w:after="100" w:afterAutospacing="1"/>
    </w:pPr>
    <w:rPr>
      <w:rFonts w:eastAsia="Calibri"/>
    </w:rPr>
  </w:style>
  <w:style w:type="character" w:styleId="a4">
    <w:name w:val="footnote reference"/>
    <w:aliases w:val="fr,Footnote Reference Number,Footnote Reference_LVL6,Footnote Reference_LVL61,Footnote Reference_LVL62,Footnote Reference_LVL63,Footnote Reference_LVL64,SUPERS,EN Footnote Reference,number,ftref,Footnote symbol,Rabbani Footnote,Ref,normal"/>
    <w:uiPriority w:val="99"/>
    <w:qFormat/>
    <w:rsid w:val="00377B25"/>
    <w:rPr>
      <w:vertAlign w:val="superscript"/>
    </w:rPr>
  </w:style>
  <w:style w:type="paragraph" w:styleId="a5">
    <w:name w:val="footer"/>
    <w:basedOn w:val="a"/>
    <w:link w:val="a6"/>
    <w:uiPriority w:val="99"/>
    <w:rsid w:val="00377B25"/>
    <w:pPr>
      <w:tabs>
        <w:tab w:val="center" w:pos="4677"/>
        <w:tab w:val="right" w:pos="9355"/>
      </w:tabs>
    </w:pPr>
  </w:style>
  <w:style w:type="character" w:customStyle="1" w:styleId="a6">
    <w:name w:val="Нижний колонтитул Знак"/>
    <w:basedOn w:val="a0"/>
    <w:link w:val="a5"/>
    <w:uiPriority w:val="99"/>
    <w:rsid w:val="00377B25"/>
    <w:rPr>
      <w:rFonts w:ascii="Times New Roman" w:eastAsia="Times New Roman" w:hAnsi="Times New Roman" w:cs="Times New Roman"/>
      <w:sz w:val="24"/>
      <w:szCs w:val="24"/>
      <w:lang w:eastAsia="ru-RU"/>
    </w:rPr>
  </w:style>
  <w:style w:type="character" w:styleId="a7">
    <w:name w:val="page number"/>
    <w:basedOn w:val="a0"/>
    <w:rsid w:val="00377B25"/>
  </w:style>
  <w:style w:type="paragraph" w:customStyle="1" w:styleId="ConsPlusNormal">
    <w:name w:val="ConsPlusNormal"/>
    <w:rsid w:val="00377B25"/>
    <w:pPr>
      <w:autoSpaceDE w:val="0"/>
      <w:autoSpaceDN w:val="0"/>
      <w:adjustRightInd w:val="0"/>
      <w:spacing w:after="0" w:line="240" w:lineRule="auto"/>
    </w:pPr>
    <w:rPr>
      <w:rFonts w:ascii="Calibri" w:eastAsia="Calibri" w:hAnsi="Calibri" w:cs="Calibri"/>
    </w:rPr>
  </w:style>
  <w:style w:type="paragraph" w:styleId="a8">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Знак,Знак,Знак1,З"/>
    <w:basedOn w:val="a"/>
    <w:link w:val="a9"/>
    <w:uiPriority w:val="99"/>
    <w:unhideWhenUsed/>
    <w:qFormat/>
    <w:rsid w:val="00377B25"/>
    <w:rPr>
      <w:sz w:val="20"/>
      <w:szCs w:val="20"/>
    </w:rPr>
  </w:style>
  <w:style w:type="character" w:customStyle="1" w:styleId="a9">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0"/>
    <w:link w:val="a8"/>
    <w:uiPriority w:val="99"/>
    <w:qFormat/>
    <w:rsid w:val="00377B25"/>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377B25"/>
    <w:pPr>
      <w:tabs>
        <w:tab w:val="center" w:pos="4677"/>
        <w:tab w:val="right" w:pos="9355"/>
      </w:tabs>
    </w:pPr>
  </w:style>
  <w:style w:type="character" w:customStyle="1" w:styleId="ab">
    <w:name w:val="Верхний колонтитул Знак"/>
    <w:basedOn w:val="a0"/>
    <w:link w:val="aa"/>
    <w:uiPriority w:val="99"/>
    <w:rsid w:val="00377B25"/>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2C6DCC"/>
    <w:rPr>
      <w:rFonts w:ascii="Segoe UI" w:hAnsi="Segoe UI" w:cs="Segoe UI"/>
      <w:sz w:val="18"/>
      <w:szCs w:val="18"/>
    </w:rPr>
  </w:style>
  <w:style w:type="character" w:customStyle="1" w:styleId="ad">
    <w:name w:val="Текст выноски Знак"/>
    <w:basedOn w:val="a0"/>
    <w:link w:val="ac"/>
    <w:uiPriority w:val="99"/>
    <w:semiHidden/>
    <w:rsid w:val="002C6DCC"/>
    <w:rPr>
      <w:rFonts w:ascii="Segoe UI" w:eastAsia="Times New Roman" w:hAnsi="Segoe UI" w:cs="Segoe UI"/>
      <w:sz w:val="18"/>
      <w:szCs w:val="18"/>
      <w:lang w:eastAsia="ru-RU"/>
    </w:rPr>
  </w:style>
  <w:style w:type="character" w:styleId="ae">
    <w:name w:val="annotation reference"/>
    <w:basedOn w:val="a0"/>
    <w:uiPriority w:val="99"/>
    <w:semiHidden/>
    <w:unhideWhenUsed/>
    <w:rsid w:val="00EF6648"/>
    <w:rPr>
      <w:sz w:val="16"/>
      <w:szCs w:val="16"/>
    </w:rPr>
  </w:style>
  <w:style w:type="paragraph" w:styleId="af">
    <w:name w:val="annotation text"/>
    <w:basedOn w:val="a"/>
    <w:link w:val="af0"/>
    <w:uiPriority w:val="99"/>
    <w:semiHidden/>
    <w:unhideWhenUsed/>
    <w:rsid w:val="00EF6648"/>
    <w:rPr>
      <w:sz w:val="20"/>
      <w:szCs w:val="20"/>
    </w:rPr>
  </w:style>
  <w:style w:type="character" w:customStyle="1" w:styleId="af0">
    <w:name w:val="Текст примечания Знак"/>
    <w:basedOn w:val="a0"/>
    <w:link w:val="af"/>
    <w:uiPriority w:val="99"/>
    <w:semiHidden/>
    <w:rsid w:val="00EF6648"/>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EF6648"/>
    <w:rPr>
      <w:b/>
      <w:bCs/>
    </w:rPr>
  </w:style>
  <w:style w:type="character" w:customStyle="1" w:styleId="af2">
    <w:name w:val="Тема примечания Знак"/>
    <w:basedOn w:val="af0"/>
    <w:link w:val="af1"/>
    <w:uiPriority w:val="99"/>
    <w:semiHidden/>
    <w:rsid w:val="00EF6648"/>
    <w:rPr>
      <w:rFonts w:ascii="Times New Roman" w:eastAsia="Times New Roman" w:hAnsi="Times New Roman" w:cs="Times New Roman"/>
      <w:b/>
      <w:bCs/>
      <w:sz w:val="20"/>
      <w:szCs w:val="20"/>
      <w:lang w:eastAsia="ru-RU"/>
    </w:rPr>
  </w:style>
  <w:style w:type="paragraph" w:styleId="af3">
    <w:name w:val="List Paragraph"/>
    <w:basedOn w:val="a"/>
    <w:uiPriority w:val="34"/>
    <w:qFormat/>
    <w:rsid w:val="00534AE7"/>
    <w:pPr>
      <w:spacing w:after="160" w:line="259" w:lineRule="auto"/>
      <w:ind w:left="720"/>
      <w:contextualSpacing/>
    </w:pPr>
    <w:rPr>
      <w:rFonts w:asciiTheme="minorHAnsi" w:eastAsiaTheme="minorHAnsi" w:hAnsiTheme="minorHAnsi" w:cstheme="minorBidi"/>
      <w:sz w:val="22"/>
      <w:szCs w:val="22"/>
      <w:lang w:eastAsia="en-US"/>
    </w:rPr>
  </w:style>
  <w:style w:type="paragraph" w:styleId="af4">
    <w:name w:val="Revision"/>
    <w:hidden/>
    <w:uiPriority w:val="99"/>
    <w:semiHidden/>
    <w:rsid w:val="0072671F"/>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7192">
      <w:bodyDiv w:val="1"/>
      <w:marLeft w:val="0"/>
      <w:marRight w:val="0"/>
      <w:marTop w:val="0"/>
      <w:marBottom w:val="0"/>
      <w:divBdr>
        <w:top w:val="none" w:sz="0" w:space="0" w:color="auto"/>
        <w:left w:val="none" w:sz="0" w:space="0" w:color="auto"/>
        <w:bottom w:val="none" w:sz="0" w:space="0" w:color="auto"/>
        <w:right w:val="none" w:sz="0" w:space="0" w:color="auto"/>
      </w:divBdr>
    </w:div>
    <w:div w:id="127675386">
      <w:bodyDiv w:val="1"/>
      <w:marLeft w:val="0"/>
      <w:marRight w:val="0"/>
      <w:marTop w:val="0"/>
      <w:marBottom w:val="0"/>
      <w:divBdr>
        <w:top w:val="none" w:sz="0" w:space="0" w:color="auto"/>
        <w:left w:val="none" w:sz="0" w:space="0" w:color="auto"/>
        <w:bottom w:val="none" w:sz="0" w:space="0" w:color="auto"/>
        <w:right w:val="none" w:sz="0" w:space="0" w:color="auto"/>
      </w:divBdr>
    </w:div>
    <w:div w:id="172454699">
      <w:bodyDiv w:val="1"/>
      <w:marLeft w:val="0"/>
      <w:marRight w:val="0"/>
      <w:marTop w:val="0"/>
      <w:marBottom w:val="0"/>
      <w:divBdr>
        <w:top w:val="none" w:sz="0" w:space="0" w:color="auto"/>
        <w:left w:val="none" w:sz="0" w:space="0" w:color="auto"/>
        <w:bottom w:val="none" w:sz="0" w:space="0" w:color="auto"/>
        <w:right w:val="none" w:sz="0" w:space="0" w:color="auto"/>
      </w:divBdr>
    </w:div>
    <w:div w:id="289867949">
      <w:bodyDiv w:val="1"/>
      <w:marLeft w:val="0"/>
      <w:marRight w:val="0"/>
      <w:marTop w:val="0"/>
      <w:marBottom w:val="0"/>
      <w:divBdr>
        <w:top w:val="none" w:sz="0" w:space="0" w:color="auto"/>
        <w:left w:val="none" w:sz="0" w:space="0" w:color="auto"/>
        <w:bottom w:val="none" w:sz="0" w:space="0" w:color="auto"/>
        <w:right w:val="none" w:sz="0" w:space="0" w:color="auto"/>
      </w:divBdr>
    </w:div>
    <w:div w:id="860509527">
      <w:bodyDiv w:val="1"/>
      <w:marLeft w:val="0"/>
      <w:marRight w:val="0"/>
      <w:marTop w:val="0"/>
      <w:marBottom w:val="0"/>
      <w:divBdr>
        <w:top w:val="none" w:sz="0" w:space="0" w:color="auto"/>
        <w:left w:val="none" w:sz="0" w:space="0" w:color="auto"/>
        <w:bottom w:val="none" w:sz="0" w:space="0" w:color="auto"/>
        <w:right w:val="none" w:sz="0" w:space="0" w:color="auto"/>
      </w:divBdr>
    </w:div>
    <w:div w:id="1230732849">
      <w:bodyDiv w:val="1"/>
      <w:marLeft w:val="0"/>
      <w:marRight w:val="0"/>
      <w:marTop w:val="0"/>
      <w:marBottom w:val="0"/>
      <w:divBdr>
        <w:top w:val="none" w:sz="0" w:space="0" w:color="auto"/>
        <w:left w:val="none" w:sz="0" w:space="0" w:color="auto"/>
        <w:bottom w:val="none" w:sz="0" w:space="0" w:color="auto"/>
        <w:right w:val="none" w:sz="0" w:space="0" w:color="auto"/>
      </w:divBdr>
    </w:div>
    <w:div w:id="1510486529">
      <w:bodyDiv w:val="1"/>
      <w:marLeft w:val="0"/>
      <w:marRight w:val="0"/>
      <w:marTop w:val="0"/>
      <w:marBottom w:val="0"/>
      <w:divBdr>
        <w:top w:val="none" w:sz="0" w:space="0" w:color="auto"/>
        <w:left w:val="none" w:sz="0" w:space="0" w:color="auto"/>
        <w:bottom w:val="none" w:sz="0" w:space="0" w:color="auto"/>
        <w:right w:val="none" w:sz="0" w:space="0" w:color="auto"/>
      </w:divBdr>
    </w:div>
    <w:div w:id="1576893834">
      <w:bodyDiv w:val="1"/>
      <w:marLeft w:val="0"/>
      <w:marRight w:val="0"/>
      <w:marTop w:val="0"/>
      <w:marBottom w:val="0"/>
      <w:divBdr>
        <w:top w:val="none" w:sz="0" w:space="0" w:color="auto"/>
        <w:left w:val="none" w:sz="0" w:space="0" w:color="auto"/>
        <w:bottom w:val="none" w:sz="0" w:space="0" w:color="auto"/>
        <w:right w:val="none" w:sz="0" w:space="0" w:color="auto"/>
      </w:divBdr>
    </w:div>
    <w:div w:id="1673995391">
      <w:bodyDiv w:val="1"/>
      <w:marLeft w:val="0"/>
      <w:marRight w:val="0"/>
      <w:marTop w:val="0"/>
      <w:marBottom w:val="0"/>
      <w:divBdr>
        <w:top w:val="none" w:sz="0" w:space="0" w:color="auto"/>
        <w:left w:val="none" w:sz="0" w:space="0" w:color="auto"/>
        <w:bottom w:val="none" w:sz="0" w:space="0" w:color="auto"/>
        <w:right w:val="none" w:sz="0" w:space="0" w:color="auto"/>
      </w:divBdr>
    </w:div>
    <w:div w:id="1871643166">
      <w:bodyDiv w:val="1"/>
      <w:marLeft w:val="0"/>
      <w:marRight w:val="0"/>
      <w:marTop w:val="0"/>
      <w:marBottom w:val="0"/>
      <w:divBdr>
        <w:top w:val="none" w:sz="0" w:space="0" w:color="auto"/>
        <w:left w:val="none" w:sz="0" w:space="0" w:color="auto"/>
        <w:bottom w:val="none" w:sz="0" w:space="0" w:color="auto"/>
        <w:right w:val="none" w:sz="0" w:space="0" w:color="auto"/>
      </w:divBdr>
    </w:div>
    <w:div w:id="201144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DD1A0-6BCC-46EC-83FD-898136B33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1425</Words>
  <Characters>8129</Characters>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2026-10-06T13:34:00Z</cp:lastPrinted>
  <dcterms:created xsi:type="dcterms:W3CDTF">2026-10-06T15:15:00Z</dcterms:created>
  <dcterms:modified xsi:type="dcterms:W3CDTF">2026-10-16T07:05:00Z</dcterms:modified>
</cp:coreProperties>
</file>