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3F7" w:rsidRDefault="00CE33F7" w:rsidP="00CE33F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В.В. Высоков </w:t>
      </w:r>
    </w:p>
    <w:p w:rsidR="00CE33F7" w:rsidRDefault="00CE33F7" w:rsidP="00CE33F7">
      <w:pPr>
        <w:ind w:left="4956"/>
        <w:rPr>
          <w:sz w:val="28"/>
          <w:szCs w:val="28"/>
        </w:rPr>
      </w:pPr>
      <w:r>
        <w:rPr>
          <w:sz w:val="28"/>
          <w:szCs w:val="28"/>
        </w:rPr>
        <w:t>Профессор, д.э.н.</w:t>
      </w:r>
    </w:p>
    <w:p w:rsidR="00411AAA" w:rsidRDefault="00CE33F7" w:rsidP="00CE33F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директоров </w:t>
      </w:r>
    </w:p>
    <w:p w:rsidR="00CE33F7" w:rsidRDefault="00CE33F7" w:rsidP="00CE33F7">
      <w:pPr>
        <w:ind w:left="4956"/>
        <w:rPr>
          <w:sz w:val="28"/>
          <w:szCs w:val="28"/>
        </w:rPr>
      </w:pPr>
      <w:r>
        <w:rPr>
          <w:sz w:val="28"/>
          <w:szCs w:val="28"/>
        </w:rPr>
        <w:t>ПАО КБ «Центр-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>»</w:t>
      </w:r>
    </w:p>
    <w:p w:rsidR="00CE33F7" w:rsidRPr="00CE33F7" w:rsidRDefault="00CE33F7" w:rsidP="00CE33F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="00411AAA">
        <w:rPr>
          <w:sz w:val="28"/>
          <w:szCs w:val="28"/>
        </w:rPr>
        <w:t xml:space="preserve">по </w:t>
      </w:r>
      <w:r>
        <w:rPr>
          <w:sz w:val="28"/>
          <w:szCs w:val="28"/>
        </w:rPr>
        <w:t>МСБ</w:t>
      </w:r>
      <w:r w:rsidRPr="00CE33F7">
        <w:rPr>
          <w:sz w:val="28"/>
          <w:szCs w:val="28"/>
        </w:rPr>
        <w:t xml:space="preserve"> Ассоциации «Россия»  </w:t>
      </w:r>
    </w:p>
    <w:p w:rsidR="00CE33F7" w:rsidRDefault="00CE33F7" w:rsidP="00CE33F7">
      <w:pPr>
        <w:ind w:left="4956"/>
        <w:rPr>
          <w:b/>
          <w:sz w:val="28"/>
          <w:szCs w:val="28"/>
        </w:rPr>
      </w:pPr>
    </w:p>
    <w:p w:rsidR="007A5A7C" w:rsidRPr="00CE33F7" w:rsidRDefault="007A5A7C" w:rsidP="00CE33F7">
      <w:pPr>
        <w:ind w:left="4956"/>
        <w:rPr>
          <w:b/>
          <w:sz w:val="28"/>
          <w:szCs w:val="28"/>
        </w:rPr>
      </w:pPr>
    </w:p>
    <w:p w:rsidR="00F159BD" w:rsidRPr="00CE33F7" w:rsidRDefault="00CE33F7" w:rsidP="00CE33F7">
      <w:pPr>
        <w:jc w:val="center"/>
        <w:rPr>
          <w:b/>
          <w:sz w:val="28"/>
          <w:szCs w:val="28"/>
        </w:rPr>
      </w:pPr>
      <w:r w:rsidRPr="00CE33F7">
        <w:rPr>
          <w:b/>
          <w:sz w:val="28"/>
          <w:szCs w:val="28"/>
        </w:rPr>
        <w:t>Банки: о</w:t>
      </w:r>
      <w:r w:rsidR="002F6B4E" w:rsidRPr="00CE33F7">
        <w:rPr>
          <w:b/>
          <w:sz w:val="28"/>
          <w:szCs w:val="28"/>
        </w:rPr>
        <w:t xml:space="preserve"> малом бизнесе</w:t>
      </w:r>
      <w:r w:rsidRPr="00CE33F7">
        <w:rPr>
          <w:b/>
          <w:sz w:val="28"/>
          <w:szCs w:val="28"/>
        </w:rPr>
        <w:t>,</w:t>
      </w:r>
      <w:r w:rsidR="002F6B4E" w:rsidRPr="00CE33F7">
        <w:rPr>
          <w:b/>
          <w:sz w:val="28"/>
          <w:szCs w:val="28"/>
        </w:rPr>
        <w:t xml:space="preserve"> и не только.</w:t>
      </w:r>
    </w:p>
    <w:p w:rsidR="00CE33F7" w:rsidRDefault="00CE33F7" w:rsidP="00AA6507">
      <w:pPr>
        <w:rPr>
          <w:b/>
          <w:sz w:val="28"/>
          <w:szCs w:val="28"/>
        </w:rPr>
      </w:pPr>
    </w:p>
    <w:p w:rsidR="00F83B77" w:rsidRDefault="004617AD" w:rsidP="00C1469D">
      <w:pPr>
        <w:jc w:val="both"/>
        <w:rPr>
          <w:sz w:val="28"/>
          <w:szCs w:val="28"/>
        </w:rPr>
      </w:pPr>
      <w:r w:rsidRPr="004617AD">
        <w:rPr>
          <w:b/>
          <w:sz w:val="28"/>
          <w:szCs w:val="28"/>
        </w:rPr>
        <w:t xml:space="preserve">Банки работают много, но рапортуют мало. </w:t>
      </w:r>
      <w:r w:rsidR="002F6B4E" w:rsidRPr="002F6B4E">
        <w:rPr>
          <w:sz w:val="28"/>
          <w:szCs w:val="28"/>
        </w:rPr>
        <w:t xml:space="preserve">В </w:t>
      </w:r>
      <w:r w:rsidR="002F6B4E">
        <w:rPr>
          <w:sz w:val="28"/>
          <w:szCs w:val="28"/>
        </w:rPr>
        <w:t xml:space="preserve">2017 году российские банки выдали субъектам малого </w:t>
      </w:r>
      <w:r w:rsidR="00F018D6">
        <w:rPr>
          <w:sz w:val="28"/>
          <w:szCs w:val="28"/>
        </w:rPr>
        <w:t xml:space="preserve">и среднего </w:t>
      </w:r>
      <w:r w:rsidR="002F6B4E">
        <w:rPr>
          <w:sz w:val="28"/>
          <w:szCs w:val="28"/>
        </w:rPr>
        <w:t xml:space="preserve">предпринимательства </w:t>
      </w:r>
      <w:r w:rsidR="00F018D6">
        <w:rPr>
          <w:sz w:val="28"/>
          <w:szCs w:val="28"/>
        </w:rPr>
        <w:t xml:space="preserve">(МПС) </w:t>
      </w:r>
      <w:r w:rsidR="002F6B4E">
        <w:rPr>
          <w:sz w:val="28"/>
          <w:szCs w:val="28"/>
        </w:rPr>
        <w:t>более 6 трлн рублей кред</w:t>
      </w:r>
      <w:r w:rsidR="00F018D6">
        <w:rPr>
          <w:sz w:val="28"/>
          <w:szCs w:val="28"/>
        </w:rPr>
        <w:t xml:space="preserve">итов, что составляет 16% от общего объема кредитов предприятиям и соответствует декларируемой доли МСП в создании ВВП </w:t>
      </w:r>
      <w:r w:rsidR="00AA6507">
        <w:rPr>
          <w:sz w:val="28"/>
          <w:szCs w:val="28"/>
        </w:rPr>
        <w:t xml:space="preserve">– </w:t>
      </w:r>
      <w:r w:rsidR="00F018D6">
        <w:rPr>
          <w:sz w:val="28"/>
          <w:szCs w:val="28"/>
        </w:rPr>
        <w:t>2</w:t>
      </w:r>
      <w:r w:rsidR="00AA6507">
        <w:rPr>
          <w:sz w:val="28"/>
          <w:szCs w:val="28"/>
        </w:rPr>
        <w:t>0%</w:t>
      </w:r>
      <w:r w:rsidR="00F018D6">
        <w:rPr>
          <w:sz w:val="28"/>
          <w:szCs w:val="28"/>
        </w:rPr>
        <w:t xml:space="preserve">. </w:t>
      </w:r>
    </w:p>
    <w:p w:rsidR="00F83B77" w:rsidRDefault="00F83B77" w:rsidP="00C1469D">
      <w:pPr>
        <w:jc w:val="both"/>
        <w:rPr>
          <w:sz w:val="28"/>
          <w:szCs w:val="28"/>
        </w:rPr>
      </w:pPr>
      <w:r w:rsidRPr="00D8460B">
        <w:rPr>
          <w:sz w:val="28"/>
          <w:szCs w:val="28"/>
        </w:rPr>
        <w:t>Сектор МС</w:t>
      </w:r>
      <w:r>
        <w:rPr>
          <w:sz w:val="28"/>
          <w:szCs w:val="28"/>
        </w:rPr>
        <w:t>П</w:t>
      </w:r>
      <w:r w:rsidRPr="00D8460B">
        <w:rPr>
          <w:sz w:val="28"/>
          <w:szCs w:val="28"/>
        </w:rPr>
        <w:t xml:space="preserve"> – единственный сектор, где крупные банки не контролируют рынок полностью</w:t>
      </w:r>
      <w:r>
        <w:rPr>
          <w:sz w:val="28"/>
          <w:szCs w:val="28"/>
        </w:rPr>
        <w:t>: на долю 47</w:t>
      </w:r>
      <w:r w:rsidRPr="00D84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 – участников рейтинга </w:t>
      </w:r>
      <w:r>
        <w:rPr>
          <w:sz w:val="28"/>
          <w:szCs w:val="28"/>
          <w:lang w:val="en-US"/>
        </w:rPr>
        <w:t>RAEX</w:t>
      </w:r>
      <w:r>
        <w:rPr>
          <w:rStyle w:val="a6"/>
          <w:sz w:val="28"/>
          <w:szCs w:val="28"/>
          <w:lang w:val="en-US"/>
        </w:rPr>
        <w:footnoteReference w:id="1"/>
      </w:r>
      <w:r w:rsidRPr="00D84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приходится 35,2% кредитов МСП, а доля Сбербанка составляет 19,4%. </w:t>
      </w:r>
    </w:p>
    <w:p w:rsidR="00E31B80" w:rsidRDefault="00AA6507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АО Корпорация </w:t>
      </w:r>
      <w:r w:rsidR="004617AD">
        <w:rPr>
          <w:sz w:val="28"/>
          <w:szCs w:val="28"/>
        </w:rPr>
        <w:t>«</w:t>
      </w:r>
      <w:r>
        <w:rPr>
          <w:sz w:val="28"/>
          <w:szCs w:val="28"/>
        </w:rPr>
        <w:t>МСП</w:t>
      </w:r>
      <w:r w:rsidR="004617AD">
        <w:rPr>
          <w:sz w:val="28"/>
          <w:szCs w:val="28"/>
        </w:rPr>
        <w:t>»</w:t>
      </w:r>
      <w:r>
        <w:rPr>
          <w:sz w:val="28"/>
          <w:szCs w:val="28"/>
        </w:rPr>
        <w:t xml:space="preserve"> приходится лишь 3% кредитов</w:t>
      </w:r>
      <w:r w:rsidR="006E5709">
        <w:rPr>
          <w:sz w:val="28"/>
          <w:szCs w:val="28"/>
        </w:rPr>
        <w:t xml:space="preserve">, а объем субсидий </w:t>
      </w:r>
      <w:r w:rsidR="006E5709" w:rsidRPr="006E5709">
        <w:rPr>
          <w:sz w:val="28"/>
          <w:szCs w:val="28"/>
        </w:rPr>
        <w:t xml:space="preserve">из федерального и региональных бюджетов на государственную поддержку малого и среднего предпринимательства, включая крестьянские (фермерские) хозяйства, </w:t>
      </w:r>
      <w:r w:rsidR="006E5709">
        <w:rPr>
          <w:sz w:val="28"/>
          <w:szCs w:val="28"/>
        </w:rPr>
        <w:t>не превышает</w:t>
      </w:r>
      <w:r w:rsidR="006E5709" w:rsidRPr="006E5709">
        <w:rPr>
          <w:sz w:val="28"/>
          <w:szCs w:val="28"/>
        </w:rPr>
        <w:t xml:space="preserve"> 0,2% от объемов банковских кредитов. </w:t>
      </w:r>
      <w:r>
        <w:rPr>
          <w:sz w:val="28"/>
          <w:szCs w:val="28"/>
        </w:rPr>
        <w:t xml:space="preserve"> </w:t>
      </w:r>
    </w:p>
    <w:p w:rsidR="006E5709" w:rsidRDefault="00EE3339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EE3339">
        <w:rPr>
          <w:sz w:val="28"/>
          <w:szCs w:val="28"/>
        </w:rPr>
        <w:t xml:space="preserve">эффективности мер поддержки </w:t>
      </w:r>
      <w:r>
        <w:rPr>
          <w:sz w:val="28"/>
          <w:szCs w:val="28"/>
        </w:rPr>
        <w:t>МСП</w:t>
      </w:r>
      <w:r w:rsidRPr="00EE333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проведенный</w:t>
      </w:r>
      <w:r w:rsidRPr="00EE3339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 палат</w:t>
      </w:r>
      <w:r w:rsidR="00B856F9">
        <w:rPr>
          <w:sz w:val="28"/>
          <w:szCs w:val="28"/>
        </w:rPr>
        <w:t>ой</w:t>
      </w:r>
      <w:r>
        <w:rPr>
          <w:sz w:val="28"/>
          <w:szCs w:val="28"/>
        </w:rPr>
        <w:t xml:space="preserve"> России</w:t>
      </w:r>
      <w:r w:rsidR="00B856F9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 убедительно продемонстрировал, что многие цели, поставленные Правительством, не были достигнуты. На этом фоне в общественном сознании формируется мнение о том, что именно банки виновны в проблемах МСП. </w:t>
      </w:r>
    </w:p>
    <w:p w:rsidR="009F13F9" w:rsidRDefault="00F83B77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56F9">
        <w:rPr>
          <w:sz w:val="28"/>
          <w:szCs w:val="28"/>
        </w:rPr>
        <w:t xml:space="preserve"> ссылках на результаты опросов предпринимателей</w:t>
      </w:r>
      <w:r w:rsidR="00B856F9"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, как правило,</w:t>
      </w:r>
      <w:r w:rsidR="00B856F9">
        <w:rPr>
          <w:sz w:val="28"/>
          <w:szCs w:val="28"/>
        </w:rPr>
        <w:t xml:space="preserve"> указывают на высокий процент банковского кредита (16-28% ответов), недостаток финансирования (40-60%). Но если учесть все факторы, которые мешают бизнесу: недостаточный спрос (60%), высокие налоги (</w:t>
      </w:r>
      <w:r w:rsidR="009F13F9">
        <w:rPr>
          <w:sz w:val="28"/>
          <w:szCs w:val="28"/>
        </w:rPr>
        <w:t xml:space="preserve">50%), неопределённость экономической ситуации (50%), недостаток оборудования (30%) и квалифицированных кадров (20%), то проблемы доступа к финансированию (12-24%) и стоимости кредитов (5-9%) носят не самый приоритетный характер, и требуют других мер поддержки развития МСП. </w:t>
      </w:r>
    </w:p>
    <w:p w:rsidR="003B031B" w:rsidRDefault="004617AD" w:rsidP="00C1469D">
      <w:pPr>
        <w:jc w:val="both"/>
        <w:rPr>
          <w:sz w:val="28"/>
          <w:szCs w:val="28"/>
        </w:rPr>
      </w:pPr>
      <w:r w:rsidRPr="004617AD">
        <w:rPr>
          <w:b/>
          <w:sz w:val="28"/>
          <w:szCs w:val="28"/>
        </w:rPr>
        <w:t>Анкета Комитета МСБ</w:t>
      </w:r>
      <w:r>
        <w:rPr>
          <w:sz w:val="28"/>
          <w:szCs w:val="28"/>
        </w:rPr>
        <w:t xml:space="preserve">. </w:t>
      </w:r>
      <w:r w:rsidR="00CE33F7">
        <w:rPr>
          <w:sz w:val="28"/>
          <w:szCs w:val="28"/>
        </w:rPr>
        <w:t xml:space="preserve">По инициативе </w:t>
      </w:r>
      <w:r w:rsidR="00CE33F7" w:rsidRPr="009F13F9">
        <w:rPr>
          <w:sz w:val="28"/>
          <w:szCs w:val="28"/>
        </w:rPr>
        <w:t xml:space="preserve">Комитета по малому и среднему бизнесу Ассоциация банков </w:t>
      </w:r>
      <w:r w:rsidR="00CE33F7">
        <w:rPr>
          <w:sz w:val="28"/>
          <w:szCs w:val="28"/>
        </w:rPr>
        <w:t>«Россия» был проведен опрос банков</w:t>
      </w:r>
      <w:r w:rsidR="009F13F9">
        <w:rPr>
          <w:rStyle w:val="a6"/>
          <w:sz w:val="28"/>
          <w:szCs w:val="28"/>
        </w:rPr>
        <w:footnoteReference w:id="4"/>
      </w:r>
      <w:r w:rsidR="009F13F9">
        <w:rPr>
          <w:sz w:val="28"/>
          <w:szCs w:val="28"/>
        </w:rPr>
        <w:t xml:space="preserve">, </w:t>
      </w:r>
      <w:r w:rsidR="00CE33F7">
        <w:rPr>
          <w:sz w:val="28"/>
          <w:szCs w:val="28"/>
        </w:rPr>
        <w:t xml:space="preserve">результаты которого позволили получить </w:t>
      </w:r>
      <w:r w:rsidR="009F13F9">
        <w:rPr>
          <w:sz w:val="28"/>
          <w:szCs w:val="28"/>
        </w:rPr>
        <w:t xml:space="preserve">количественные оценки </w:t>
      </w:r>
      <w:r w:rsidR="009F13F9" w:rsidRPr="009F13F9">
        <w:rPr>
          <w:sz w:val="28"/>
          <w:szCs w:val="28"/>
        </w:rPr>
        <w:t xml:space="preserve">проблем и лучших практик в работе банков с </w:t>
      </w:r>
      <w:r w:rsidR="009F13F9">
        <w:rPr>
          <w:sz w:val="28"/>
          <w:szCs w:val="28"/>
        </w:rPr>
        <w:t xml:space="preserve">МСП. </w:t>
      </w:r>
      <w:r w:rsidR="003B031B">
        <w:rPr>
          <w:sz w:val="28"/>
          <w:szCs w:val="28"/>
        </w:rPr>
        <w:t xml:space="preserve"> </w:t>
      </w:r>
    </w:p>
    <w:p w:rsidR="00D8460B" w:rsidRDefault="00D8460B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Анкеты, представленные 23 банками, отражают </w:t>
      </w:r>
      <w:r w:rsidR="00CE33F7">
        <w:rPr>
          <w:sz w:val="28"/>
          <w:szCs w:val="28"/>
        </w:rPr>
        <w:t xml:space="preserve">взгляд на проблемы МСП </w:t>
      </w:r>
      <w:r>
        <w:rPr>
          <w:sz w:val="28"/>
          <w:szCs w:val="28"/>
        </w:rPr>
        <w:t>проблем тех</w:t>
      </w:r>
      <w:r w:rsidR="00CE33F7">
        <w:rPr>
          <w:sz w:val="28"/>
          <w:szCs w:val="28"/>
        </w:rPr>
        <w:t xml:space="preserve"> банков</w:t>
      </w:r>
      <w:r>
        <w:rPr>
          <w:sz w:val="28"/>
          <w:szCs w:val="28"/>
        </w:rPr>
        <w:t xml:space="preserve">, </w:t>
      </w:r>
      <w:r w:rsidR="00CE33F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заинтересован</w:t>
      </w:r>
      <w:r w:rsidR="00CE33F7">
        <w:rPr>
          <w:sz w:val="28"/>
          <w:szCs w:val="28"/>
        </w:rPr>
        <w:t>ы и реально работаю</w:t>
      </w:r>
      <w:r>
        <w:rPr>
          <w:sz w:val="28"/>
          <w:szCs w:val="28"/>
        </w:rPr>
        <w:t xml:space="preserve">т с малым бизнесом, в том числе по программам </w:t>
      </w:r>
      <w:r w:rsidRPr="00D8460B">
        <w:rPr>
          <w:sz w:val="28"/>
          <w:szCs w:val="28"/>
        </w:rPr>
        <w:t>АО «Корпорация «МСП»</w:t>
      </w:r>
      <w:r w:rsidR="00CE33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(</w:t>
      </w:r>
      <w:r w:rsidR="00CE33F7">
        <w:rPr>
          <w:sz w:val="28"/>
          <w:szCs w:val="28"/>
        </w:rPr>
        <w:t>12 банков</w:t>
      </w:r>
      <w:r>
        <w:rPr>
          <w:sz w:val="28"/>
          <w:szCs w:val="28"/>
        </w:rPr>
        <w:t>).</w:t>
      </w:r>
    </w:p>
    <w:p w:rsidR="00A73D59" w:rsidRDefault="00A73D59" w:rsidP="00C1469D">
      <w:pPr>
        <w:jc w:val="both"/>
        <w:rPr>
          <w:b/>
          <w:sz w:val="28"/>
          <w:szCs w:val="28"/>
        </w:rPr>
      </w:pPr>
    </w:p>
    <w:p w:rsidR="00A73D59" w:rsidRDefault="00A73D59" w:rsidP="00C1469D">
      <w:pPr>
        <w:jc w:val="both"/>
        <w:rPr>
          <w:b/>
          <w:sz w:val="28"/>
          <w:szCs w:val="28"/>
        </w:rPr>
      </w:pPr>
    </w:p>
    <w:p w:rsidR="00D8460B" w:rsidRDefault="00CE33F7" w:rsidP="00C1469D">
      <w:pPr>
        <w:jc w:val="both"/>
        <w:rPr>
          <w:sz w:val="28"/>
          <w:szCs w:val="28"/>
        </w:rPr>
      </w:pPr>
      <w:r w:rsidRPr="00CE33F7">
        <w:rPr>
          <w:b/>
          <w:sz w:val="28"/>
          <w:szCs w:val="28"/>
        </w:rPr>
        <w:lastRenderedPageBreak/>
        <w:t>Как банки работают с МСП</w:t>
      </w:r>
      <w:r>
        <w:rPr>
          <w:sz w:val="28"/>
          <w:szCs w:val="28"/>
        </w:rPr>
        <w:t xml:space="preserve">.  </w:t>
      </w:r>
      <w:r w:rsidR="00ED5948">
        <w:rPr>
          <w:sz w:val="28"/>
          <w:szCs w:val="28"/>
        </w:rPr>
        <w:t>Почти</w:t>
      </w:r>
      <w:r w:rsidR="00D8460B">
        <w:rPr>
          <w:sz w:val="28"/>
          <w:szCs w:val="28"/>
        </w:rPr>
        <w:t xml:space="preserve"> </w:t>
      </w:r>
      <w:r w:rsidR="00ED5948">
        <w:rPr>
          <w:sz w:val="28"/>
          <w:szCs w:val="28"/>
        </w:rPr>
        <w:t>у всех банков работа с МСП отражена в стратегиях (96%</w:t>
      </w:r>
      <w:r w:rsidR="00A73D5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 w:rsidR="00ED5948">
        <w:rPr>
          <w:sz w:val="28"/>
          <w:szCs w:val="28"/>
        </w:rPr>
        <w:t>), бизнес-планах (87%), и положениях о продуктах, услугах (91%).</w:t>
      </w:r>
    </w:p>
    <w:p w:rsidR="0036058C" w:rsidRDefault="00633593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банки дают кредиты </w:t>
      </w:r>
      <w:r w:rsidRPr="00633593">
        <w:rPr>
          <w:sz w:val="28"/>
          <w:szCs w:val="28"/>
        </w:rPr>
        <w:t>на пополнение оборотных средств</w:t>
      </w:r>
      <w:r>
        <w:rPr>
          <w:sz w:val="28"/>
          <w:szCs w:val="28"/>
        </w:rPr>
        <w:t xml:space="preserve"> (100% ответов),</w:t>
      </w:r>
      <w:r w:rsidRPr="00633593">
        <w:rPr>
          <w:sz w:val="28"/>
          <w:szCs w:val="28"/>
        </w:rPr>
        <w:t xml:space="preserve"> приобретение основных средств</w:t>
      </w:r>
      <w:r>
        <w:rPr>
          <w:sz w:val="28"/>
          <w:szCs w:val="28"/>
        </w:rPr>
        <w:t>, включая недвижимое имущество (96%)</w:t>
      </w:r>
      <w:r w:rsidR="00A73D59">
        <w:rPr>
          <w:sz w:val="28"/>
          <w:szCs w:val="28"/>
        </w:rPr>
        <w:t xml:space="preserve">, </w:t>
      </w:r>
      <w:r w:rsidR="004617AD">
        <w:rPr>
          <w:sz w:val="28"/>
          <w:szCs w:val="28"/>
        </w:rPr>
        <w:t>о</w:t>
      </w:r>
      <w:r w:rsidRPr="00633593">
        <w:rPr>
          <w:sz w:val="28"/>
          <w:szCs w:val="28"/>
        </w:rPr>
        <w:t>вердрафт</w:t>
      </w:r>
      <w:r>
        <w:rPr>
          <w:sz w:val="28"/>
          <w:szCs w:val="28"/>
        </w:rPr>
        <w:t xml:space="preserve"> (91%). </w:t>
      </w:r>
      <w:r w:rsidR="00CE33F7">
        <w:rPr>
          <w:sz w:val="28"/>
          <w:szCs w:val="28"/>
        </w:rPr>
        <w:t>Причем,</w:t>
      </w:r>
      <w:r w:rsidR="00A73D59">
        <w:rPr>
          <w:sz w:val="28"/>
          <w:szCs w:val="28"/>
        </w:rPr>
        <w:t xml:space="preserve"> в режиме онлайн кредитование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оборотк</w:t>
      </w:r>
      <w:r w:rsidR="00A73D59">
        <w:rPr>
          <w:sz w:val="28"/>
          <w:szCs w:val="28"/>
        </w:rPr>
        <w:t>и</w:t>
      </w:r>
      <w:proofErr w:type="spellEnd"/>
      <w:r w:rsidR="00A73D59">
        <w:rPr>
          <w:sz w:val="28"/>
          <w:szCs w:val="28"/>
        </w:rPr>
        <w:t>», предлагают 9% банков, а 4% –</w:t>
      </w:r>
      <w:r>
        <w:rPr>
          <w:sz w:val="28"/>
          <w:szCs w:val="28"/>
        </w:rPr>
        <w:t xml:space="preserve"> дают </w:t>
      </w:r>
      <w:r w:rsidR="00CE33F7">
        <w:rPr>
          <w:sz w:val="28"/>
          <w:szCs w:val="28"/>
        </w:rPr>
        <w:t>онлайн-</w:t>
      </w:r>
      <w:r>
        <w:rPr>
          <w:sz w:val="28"/>
          <w:szCs w:val="28"/>
        </w:rPr>
        <w:t>кредиты для приобретения основных средств и овердрафт</w:t>
      </w:r>
      <w:r w:rsidR="00CE33F7">
        <w:rPr>
          <w:sz w:val="28"/>
          <w:szCs w:val="28"/>
        </w:rPr>
        <w:t>а</w:t>
      </w:r>
      <w:r>
        <w:rPr>
          <w:sz w:val="28"/>
          <w:szCs w:val="28"/>
        </w:rPr>
        <w:t xml:space="preserve">. Рефинансированием кредитов МСП занимаются 17% банков, один из них – онлайн. Почти половина банков (48%) дают кредиты МСП на основе проектного финансирования. </w:t>
      </w:r>
    </w:p>
    <w:p w:rsidR="0036058C" w:rsidRDefault="00633593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Проекты энергоэффект</w:t>
      </w:r>
      <w:r w:rsidR="00F1172D">
        <w:rPr>
          <w:sz w:val="28"/>
          <w:szCs w:val="28"/>
        </w:rPr>
        <w:t>и</w:t>
      </w:r>
      <w:r>
        <w:rPr>
          <w:sz w:val="28"/>
          <w:szCs w:val="28"/>
        </w:rPr>
        <w:t>вности</w:t>
      </w:r>
      <w:r w:rsidR="0036058C">
        <w:rPr>
          <w:sz w:val="28"/>
          <w:szCs w:val="28"/>
        </w:rPr>
        <w:t>, социальные проекты кредитует лишь 22% банков, а кредитованием АПК занимаются лишь 39% банков. Лучшая мировая практика все шире использует бизнес-модель</w:t>
      </w:r>
      <w:bookmarkStart w:id="0" w:name="_GoBack"/>
      <w:bookmarkEnd w:id="0"/>
      <w:r w:rsidR="0036058C">
        <w:rPr>
          <w:sz w:val="28"/>
          <w:szCs w:val="28"/>
        </w:rPr>
        <w:t xml:space="preserve"> банкинга на основе принципов </w:t>
      </w:r>
      <w:r w:rsidR="0036058C">
        <w:rPr>
          <w:sz w:val="28"/>
          <w:szCs w:val="28"/>
          <w:lang w:val="en-US"/>
        </w:rPr>
        <w:t>ESG</w:t>
      </w:r>
      <w:r w:rsidR="0036058C" w:rsidRPr="0036058C">
        <w:rPr>
          <w:sz w:val="28"/>
          <w:szCs w:val="28"/>
        </w:rPr>
        <w:t xml:space="preserve"> (</w:t>
      </w:r>
      <w:r w:rsidR="0036058C" w:rsidRPr="0036058C">
        <w:rPr>
          <w:sz w:val="28"/>
          <w:szCs w:val="28"/>
          <w:lang w:val="en-US"/>
        </w:rPr>
        <w:t>Envir</w:t>
      </w:r>
      <w:r w:rsidR="0036058C">
        <w:rPr>
          <w:sz w:val="28"/>
          <w:szCs w:val="28"/>
          <w:lang w:val="en-US"/>
        </w:rPr>
        <w:t>onmental</w:t>
      </w:r>
      <w:r w:rsidR="0036058C" w:rsidRPr="0036058C">
        <w:rPr>
          <w:sz w:val="28"/>
          <w:szCs w:val="28"/>
        </w:rPr>
        <w:t xml:space="preserve">, </w:t>
      </w:r>
      <w:r w:rsidR="0036058C">
        <w:rPr>
          <w:sz w:val="28"/>
          <w:szCs w:val="28"/>
          <w:lang w:val="en-US"/>
        </w:rPr>
        <w:t>Social</w:t>
      </w:r>
      <w:r w:rsidR="0036058C" w:rsidRPr="0036058C">
        <w:rPr>
          <w:sz w:val="28"/>
          <w:szCs w:val="28"/>
        </w:rPr>
        <w:t xml:space="preserve"> </w:t>
      </w:r>
      <w:r w:rsidR="0036058C">
        <w:rPr>
          <w:sz w:val="28"/>
          <w:szCs w:val="28"/>
          <w:lang w:val="en-US"/>
        </w:rPr>
        <w:t>and</w:t>
      </w:r>
      <w:r w:rsidR="0036058C" w:rsidRPr="0036058C">
        <w:rPr>
          <w:sz w:val="28"/>
          <w:szCs w:val="28"/>
        </w:rPr>
        <w:t xml:space="preserve"> </w:t>
      </w:r>
      <w:r w:rsidR="0036058C">
        <w:rPr>
          <w:sz w:val="28"/>
          <w:szCs w:val="28"/>
          <w:lang w:val="en-US"/>
        </w:rPr>
        <w:t>Governance</w:t>
      </w:r>
      <w:r w:rsidR="0036058C" w:rsidRPr="0036058C">
        <w:rPr>
          <w:sz w:val="28"/>
          <w:szCs w:val="28"/>
        </w:rPr>
        <w:t xml:space="preserve">) </w:t>
      </w:r>
      <w:r w:rsidR="00A73D59">
        <w:rPr>
          <w:sz w:val="28"/>
          <w:szCs w:val="28"/>
        </w:rPr>
        <w:t>–</w:t>
      </w:r>
      <w:r w:rsidR="0036058C" w:rsidRPr="0036058C">
        <w:rPr>
          <w:sz w:val="28"/>
          <w:szCs w:val="28"/>
        </w:rPr>
        <w:t xml:space="preserve"> экологического, социального и управления </w:t>
      </w:r>
      <w:r w:rsidR="0036058C">
        <w:rPr>
          <w:sz w:val="28"/>
          <w:szCs w:val="28"/>
        </w:rPr>
        <w:t xml:space="preserve">и у российских банков здесь большой потенциал. </w:t>
      </w:r>
    </w:p>
    <w:p w:rsidR="00633593" w:rsidRDefault="0036058C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Банки оказывают МСП широкий спектр традиционных банковских услуг: рассчетно-кассовое обслуживание (100%), депозиты (91%), зарплатные проекты (</w:t>
      </w:r>
      <w:r w:rsidR="00E536C3">
        <w:rPr>
          <w:sz w:val="28"/>
          <w:szCs w:val="28"/>
        </w:rPr>
        <w:t xml:space="preserve">78%). Здесь следует учитывать тренды на изменение законодательства, связанные со страхованием средств МСП на счетах в банках, и свободу </w:t>
      </w:r>
      <w:r w:rsidR="00E536C3" w:rsidRPr="00E536C3">
        <w:rPr>
          <w:sz w:val="28"/>
          <w:szCs w:val="28"/>
        </w:rPr>
        <w:t>работник</w:t>
      </w:r>
      <w:r w:rsidR="00E536C3">
        <w:rPr>
          <w:sz w:val="28"/>
          <w:szCs w:val="28"/>
        </w:rPr>
        <w:t xml:space="preserve">а </w:t>
      </w:r>
      <w:r w:rsidR="00E536C3" w:rsidRPr="00E536C3">
        <w:rPr>
          <w:sz w:val="28"/>
          <w:szCs w:val="28"/>
        </w:rPr>
        <w:t>выбирать банк для начисления зарплаты (ч.3 ст. 136 ТК РФ).</w:t>
      </w:r>
      <w:r>
        <w:rPr>
          <w:sz w:val="28"/>
          <w:szCs w:val="28"/>
        </w:rPr>
        <w:t xml:space="preserve"> </w:t>
      </w:r>
      <w:r w:rsidR="00E536C3">
        <w:rPr>
          <w:sz w:val="28"/>
          <w:szCs w:val="28"/>
        </w:rPr>
        <w:t>В этом же направлении уже сегодня идут реализованы изменения в законодательстве европейских стран</w:t>
      </w:r>
      <w:r w:rsidR="00E536C3" w:rsidRPr="00E536C3">
        <w:rPr>
          <w:sz w:val="28"/>
          <w:szCs w:val="28"/>
        </w:rPr>
        <w:t xml:space="preserve"> (Директив</w:t>
      </w:r>
      <w:r w:rsidR="00E536C3">
        <w:rPr>
          <w:sz w:val="28"/>
          <w:szCs w:val="28"/>
        </w:rPr>
        <w:t>а</w:t>
      </w:r>
      <w:r w:rsidR="00E536C3" w:rsidRPr="00E536C3">
        <w:rPr>
          <w:sz w:val="28"/>
          <w:szCs w:val="28"/>
        </w:rPr>
        <w:t xml:space="preserve"> PSD2</w:t>
      </w:r>
      <w:r w:rsidR="00E536C3">
        <w:rPr>
          <w:sz w:val="28"/>
          <w:szCs w:val="28"/>
        </w:rPr>
        <w:t>).</w:t>
      </w:r>
    </w:p>
    <w:p w:rsidR="00633593" w:rsidRDefault="00E536C3" w:rsidP="00C14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удовлетворением следует отметить, что </w:t>
      </w:r>
      <w:r w:rsidR="007A5A7C">
        <w:rPr>
          <w:sz w:val="28"/>
          <w:szCs w:val="28"/>
        </w:rPr>
        <w:t xml:space="preserve">банки предоставляют в режиме онлайн </w:t>
      </w:r>
      <w:r>
        <w:rPr>
          <w:sz w:val="28"/>
          <w:szCs w:val="28"/>
        </w:rPr>
        <w:t>услуги по РКО (39%), обслуживани</w:t>
      </w:r>
      <w:r w:rsidR="007A5A7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A6A79">
        <w:rPr>
          <w:sz w:val="28"/>
          <w:szCs w:val="28"/>
        </w:rPr>
        <w:t>депозитов (</w:t>
      </w:r>
      <w:r>
        <w:rPr>
          <w:sz w:val="28"/>
          <w:szCs w:val="28"/>
        </w:rPr>
        <w:t xml:space="preserve">30%) и зарплаты (22%). </w:t>
      </w:r>
      <w:r w:rsidR="008A6A79">
        <w:rPr>
          <w:sz w:val="28"/>
          <w:szCs w:val="28"/>
        </w:rPr>
        <w:t>Банки активно (61%) предоставляют гарантии, в том числе в силу закона (57%), в режиме онлайн осуществляется уже 13% таких услуг. Для МСП банки предоставляют услуги эк</w:t>
      </w:r>
      <w:r w:rsidR="00A73D59">
        <w:rPr>
          <w:sz w:val="28"/>
          <w:szCs w:val="28"/>
        </w:rPr>
        <w:t>вайринга (61%), в том числе 9% –</w:t>
      </w:r>
      <w:r w:rsidR="008A6A79">
        <w:rPr>
          <w:sz w:val="28"/>
          <w:szCs w:val="28"/>
        </w:rPr>
        <w:t xml:space="preserve"> онлайн. Банки оказывают услуги по торговому финансированию и документарным операциям: аккредитивы (</w:t>
      </w:r>
      <w:r w:rsidR="008A6A79" w:rsidRPr="008A6A79">
        <w:rPr>
          <w:sz w:val="28"/>
          <w:szCs w:val="28"/>
        </w:rPr>
        <w:t>70%</w:t>
      </w:r>
      <w:r w:rsidR="008A6A79">
        <w:rPr>
          <w:sz w:val="28"/>
          <w:szCs w:val="28"/>
        </w:rPr>
        <w:t>),</w:t>
      </w:r>
      <w:r w:rsidR="008A6A79" w:rsidRPr="008A6A79">
        <w:rPr>
          <w:sz w:val="28"/>
          <w:szCs w:val="28"/>
        </w:rPr>
        <w:t xml:space="preserve"> гарантии</w:t>
      </w:r>
      <w:r w:rsidR="00A73D59">
        <w:rPr>
          <w:sz w:val="28"/>
          <w:szCs w:val="28"/>
        </w:rPr>
        <w:t xml:space="preserve"> </w:t>
      </w:r>
      <w:r w:rsidR="008A6A79" w:rsidRPr="008A6A79">
        <w:rPr>
          <w:sz w:val="28"/>
          <w:szCs w:val="28"/>
        </w:rPr>
        <w:tab/>
      </w:r>
      <w:r w:rsidR="008A6A79">
        <w:rPr>
          <w:sz w:val="28"/>
          <w:szCs w:val="28"/>
        </w:rPr>
        <w:t>(</w:t>
      </w:r>
      <w:r w:rsidR="008A6A79" w:rsidRPr="008A6A79">
        <w:rPr>
          <w:sz w:val="28"/>
          <w:szCs w:val="28"/>
        </w:rPr>
        <w:t>48%</w:t>
      </w:r>
      <w:r w:rsidR="008A6A79">
        <w:rPr>
          <w:sz w:val="28"/>
          <w:szCs w:val="28"/>
        </w:rPr>
        <w:t>), инкассо (</w:t>
      </w:r>
      <w:r w:rsidR="008A6A79" w:rsidRPr="008A6A79">
        <w:rPr>
          <w:sz w:val="28"/>
          <w:szCs w:val="28"/>
        </w:rPr>
        <w:t>26%</w:t>
      </w:r>
      <w:r w:rsidR="008A6A79">
        <w:rPr>
          <w:sz w:val="28"/>
          <w:szCs w:val="28"/>
        </w:rPr>
        <w:t>), все более активно использую</w:t>
      </w:r>
      <w:r w:rsidR="00A73D59">
        <w:rPr>
          <w:sz w:val="28"/>
          <w:szCs w:val="28"/>
        </w:rPr>
        <w:t>т</w:t>
      </w:r>
      <w:r w:rsidR="008A6A79">
        <w:rPr>
          <w:sz w:val="28"/>
          <w:szCs w:val="28"/>
        </w:rPr>
        <w:t xml:space="preserve"> для таких операций режимы</w:t>
      </w:r>
      <w:r w:rsidR="008A6A79" w:rsidRPr="008A6A79">
        <w:rPr>
          <w:sz w:val="28"/>
          <w:szCs w:val="28"/>
        </w:rPr>
        <w:t xml:space="preserve"> </w:t>
      </w:r>
      <w:r w:rsidR="008A6A79">
        <w:rPr>
          <w:sz w:val="28"/>
          <w:szCs w:val="28"/>
        </w:rPr>
        <w:t>онлайн</w:t>
      </w:r>
      <w:r w:rsidR="007A5A7C">
        <w:rPr>
          <w:sz w:val="28"/>
          <w:szCs w:val="28"/>
        </w:rPr>
        <w:t>.</w:t>
      </w:r>
    </w:p>
    <w:p w:rsidR="00633593" w:rsidRDefault="00633593" w:rsidP="002F6B4E">
      <w:pPr>
        <w:rPr>
          <w:sz w:val="28"/>
          <w:szCs w:val="28"/>
        </w:rPr>
      </w:pPr>
    </w:p>
    <w:p w:rsidR="00633593" w:rsidRPr="008A6A79" w:rsidRDefault="008A6A79" w:rsidP="008A6A7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Услуги банков для МСП (доля банков, оказывающих услуги данного вида)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03"/>
        <w:gridCol w:w="1484"/>
        <w:gridCol w:w="1418"/>
      </w:tblGrid>
      <w:tr w:rsidR="00ED5948" w:rsidRPr="00ED5948" w:rsidTr="00411AAA">
        <w:trPr>
          <w:trHeight w:val="6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>Кредиты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48" w:rsidRPr="00ED5948" w:rsidRDefault="00ED5948" w:rsidP="008A6A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5948">
              <w:rPr>
                <w:b/>
                <w:bCs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48" w:rsidRPr="00ED5948" w:rsidRDefault="00ED5948" w:rsidP="008A6A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5948">
              <w:rPr>
                <w:b/>
                <w:bCs/>
                <w:color w:val="000000"/>
                <w:sz w:val="16"/>
                <w:szCs w:val="16"/>
              </w:rPr>
              <w:t>Услуги онлайн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>на пополнение оборотных средств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9%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>на приобретение основных средств (включая недвижимое имущество)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96%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>овердрафт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91%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>проектное финансирование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48%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0%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>рефинансирование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74%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 xml:space="preserve">проекты </w:t>
            </w:r>
            <w:proofErr w:type="spellStart"/>
            <w:r w:rsidR="00ED5948" w:rsidRPr="00ED5948">
              <w:rPr>
                <w:color w:val="000000"/>
                <w:sz w:val="16"/>
                <w:szCs w:val="16"/>
              </w:rPr>
              <w:t>энергоэфективности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22%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0%</w:t>
            </w:r>
          </w:p>
        </w:tc>
      </w:tr>
      <w:tr w:rsidR="00ED5948" w:rsidRPr="00ED5948" w:rsidTr="00411AAA">
        <w:trPr>
          <w:trHeight w:val="78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>проекты в сфере АПК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39%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0%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ED5948" w:rsidRPr="00ED5948">
              <w:rPr>
                <w:color w:val="000000"/>
                <w:sz w:val="16"/>
                <w:szCs w:val="16"/>
              </w:rPr>
              <w:t>проекты в социальной сфере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22%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0%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ED5948" w:rsidRPr="00ED5948">
              <w:rPr>
                <w:color w:val="000000"/>
                <w:sz w:val="16"/>
                <w:szCs w:val="16"/>
              </w:rPr>
              <w:t>анковские гарантии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61%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13%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 xml:space="preserve">          </w:t>
            </w:r>
            <w:r w:rsidR="00D57019">
              <w:rPr>
                <w:color w:val="000000"/>
                <w:sz w:val="16"/>
                <w:szCs w:val="16"/>
              </w:rPr>
              <w:t xml:space="preserve">      </w:t>
            </w:r>
            <w:r w:rsidRPr="00ED5948">
              <w:rPr>
                <w:color w:val="000000"/>
                <w:sz w:val="16"/>
                <w:szCs w:val="16"/>
              </w:rPr>
              <w:t>в том числе банковские гарантии в силу закона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57%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13%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>Факторинг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43%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0%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>Торговое финансирование и документарные операции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ED5948" w:rsidRPr="00ED5948">
              <w:rPr>
                <w:color w:val="000000"/>
                <w:sz w:val="16"/>
                <w:szCs w:val="16"/>
              </w:rPr>
              <w:t>аккредитивы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70%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ED5948" w:rsidRPr="00ED5948">
              <w:rPr>
                <w:color w:val="000000"/>
                <w:sz w:val="16"/>
                <w:szCs w:val="16"/>
              </w:rPr>
              <w:t>гарантии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48%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9%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D57019" w:rsidP="00ED59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ED5948" w:rsidRPr="00ED5948">
              <w:rPr>
                <w:color w:val="000000"/>
                <w:sz w:val="16"/>
                <w:szCs w:val="16"/>
              </w:rPr>
              <w:t>инкассо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26%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>Эквайринг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61%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9%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>Срочные депозиты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91%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30%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>Зарплатные проекты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78%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22%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 xml:space="preserve">РКО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39%</w:t>
            </w:r>
          </w:p>
        </w:tc>
      </w:tr>
      <w:tr w:rsidR="00ED5948" w:rsidRPr="00ED5948" w:rsidTr="00411AAA">
        <w:trPr>
          <w:trHeight w:val="50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48" w:rsidRPr="00ED5948" w:rsidRDefault="00ED5948" w:rsidP="00ED5948">
            <w:pPr>
              <w:rPr>
                <w:color w:val="000000"/>
                <w:sz w:val="16"/>
                <w:szCs w:val="16"/>
              </w:rPr>
            </w:pPr>
            <w:r w:rsidRPr="00ED5948">
              <w:rPr>
                <w:color w:val="000000"/>
                <w:sz w:val="16"/>
                <w:szCs w:val="16"/>
              </w:rPr>
              <w:t xml:space="preserve">прочее: ДБО, инкассация, M-POS, корпоративные карты, Центр </w:t>
            </w:r>
            <w:proofErr w:type="spellStart"/>
            <w:r w:rsidRPr="00ED5948">
              <w:rPr>
                <w:color w:val="000000"/>
                <w:sz w:val="16"/>
                <w:szCs w:val="16"/>
              </w:rPr>
              <w:t>финконтроля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26%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D5948" w:rsidRPr="0036058C" w:rsidRDefault="00ED5948" w:rsidP="008A6A79">
            <w:pPr>
              <w:jc w:val="center"/>
              <w:rPr>
                <w:color w:val="000000"/>
                <w:sz w:val="16"/>
                <w:szCs w:val="16"/>
              </w:rPr>
            </w:pPr>
            <w:r w:rsidRPr="0036058C">
              <w:rPr>
                <w:color w:val="000000"/>
                <w:sz w:val="16"/>
                <w:szCs w:val="16"/>
              </w:rPr>
              <w:t>4%</w:t>
            </w:r>
          </w:p>
        </w:tc>
      </w:tr>
    </w:tbl>
    <w:p w:rsidR="00ED5948" w:rsidRDefault="00ED5948" w:rsidP="002F6B4E">
      <w:pPr>
        <w:rPr>
          <w:sz w:val="28"/>
          <w:szCs w:val="28"/>
        </w:rPr>
      </w:pPr>
    </w:p>
    <w:p w:rsidR="00A73D59" w:rsidRDefault="00A73D59" w:rsidP="00411AAA">
      <w:pPr>
        <w:jc w:val="both"/>
        <w:rPr>
          <w:b/>
          <w:sz w:val="28"/>
          <w:szCs w:val="28"/>
        </w:rPr>
      </w:pPr>
    </w:p>
    <w:p w:rsidR="00A73D59" w:rsidRDefault="00A73D59" w:rsidP="00411AAA">
      <w:pPr>
        <w:jc w:val="both"/>
        <w:rPr>
          <w:b/>
          <w:sz w:val="28"/>
          <w:szCs w:val="28"/>
        </w:rPr>
      </w:pPr>
    </w:p>
    <w:p w:rsidR="00D57019" w:rsidRDefault="00D57019" w:rsidP="00411AAA">
      <w:pPr>
        <w:jc w:val="both"/>
        <w:rPr>
          <w:sz w:val="28"/>
          <w:szCs w:val="28"/>
        </w:rPr>
      </w:pPr>
      <w:r w:rsidRPr="004617AD">
        <w:rPr>
          <w:b/>
          <w:sz w:val="28"/>
          <w:szCs w:val="28"/>
        </w:rPr>
        <w:lastRenderedPageBreak/>
        <w:t>Нефинансовые услуги банков</w:t>
      </w:r>
      <w:r>
        <w:rPr>
          <w:sz w:val="28"/>
          <w:szCs w:val="28"/>
        </w:rPr>
        <w:t xml:space="preserve"> – это не благотворительность и не дополнительные издержки, а обязательный элемент управления рисками в целях устойчивого развития банка и его экосистемы. Банки, как правило, оказывают услуги в сферах, где наиболее высокие риски</w:t>
      </w:r>
      <w:r w:rsidR="00E56BFB">
        <w:rPr>
          <w:sz w:val="28"/>
          <w:szCs w:val="28"/>
        </w:rPr>
        <w:t xml:space="preserve">: 65% банков консультируют своих клиентов по вопросам внешнеэкономической деятельности. Риски развития экосистемы заставляют банки более активно заниматься обучением клиентов (48% банков), консультациями по вопросам права (43%), бухгалтерского (35%) и налогового учета (22%). Банки развивают свои экосистемы организуя наставничество (13%) и прочие (22%) услуги. </w:t>
      </w:r>
    </w:p>
    <w:p w:rsidR="00D57019" w:rsidRDefault="00D57019" w:rsidP="002F6B4E">
      <w:pPr>
        <w:rPr>
          <w:sz w:val="28"/>
          <w:szCs w:val="28"/>
        </w:rPr>
      </w:pPr>
    </w:p>
    <w:p w:rsidR="00D57019" w:rsidRPr="00D57019" w:rsidRDefault="00D57019" w:rsidP="00D57019">
      <w:pPr>
        <w:jc w:val="center"/>
        <w:rPr>
          <w:b/>
          <w:sz w:val="16"/>
          <w:szCs w:val="16"/>
        </w:rPr>
      </w:pPr>
      <w:r w:rsidRPr="00D57019">
        <w:rPr>
          <w:b/>
          <w:sz w:val="16"/>
          <w:szCs w:val="16"/>
        </w:rPr>
        <w:t>Нефинансовые услуги банков</w:t>
      </w:r>
      <w:r w:rsidR="00E56BFB">
        <w:rPr>
          <w:b/>
          <w:sz w:val="16"/>
          <w:szCs w:val="16"/>
        </w:rPr>
        <w:t xml:space="preserve"> </w:t>
      </w:r>
      <w:r w:rsidRPr="00D57019">
        <w:rPr>
          <w:b/>
          <w:sz w:val="16"/>
          <w:szCs w:val="16"/>
        </w:rPr>
        <w:t>(доля банков, оказывающих услуги данного вида)</w:t>
      </w:r>
    </w:p>
    <w:tbl>
      <w:tblPr>
        <w:tblW w:w="9339" w:type="dxa"/>
        <w:jc w:val="center"/>
        <w:tblLook w:val="04A0" w:firstRow="1" w:lastRow="0" w:firstColumn="1" w:lastColumn="0" w:noHBand="0" w:noVBand="1"/>
      </w:tblPr>
      <w:tblGrid>
        <w:gridCol w:w="8278"/>
        <w:gridCol w:w="1061"/>
      </w:tblGrid>
      <w:tr w:rsidR="008A6A79" w:rsidRPr="008A6A79" w:rsidTr="00411AAA">
        <w:trPr>
          <w:trHeight w:val="50"/>
          <w:jc w:val="center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A79" w:rsidRPr="008A6A79" w:rsidRDefault="008A6A79" w:rsidP="008A6A79">
            <w:pPr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юридические консультации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A6A79" w:rsidRPr="008A6A79" w:rsidRDefault="008A6A79" w:rsidP="00D57019">
            <w:pPr>
              <w:jc w:val="center"/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43%</w:t>
            </w:r>
          </w:p>
        </w:tc>
      </w:tr>
      <w:tr w:rsidR="008A6A79" w:rsidRPr="008A6A79" w:rsidTr="00411AAA">
        <w:trPr>
          <w:trHeight w:val="50"/>
          <w:jc w:val="center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A79" w:rsidRPr="008A6A79" w:rsidRDefault="008A6A79" w:rsidP="008A6A79">
            <w:pPr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налоговые консультации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A6A79" w:rsidRPr="008A6A79" w:rsidRDefault="008A6A79" w:rsidP="00D57019">
            <w:pPr>
              <w:jc w:val="center"/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22%</w:t>
            </w:r>
          </w:p>
        </w:tc>
      </w:tr>
      <w:tr w:rsidR="008A6A79" w:rsidRPr="008A6A79" w:rsidTr="00411AAA">
        <w:trPr>
          <w:trHeight w:val="50"/>
          <w:jc w:val="center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A79" w:rsidRPr="008A6A79" w:rsidRDefault="008A6A79" w:rsidP="008A6A79">
            <w:pPr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ведение бухгалтерского учета клиентов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A6A79" w:rsidRPr="008A6A79" w:rsidRDefault="008A6A79" w:rsidP="00D57019">
            <w:pPr>
              <w:jc w:val="center"/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35%</w:t>
            </w:r>
          </w:p>
        </w:tc>
      </w:tr>
      <w:tr w:rsidR="008A6A79" w:rsidRPr="008A6A79" w:rsidTr="00411AAA">
        <w:trPr>
          <w:trHeight w:val="50"/>
          <w:jc w:val="center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A79" w:rsidRPr="008A6A79" w:rsidRDefault="008A6A79" w:rsidP="008A6A79">
            <w:pPr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обучение клиентов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A6A79" w:rsidRPr="008A6A79" w:rsidRDefault="008A6A79" w:rsidP="00D57019">
            <w:pPr>
              <w:jc w:val="center"/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48%</w:t>
            </w:r>
          </w:p>
        </w:tc>
      </w:tr>
      <w:tr w:rsidR="008A6A79" w:rsidRPr="008A6A79" w:rsidTr="00411AAA">
        <w:trPr>
          <w:trHeight w:val="50"/>
          <w:jc w:val="center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A79" w:rsidRPr="008A6A79" w:rsidRDefault="008A6A79" w:rsidP="008A6A79">
            <w:pPr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организация наставничества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A6A79" w:rsidRPr="008A6A79" w:rsidRDefault="008A6A79" w:rsidP="00D57019">
            <w:pPr>
              <w:jc w:val="center"/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13%</w:t>
            </w:r>
          </w:p>
        </w:tc>
      </w:tr>
      <w:tr w:rsidR="008A6A79" w:rsidRPr="008A6A79" w:rsidTr="00411AAA">
        <w:trPr>
          <w:trHeight w:val="50"/>
          <w:jc w:val="center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A79" w:rsidRPr="008A6A79" w:rsidRDefault="008A6A79" w:rsidP="008A6A79">
            <w:pPr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консультации по внешнеэкономической деятельности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A6A79" w:rsidRPr="008A6A79" w:rsidRDefault="008A6A79" w:rsidP="00D57019">
            <w:pPr>
              <w:jc w:val="center"/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65%</w:t>
            </w:r>
          </w:p>
        </w:tc>
      </w:tr>
      <w:tr w:rsidR="008A6A79" w:rsidRPr="008A6A79" w:rsidTr="00411AAA">
        <w:trPr>
          <w:trHeight w:val="50"/>
          <w:jc w:val="center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A79" w:rsidRPr="008A6A79" w:rsidRDefault="008A6A79" w:rsidP="008A6A79">
            <w:pPr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прочее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A6A79" w:rsidRPr="008A6A79" w:rsidRDefault="008A6A79" w:rsidP="00D57019">
            <w:pPr>
              <w:jc w:val="center"/>
              <w:rPr>
                <w:color w:val="000000"/>
                <w:sz w:val="16"/>
                <w:szCs w:val="16"/>
              </w:rPr>
            </w:pPr>
            <w:r w:rsidRPr="008A6A79">
              <w:rPr>
                <w:color w:val="000000"/>
                <w:sz w:val="16"/>
                <w:szCs w:val="16"/>
              </w:rPr>
              <w:t>22%</w:t>
            </w:r>
          </w:p>
        </w:tc>
      </w:tr>
    </w:tbl>
    <w:p w:rsidR="002F6B4E" w:rsidRDefault="002F6B4E">
      <w:pPr>
        <w:rPr>
          <w:sz w:val="28"/>
          <w:szCs w:val="28"/>
        </w:rPr>
      </w:pPr>
    </w:p>
    <w:p w:rsidR="00E56BFB" w:rsidRDefault="00E56BFB" w:rsidP="00411AAA">
      <w:pPr>
        <w:jc w:val="both"/>
        <w:rPr>
          <w:sz w:val="28"/>
          <w:szCs w:val="28"/>
        </w:rPr>
      </w:pPr>
      <w:r w:rsidRPr="004617AD">
        <w:rPr>
          <w:b/>
          <w:sz w:val="28"/>
          <w:szCs w:val="28"/>
        </w:rPr>
        <w:t>Источники финансирования МСП</w:t>
      </w:r>
      <w:r>
        <w:rPr>
          <w:sz w:val="28"/>
          <w:szCs w:val="28"/>
        </w:rPr>
        <w:t xml:space="preserve">. Почти все банки (96%) используют в качестве источников </w:t>
      </w:r>
      <w:r w:rsidR="00C5375F">
        <w:rPr>
          <w:sz w:val="28"/>
          <w:szCs w:val="28"/>
        </w:rPr>
        <w:t>финансирования депозиты</w:t>
      </w:r>
      <w:r>
        <w:rPr>
          <w:sz w:val="28"/>
          <w:szCs w:val="28"/>
        </w:rPr>
        <w:t xml:space="preserve"> населения и юридических лиц, а также текущие средства клиентов. </w:t>
      </w:r>
      <w:r w:rsidR="00C5375F">
        <w:rPr>
          <w:sz w:val="28"/>
          <w:szCs w:val="28"/>
        </w:rPr>
        <w:t>Банки активно взаимодействуют, предоставляя кредиты друг другу (61%), в основном, российских банков (26</w:t>
      </w:r>
      <w:r w:rsidR="004617AD">
        <w:rPr>
          <w:sz w:val="28"/>
          <w:szCs w:val="28"/>
        </w:rPr>
        <w:t>%), а</w:t>
      </w:r>
      <w:r w:rsidR="00C5375F">
        <w:rPr>
          <w:sz w:val="28"/>
          <w:szCs w:val="28"/>
        </w:rPr>
        <w:t xml:space="preserve"> два банка привлекают средства международных финансовых институтов. Достаточно активно банки размещают ценные бумаги (30% банков) и рефинансируют кредиты по </w:t>
      </w:r>
      <w:r w:rsidR="00C5375F" w:rsidRPr="00C5375F">
        <w:rPr>
          <w:sz w:val="28"/>
          <w:szCs w:val="28"/>
        </w:rPr>
        <w:t>Программе стимулирования кредитования АО «Корпорация «</w:t>
      </w:r>
      <w:r w:rsidR="004617AD" w:rsidRPr="00C5375F">
        <w:rPr>
          <w:sz w:val="28"/>
          <w:szCs w:val="28"/>
        </w:rPr>
        <w:t>МСП» (</w:t>
      </w:r>
      <w:r w:rsidR="00C5375F">
        <w:rPr>
          <w:sz w:val="28"/>
          <w:szCs w:val="28"/>
        </w:rPr>
        <w:t>26%).</w:t>
      </w:r>
    </w:p>
    <w:p w:rsidR="00E56BFB" w:rsidRPr="00E56BFB" w:rsidRDefault="00E56BFB" w:rsidP="00E56BFB">
      <w:pPr>
        <w:jc w:val="center"/>
        <w:rPr>
          <w:b/>
          <w:sz w:val="16"/>
          <w:szCs w:val="16"/>
        </w:rPr>
      </w:pPr>
      <w:r w:rsidRPr="00E56BFB">
        <w:rPr>
          <w:b/>
          <w:sz w:val="16"/>
          <w:szCs w:val="16"/>
        </w:rPr>
        <w:t>Источники средств финансирования МСП (доля банков, оказывающих услуги данного вида)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714"/>
        <w:gridCol w:w="1191"/>
      </w:tblGrid>
      <w:tr w:rsidR="00E56BFB" w:rsidRPr="00E56BFB" w:rsidTr="00411AAA">
        <w:trPr>
          <w:trHeight w:val="64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BFB" w:rsidRPr="00E56BFB" w:rsidRDefault="00E56BFB" w:rsidP="00E56BFB">
            <w:pPr>
              <w:rPr>
                <w:sz w:val="16"/>
                <w:szCs w:val="16"/>
              </w:rPr>
            </w:pPr>
            <w:r w:rsidRPr="00E56BFB">
              <w:rPr>
                <w:sz w:val="16"/>
                <w:szCs w:val="16"/>
              </w:rPr>
              <w:t>депозиты населения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96%</w:t>
            </w: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BFB" w:rsidRPr="00E56BFB" w:rsidRDefault="00E56BFB" w:rsidP="00E56BFB">
            <w:pPr>
              <w:rPr>
                <w:sz w:val="16"/>
                <w:szCs w:val="16"/>
              </w:rPr>
            </w:pPr>
            <w:r w:rsidRPr="00E56BFB">
              <w:rPr>
                <w:sz w:val="16"/>
                <w:szCs w:val="16"/>
              </w:rPr>
              <w:t>депозиты юридических лиц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96%</w:t>
            </w: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BFB" w:rsidRPr="00E56BFB" w:rsidRDefault="00E56BFB" w:rsidP="00E56BFB">
            <w:pPr>
              <w:rPr>
                <w:sz w:val="16"/>
                <w:szCs w:val="16"/>
              </w:rPr>
            </w:pPr>
            <w:r w:rsidRPr="00E56BFB">
              <w:rPr>
                <w:sz w:val="16"/>
                <w:szCs w:val="16"/>
              </w:rPr>
              <w:t>текущие средства клиентов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96%</w:t>
            </w: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BFB" w:rsidRPr="00E56BFB" w:rsidRDefault="00E56BFB" w:rsidP="00E56BFB">
            <w:pPr>
              <w:rPr>
                <w:sz w:val="16"/>
                <w:szCs w:val="16"/>
              </w:rPr>
            </w:pPr>
            <w:r w:rsidRPr="00E56BFB">
              <w:rPr>
                <w:sz w:val="16"/>
                <w:szCs w:val="16"/>
              </w:rPr>
              <w:t>межбанковские кредиты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61%</w:t>
            </w: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BFB" w:rsidRPr="00E56BFB" w:rsidRDefault="00E56BFB" w:rsidP="00E56BFB">
            <w:pPr>
              <w:rPr>
                <w:sz w:val="16"/>
                <w:szCs w:val="16"/>
              </w:rPr>
            </w:pPr>
            <w:r w:rsidRPr="00E56BFB">
              <w:rPr>
                <w:sz w:val="16"/>
                <w:szCs w:val="16"/>
              </w:rPr>
              <w:t>размещение ценных бумаг/облигации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30%</w:t>
            </w: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6BFB" w:rsidRPr="00E56BFB" w:rsidRDefault="00E56BFB" w:rsidP="00E56BFB">
            <w:pPr>
              <w:rPr>
                <w:sz w:val="16"/>
                <w:szCs w:val="16"/>
              </w:rPr>
            </w:pPr>
            <w:r w:rsidRPr="00E56BFB">
              <w:rPr>
                <w:sz w:val="16"/>
                <w:szCs w:val="16"/>
              </w:rPr>
              <w:t xml:space="preserve">рефинансирование кредитов по Программе стимулирования кредитования АО «Корпорация «МСП»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26%</w:t>
            </w: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BFB" w:rsidRPr="00E56BFB" w:rsidRDefault="00E56BFB" w:rsidP="00E56BFB">
            <w:pPr>
              <w:rPr>
                <w:sz w:val="16"/>
                <w:szCs w:val="16"/>
              </w:rPr>
            </w:pPr>
            <w:r w:rsidRPr="00E56BFB">
              <w:rPr>
                <w:sz w:val="16"/>
                <w:szCs w:val="16"/>
              </w:rPr>
              <w:t>межбанковские кредиты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BFB" w:rsidRPr="00E56BFB" w:rsidRDefault="00C5375F" w:rsidP="00E56B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E56BFB" w:rsidRPr="00E56BFB">
              <w:rPr>
                <w:sz w:val="16"/>
                <w:szCs w:val="16"/>
              </w:rPr>
              <w:t>Российских банков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26%</w:t>
            </w:r>
          </w:p>
        </w:tc>
      </w:tr>
      <w:tr w:rsidR="00E56BFB" w:rsidRPr="00E56BFB" w:rsidTr="00411AAA">
        <w:trPr>
          <w:trHeight w:val="51"/>
          <w:jc w:val="center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6BFB" w:rsidRPr="00E56BFB" w:rsidRDefault="00C5375F" w:rsidP="00E56B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E56BFB" w:rsidRPr="00E56BFB">
              <w:rPr>
                <w:sz w:val="16"/>
                <w:szCs w:val="16"/>
              </w:rPr>
              <w:t>международных финансовых институтов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56BFB" w:rsidRPr="00E56BFB" w:rsidRDefault="00E56BFB" w:rsidP="00E56BFB">
            <w:pPr>
              <w:jc w:val="center"/>
              <w:rPr>
                <w:color w:val="000000"/>
                <w:sz w:val="16"/>
                <w:szCs w:val="16"/>
              </w:rPr>
            </w:pPr>
            <w:r w:rsidRPr="00E56BFB">
              <w:rPr>
                <w:color w:val="000000"/>
                <w:sz w:val="16"/>
                <w:szCs w:val="16"/>
              </w:rPr>
              <w:t>9%</w:t>
            </w:r>
          </w:p>
        </w:tc>
      </w:tr>
    </w:tbl>
    <w:p w:rsidR="008A6A79" w:rsidRDefault="008A6A79">
      <w:pPr>
        <w:rPr>
          <w:sz w:val="28"/>
          <w:szCs w:val="28"/>
        </w:rPr>
      </w:pPr>
    </w:p>
    <w:p w:rsidR="00C5375F" w:rsidRDefault="00095FAC" w:rsidP="00411AAA">
      <w:pPr>
        <w:jc w:val="both"/>
        <w:rPr>
          <w:sz w:val="28"/>
          <w:szCs w:val="28"/>
        </w:rPr>
      </w:pPr>
      <w:r w:rsidRPr="004617AD">
        <w:rPr>
          <w:b/>
          <w:sz w:val="28"/>
          <w:szCs w:val="28"/>
        </w:rPr>
        <w:t>Поддержка МСП</w:t>
      </w:r>
      <w:r>
        <w:rPr>
          <w:sz w:val="28"/>
          <w:szCs w:val="28"/>
        </w:rPr>
        <w:t xml:space="preserve"> в рамках г</w:t>
      </w:r>
      <w:r w:rsidR="00C5375F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ых/муниципальных программ осуществляется активно во всех формах: </w:t>
      </w:r>
      <w:r w:rsidR="007A5A7C">
        <w:rPr>
          <w:sz w:val="28"/>
          <w:szCs w:val="28"/>
        </w:rPr>
        <w:t>более 70%</w:t>
      </w:r>
      <w:r>
        <w:rPr>
          <w:sz w:val="28"/>
          <w:szCs w:val="28"/>
        </w:rPr>
        <w:t xml:space="preserve"> банков отметили</w:t>
      </w:r>
      <w:r w:rsidR="007A5A7C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для их клиентов доступны субсидирование процентах ставок, а также гарантийная и информационная поддержк</w:t>
      </w:r>
      <w:r w:rsidR="00B160C3">
        <w:rPr>
          <w:sz w:val="28"/>
          <w:szCs w:val="28"/>
        </w:rPr>
        <w:t>а</w:t>
      </w:r>
      <w:r>
        <w:rPr>
          <w:sz w:val="28"/>
          <w:szCs w:val="28"/>
        </w:rPr>
        <w:t>. Уверенные ответы банков означают, что они взаимодействуют с органами власти по всем видам поддержки.</w:t>
      </w:r>
    </w:p>
    <w:p w:rsidR="004617AD" w:rsidRDefault="004617AD" w:rsidP="004617AD">
      <w:pPr>
        <w:jc w:val="center"/>
        <w:rPr>
          <w:b/>
          <w:sz w:val="16"/>
          <w:szCs w:val="16"/>
        </w:rPr>
      </w:pPr>
    </w:p>
    <w:p w:rsidR="004617AD" w:rsidRDefault="00C5375F" w:rsidP="004617AD">
      <w:pPr>
        <w:jc w:val="center"/>
        <w:rPr>
          <w:b/>
          <w:sz w:val="16"/>
          <w:szCs w:val="16"/>
        </w:rPr>
      </w:pPr>
      <w:r w:rsidRPr="00C5375F">
        <w:rPr>
          <w:b/>
          <w:sz w:val="16"/>
          <w:szCs w:val="16"/>
        </w:rPr>
        <w:t>Доступные формы государственной/муниципальной поддержки для клиентов банка</w:t>
      </w:r>
    </w:p>
    <w:p w:rsidR="00C5375F" w:rsidRPr="00C5375F" w:rsidRDefault="00C5375F" w:rsidP="004617AD">
      <w:pPr>
        <w:jc w:val="center"/>
        <w:rPr>
          <w:b/>
          <w:sz w:val="16"/>
          <w:szCs w:val="16"/>
        </w:rPr>
      </w:pPr>
      <w:r w:rsidRPr="00C5375F">
        <w:rPr>
          <w:b/>
          <w:sz w:val="16"/>
          <w:szCs w:val="16"/>
        </w:rPr>
        <w:t>(доля банков, указавших данный вид поддержки)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99"/>
        <w:gridCol w:w="1206"/>
      </w:tblGrid>
      <w:tr w:rsidR="00C5375F" w:rsidTr="00C5375F">
        <w:trPr>
          <w:trHeight w:val="51"/>
        </w:trPr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5F" w:rsidRPr="00C5375F" w:rsidRDefault="00C5375F" w:rsidP="00C5375F">
            <w:pPr>
              <w:rPr>
                <w:sz w:val="16"/>
                <w:szCs w:val="16"/>
              </w:rPr>
            </w:pPr>
            <w:r w:rsidRPr="00C5375F">
              <w:rPr>
                <w:sz w:val="16"/>
                <w:szCs w:val="16"/>
              </w:rPr>
              <w:t>субсидирование части процентной ставки по инвестиционным проектам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75F" w:rsidRPr="00C5375F" w:rsidRDefault="00C5375F" w:rsidP="00C5375F">
            <w:pPr>
              <w:jc w:val="center"/>
              <w:rPr>
                <w:color w:val="000000"/>
                <w:sz w:val="16"/>
                <w:szCs w:val="16"/>
              </w:rPr>
            </w:pPr>
            <w:r w:rsidRPr="00C5375F">
              <w:rPr>
                <w:color w:val="000000"/>
                <w:sz w:val="16"/>
                <w:szCs w:val="16"/>
              </w:rPr>
              <w:t>74%</w:t>
            </w:r>
          </w:p>
        </w:tc>
      </w:tr>
      <w:tr w:rsidR="00C5375F" w:rsidTr="00C5375F">
        <w:trPr>
          <w:trHeight w:val="51"/>
        </w:trPr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5F" w:rsidRPr="00C5375F" w:rsidRDefault="00C5375F" w:rsidP="00C5375F">
            <w:pPr>
              <w:rPr>
                <w:sz w:val="16"/>
                <w:szCs w:val="16"/>
              </w:rPr>
            </w:pPr>
            <w:r w:rsidRPr="00C5375F">
              <w:rPr>
                <w:sz w:val="16"/>
                <w:szCs w:val="16"/>
              </w:rPr>
              <w:t>субсидирование процентных ставок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75F" w:rsidRPr="00C5375F" w:rsidRDefault="00C5375F" w:rsidP="00C5375F">
            <w:pPr>
              <w:jc w:val="center"/>
              <w:rPr>
                <w:color w:val="000000"/>
                <w:sz w:val="16"/>
                <w:szCs w:val="16"/>
              </w:rPr>
            </w:pPr>
            <w:r w:rsidRPr="00C5375F">
              <w:rPr>
                <w:color w:val="000000"/>
                <w:sz w:val="16"/>
                <w:szCs w:val="16"/>
              </w:rPr>
              <w:t>61%</w:t>
            </w:r>
          </w:p>
        </w:tc>
      </w:tr>
      <w:tr w:rsidR="00C5375F" w:rsidTr="00C5375F">
        <w:trPr>
          <w:trHeight w:val="56"/>
        </w:trPr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5F" w:rsidRPr="00C5375F" w:rsidRDefault="00C5375F" w:rsidP="00C5375F">
            <w:pPr>
              <w:rPr>
                <w:sz w:val="16"/>
                <w:szCs w:val="16"/>
              </w:rPr>
            </w:pPr>
            <w:r w:rsidRPr="00C5375F">
              <w:rPr>
                <w:sz w:val="16"/>
                <w:szCs w:val="16"/>
              </w:rPr>
              <w:t>гарантийная поддержка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75F" w:rsidRPr="00C5375F" w:rsidRDefault="00C5375F" w:rsidP="00C5375F">
            <w:pPr>
              <w:jc w:val="center"/>
              <w:rPr>
                <w:color w:val="000000"/>
                <w:sz w:val="16"/>
                <w:szCs w:val="16"/>
              </w:rPr>
            </w:pPr>
            <w:r w:rsidRPr="00C5375F">
              <w:rPr>
                <w:color w:val="000000"/>
                <w:sz w:val="16"/>
                <w:szCs w:val="16"/>
              </w:rPr>
              <w:t>74%</w:t>
            </w:r>
          </w:p>
        </w:tc>
      </w:tr>
      <w:tr w:rsidR="00C5375F" w:rsidTr="00C5375F">
        <w:trPr>
          <w:trHeight w:val="51"/>
        </w:trPr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5F" w:rsidRPr="00C5375F" w:rsidRDefault="00C5375F" w:rsidP="00C5375F">
            <w:pPr>
              <w:rPr>
                <w:sz w:val="16"/>
                <w:szCs w:val="16"/>
              </w:rPr>
            </w:pPr>
            <w:r w:rsidRPr="00C5375F">
              <w:rPr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75F" w:rsidRPr="00C5375F" w:rsidRDefault="00C5375F" w:rsidP="00C5375F">
            <w:pPr>
              <w:jc w:val="center"/>
              <w:rPr>
                <w:color w:val="000000"/>
                <w:sz w:val="16"/>
                <w:szCs w:val="16"/>
              </w:rPr>
            </w:pPr>
            <w:r w:rsidRPr="00C5375F">
              <w:rPr>
                <w:color w:val="000000"/>
                <w:sz w:val="16"/>
                <w:szCs w:val="16"/>
              </w:rPr>
              <w:t>70%</w:t>
            </w:r>
          </w:p>
        </w:tc>
      </w:tr>
      <w:tr w:rsidR="00C5375F" w:rsidTr="00C5375F">
        <w:trPr>
          <w:trHeight w:val="51"/>
        </w:trPr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5F" w:rsidRPr="00C5375F" w:rsidRDefault="00C5375F" w:rsidP="00C5375F">
            <w:pPr>
              <w:rPr>
                <w:color w:val="000000"/>
                <w:sz w:val="16"/>
                <w:szCs w:val="16"/>
              </w:rPr>
            </w:pPr>
            <w:r w:rsidRPr="00C5375F">
              <w:rPr>
                <w:color w:val="000000"/>
                <w:sz w:val="16"/>
                <w:szCs w:val="16"/>
              </w:rPr>
              <w:t>прочее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75F" w:rsidRPr="00C5375F" w:rsidRDefault="00C5375F" w:rsidP="00C5375F">
            <w:pPr>
              <w:jc w:val="center"/>
              <w:rPr>
                <w:color w:val="000000"/>
                <w:sz w:val="16"/>
                <w:szCs w:val="16"/>
              </w:rPr>
            </w:pPr>
            <w:r w:rsidRPr="00C5375F">
              <w:rPr>
                <w:color w:val="000000"/>
                <w:sz w:val="16"/>
                <w:szCs w:val="16"/>
              </w:rPr>
              <w:t>4%</w:t>
            </w:r>
          </w:p>
        </w:tc>
      </w:tr>
    </w:tbl>
    <w:p w:rsidR="007A5A7C" w:rsidRDefault="007A5A7C">
      <w:pPr>
        <w:rPr>
          <w:sz w:val="28"/>
          <w:szCs w:val="28"/>
        </w:rPr>
      </w:pPr>
    </w:p>
    <w:p w:rsidR="00C5375F" w:rsidRDefault="00095FAC" w:rsidP="0041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дружно банки отметили меры по поддержке рынка кредитов МСП, указав на необходимость не только финансовой поддержки (83%), но в равной степени также нефинансовой поддержки (78%), </w:t>
      </w:r>
      <w:r w:rsidR="007A5A7C">
        <w:rPr>
          <w:sz w:val="28"/>
          <w:szCs w:val="28"/>
        </w:rPr>
        <w:t xml:space="preserve">а </w:t>
      </w:r>
      <w:r w:rsidR="00BD7258">
        <w:rPr>
          <w:sz w:val="28"/>
          <w:szCs w:val="28"/>
        </w:rPr>
        <w:t>также</w:t>
      </w:r>
      <w:r w:rsidR="007A5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уменьшение давления контролирующих органов (74%) и оптимизацию работы с АО Корпорация «МСП» (70%). </w:t>
      </w:r>
    </w:p>
    <w:p w:rsidR="00A73D59" w:rsidRDefault="00A73D59" w:rsidP="00411AAA">
      <w:pPr>
        <w:jc w:val="both"/>
        <w:rPr>
          <w:sz w:val="28"/>
          <w:szCs w:val="28"/>
        </w:rPr>
      </w:pPr>
    </w:p>
    <w:p w:rsidR="004617AD" w:rsidRDefault="004617AD" w:rsidP="00095FAC">
      <w:pPr>
        <w:jc w:val="center"/>
        <w:rPr>
          <w:b/>
          <w:color w:val="000000"/>
          <w:sz w:val="16"/>
          <w:szCs w:val="16"/>
        </w:rPr>
      </w:pPr>
    </w:p>
    <w:p w:rsidR="00095FAC" w:rsidRPr="00095FAC" w:rsidRDefault="00095FAC" w:rsidP="00095FAC">
      <w:pPr>
        <w:jc w:val="center"/>
        <w:rPr>
          <w:b/>
          <w:sz w:val="28"/>
          <w:szCs w:val="28"/>
        </w:rPr>
      </w:pPr>
      <w:r w:rsidRPr="00095FAC">
        <w:rPr>
          <w:b/>
          <w:color w:val="000000"/>
          <w:sz w:val="16"/>
          <w:szCs w:val="16"/>
        </w:rPr>
        <w:t>Меры</w:t>
      </w:r>
      <w:r>
        <w:rPr>
          <w:b/>
          <w:color w:val="000000"/>
          <w:sz w:val="16"/>
          <w:szCs w:val="16"/>
        </w:rPr>
        <w:t xml:space="preserve"> поддержки </w:t>
      </w:r>
      <w:r w:rsidRPr="00095FAC">
        <w:rPr>
          <w:b/>
          <w:color w:val="000000"/>
          <w:sz w:val="16"/>
          <w:szCs w:val="16"/>
        </w:rPr>
        <w:t>рынка кредитования МС</w:t>
      </w:r>
      <w:r>
        <w:rPr>
          <w:b/>
          <w:color w:val="000000"/>
          <w:sz w:val="16"/>
          <w:szCs w:val="16"/>
        </w:rPr>
        <w:t xml:space="preserve">П </w:t>
      </w:r>
      <w:r w:rsidRPr="00095FAC">
        <w:rPr>
          <w:b/>
          <w:color w:val="000000"/>
          <w:sz w:val="16"/>
          <w:szCs w:val="16"/>
        </w:rPr>
        <w:t>(доля банков, указавших данный вид поддержки)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4"/>
        <w:gridCol w:w="1191"/>
      </w:tblGrid>
      <w:tr w:rsidR="00095FAC" w:rsidRPr="00095FAC" w:rsidTr="00095FAC">
        <w:trPr>
          <w:trHeight w:val="51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FAC" w:rsidRPr="00095FAC" w:rsidRDefault="004617AD" w:rsidP="00095F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</w:t>
            </w:r>
            <w:r w:rsidR="00095FAC" w:rsidRPr="00095FAC">
              <w:rPr>
                <w:color w:val="000000"/>
                <w:sz w:val="16"/>
                <w:szCs w:val="16"/>
              </w:rPr>
              <w:t>осударственная финансовая поддержка (субсидии, гранты и т.д.)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5FAC" w:rsidRPr="00095FAC" w:rsidRDefault="00095FAC" w:rsidP="00095FAC">
            <w:pPr>
              <w:jc w:val="center"/>
              <w:rPr>
                <w:color w:val="000000"/>
                <w:sz w:val="16"/>
                <w:szCs w:val="16"/>
              </w:rPr>
            </w:pPr>
            <w:r w:rsidRPr="00095FAC">
              <w:rPr>
                <w:color w:val="000000"/>
                <w:sz w:val="16"/>
                <w:szCs w:val="16"/>
              </w:rPr>
              <w:t>83%</w:t>
            </w:r>
          </w:p>
        </w:tc>
      </w:tr>
      <w:tr w:rsidR="00095FAC" w:rsidRPr="00095FAC" w:rsidTr="00095FAC">
        <w:trPr>
          <w:trHeight w:val="51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FAC" w:rsidRPr="00095FAC" w:rsidRDefault="004617AD" w:rsidP="00095F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095FAC" w:rsidRPr="00095FAC">
              <w:rPr>
                <w:color w:val="000000"/>
                <w:sz w:val="16"/>
                <w:szCs w:val="16"/>
              </w:rPr>
              <w:t>осударственная нефинансовая поддержка (проведение мероприятий, конкурсов, семинаров и т.д.)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5FAC" w:rsidRPr="00095FAC" w:rsidRDefault="00095FAC" w:rsidP="00095FAC">
            <w:pPr>
              <w:jc w:val="center"/>
              <w:rPr>
                <w:color w:val="000000"/>
                <w:sz w:val="16"/>
                <w:szCs w:val="16"/>
              </w:rPr>
            </w:pPr>
            <w:r w:rsidRPr="00095FAC">
              <w:rPr>
                <w:color w:val="000000"/>
                <w:sz w:val="16"/>
                <w:szCs w:val="16"/>
              </w:rPr>
              <w:t>78%</w:t>
            </w:r>
          </w:p>
        </w:tc>
      </w:tr>
      <w:tr w:rsidR="00095FAC" w:rsidRPr="00095FAC" w:rsidTr="00095FAC">
        <w:trPr>
          <w:trHeight w:val="51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FAC" w:rsidRPr="00095FAC" w:rsidRDefault="004617AD" w:rsidP="00095F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095FAC" w:rsidRPr="00095FAC">
              <w:rPr>
                <w:color w:val="000000"/>
                <w:sz w:val="16"/>
                <w:szCs w:val="16"/>
              </w:rPr>
              <w:t>меньшение давления со стороны контролирующих органов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5FAC" w:rsidRPr="00095FAC" w:rsidRDefault="00095FAC" w:rsidP="00095FAC">
            <w:pPr>
              <w:jc w:val="center"/>
              <w:rPr>
                <w:color w:val="000000"/>
                <w:sz w:val="16"/>
                <w:szCs w:val="16"/>
              </w:rPr>
            </w:pPr>
            <w:r w:rsidRPr="00095FAC">
              <w:rPr>
                <w:color w:val="000000"/>
                <w:sz w:val="16"/>
                <w:szCs w:val="16"/>
              </w:rPr>
              <w:t>74%</w:t>
            </w:r>
          </w:p>
        </w:tc>
      </w:tr>
      <w:tr w:rsidR="00095FAC" w:rsidRPr="00095FAC" w:rsidTr="00095FAC">
        <w:trPr>
          <w:trHeight w:val="159"/>
        </w:trPr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5FAC" w:rsidRPr="00095FAC" w:rsidRDefault="004617AD" w:rsidP="00095F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095FAC" w:rsidRPr="00095FAC">
              <w:rPr>
                <w:color w:val="000000"/>
                <w:sz w:val="16"/>
                <w:szCs w:val="16"/>
              </w:rPr>
              <w:t xml:space="preserve">птимизация предоставления кредитно-гарантийной поддержки субъектов МСП со стороны АО «Корпорация «МСП» и АО «МСП Банк».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5FAC" w:rsidRPr="00095FAC" w:rsidRDefault="00095FAC" w:rsidP="00095FAC">
            <w:pPr>
              <w:jc w:val="center"/>
              <w:rPr>
                <w:color w:val="000000"/>
                <w:sz w:val="16"/>
                <w:szCs w:val="16"/>
              </w:rPr>
            </w:pPr>
            <w:r w:rsidRPr="00095FAC">
              <w:rPr>
                <w:color w:val="000000"/>
                <w:sz w:val="16"/>
                <w:szCs w:val="16"/>
              </w:rPr>
              <w:t>70%</w:t>
            </w:r>
          </w:p>
        </w:tc>
      </w:tr>
    </w:tbl>
    <w:p w:rsidR="00EF1391" w:rsidRPr="004617AD" w:rsidRDefault="00095FAC" w:rsidP="00411AAA">
      <w:pPr>
        <w:jc w:val="both"/>
        <w:rPr>
          <w:b/>
          <w:sz w:val="28"/>
          <w:szCs w:val="28"/>
        </w:rPr>
      </w:pPr>
      <w:r w:rsidRPr="004617AD">
        <w:rPr>
          <w:b/>
          <w:sz w:val="28"/>
          <w:szCs w:val="28"/>
        </w:rPr>
        <w:t>Банки и общественны</w:t>
      </w:r>
      <w:r w:rsidR="004617AD">
        <w:rPr>
          <w:b/>
          <w:sz w:val="28"/>
          <w:szCs w:val="28"/>
        </w:rPr>
        <w:t xml:space="preserve">е объединения предпринимателей. </w:t>
      </w:r>
      <w:r w:rsidR="00EF1391">
        <w:rPr>
          <w:sz w:val="28"/>
          <w:szCs w:val="28"/>
        </w:rPr>
        <w:t xml:space="preserve">Взаимодействие банков с объединениями предпринимателей очень неоднородно. Если исключить примеры лучшей практики такого взаимодействия, то средние значения </w:t>
      </w:r>
      <w:r w:rsidR="007A5A7C">
        <w:rPr>
          <w:sz w:val="28"/>
          <w:szCs w:val="28"/>
        </w:rPr>
        <w:t xml:space="preserve">оценок банками </w:t>
      </w:r>
      <w:r w:rsidR="00EF1391">
        <w:rPr>
          <w:sz w:val="28"/>
          <w:szCs w:val="28"/>
        </w:rPr>
        <w:t xml:space="preserve">не выходят за рамки «никак или слабо» для большинства общественных организаций. Приятным исключением является устойчивая оценка выше среднего уровня с торгово-промышленными палатами </w:t>
      </w:r>
      <w:r w:rsidR="00EB4CBF">
        <w:rPr>
          <w:sz w:val="28"/>
          <w:szCs w:val="28"/>
        </w:rPr>
        <w:t xml:space="preserve">и местными общественными организациями. В оставшейся части списка выше оценка банками взаимодействия </w:t>
      </w:r>
      <w:r w:rsidR="004617AD">
        <w:rPr>
          <w:sz w:val="28"/>
          <w:szCs w:val="28"/>
        </w:rPr>
        <w:t>с РСПП</w:t>
      </w:r>
      <w:r w:rsidR="00EB4CBF">
        <w:rPr>
          <w:sz w:val="28"/>
          <w:szCs w:val="28"/>
        </w:rPr>
        <w:t xml:space="preserve"> и «Опорой России». Банки волнует, что взаимодействие с Агентством стратегическим инициатив по развития МСП не достаточно эффективно.  </w:t>
      </w:r>
    </w:p>
    <w:p w:rsidR="004617AD" w:rsidRDefault="004617AD" w:rsidP="00EF1391">
      <w:pPr>
        <w:jc w:val="center"/>
        <w:rPr>
          <w:b/>
          <w:sz w:val="16"/>
          <w:szCs w:val="16"/>
        </w:rPr>
      </w:pPr>
    </w:p>
    <w:p w:rsidR="007A5A7C" w:rsidRDefault="00EF1391" w:rsidP="00EF1391">
      <w:pPr>
        <w:jc w:val="center"/>
        <w:rPr>
          <w:b/>
          <w:sz w:val="16"/>
          <w:szCs w:val="16"/>
        </w:rPr>
      </w:pPr>
      <w:r w:rsidRPr="00EF1391">
        <w:rPr>
          <w:b/>
          <w:sz w:val="16"/>
          <w:szCs w:val="16"/>
        </w:rPr>
        <w:t xml:space="preserve">Оценка эффективности взаимодействия банка с общественными организациями </w:t>
      </w:r>
    </w:p>
    <w:p w:rsidR="00EF1391" w:rsidRPr="00EF1391" w:rsidRDefault="00EF1391" w:rsidP="00EF1391">
      <w:pPr>
        <w:jc w:val="center"/>
        <w:rPr>
          <w:b/>
          <w:sz w:val="16"/>
          <w:szCs w:val="16"/>
        </w:rPr>
      </w:pPr>
      <w:r w:rsidRPr="00EF1391">
        <w:rPr>
          <w:b/>
          <w:sz w:val="16"/>
          <w:szCs w:val="16"/>
        </w:rPr>
        <w:t>(1 – нет взаимодействия/слабое взаимодействие, 5 – работа в тесном контакте)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62"/>
        <w:gridCol w:w="1052"/>
        <w:gridCol w:w="1191"/>
      </w:tblGrid>
      <w:tr w:rsidR="00EF1391" w:rsidTr="00411AAA">
        <w:trPr>
          <w:trHeight w:val="74"/>
          <w:jc w:val="center"/>
        </w:trPr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391" w:rsidRPr="00EF1391" w:rsidRDefault="00EF1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Среднее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Медиана</w:t>
            </w:r>
          </w:p>
        </w:tc>
      </w:tr>
      <w:tr w:rsidR="00EF1391" w:rsidTr="00411AAA">
        <w:trPr>
          <w:trHeight w:val="51"/>
          <w:jc w:val="center"/>
        </w:trPr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391" w:rsidRPr="00EF1391" w:rsidRDefault="00EF1391" w:rsidP="00EF1391">
            <w:pPr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Опора России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EF1391" w:rsidTr="00411AAA">
        <w:trPr>
          <w:trHeight w:val="51"/>
          <w:jc w:val="center"/>
        </w:trPr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391" w:rsidRPr="00EF1391" w:rsidRDefault="00EF1391" w:rsidP="00EF1391">
            <w:pPr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Деловая Россия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EF1391" w:rsidTr="00411AAA">
        <w:trPr>
          <w:trHeight w:val="51"/>
          <w:jc w:val="center"/>
        </w:trPr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391" w:rsidRPr="00EF1391" w:rsidRDefault="00EF1391" w:rsidP="00EF1391">
            <w:pPr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РСПП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EF1391" w:rsidTr="00411AAA">
        <w:trPr>
          <w:trHeight w:val="51"/>
          <w:jc w:val="center"/>
        </w:trPr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391" w:rsidRPr="00EF1391" w:rsidRDefault="00EF1391" w:rsidP="00EF1391">
            <w:pPr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ТПП РФ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EF1391" w:rsidTr="00411AAA">
        <w:trPr>
          <w:trHeight w:val="51"/>
          <w:jc w:val="center"/>
        </w:trPr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391" w:rsidRPr="00EF1391" w:rsidRDefault="00EF1391" w:rsidP="00EF1391">
            <w:pPr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Агентство стратегических инициатив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EF1391" w:rsidTr="00411AAA">
        <w:trPr>
          <w:trHeight w:val="51"/>
          <w:jc w:val="center"/>
        </w:trPr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391" w:rsidRPr="00EF1391" w:rsidRDefault="00EF1391" w:rsidP="00EF1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EF1391">
              <w:rPr>
                <w:color w:val="000000"/>
                <w:sz w:val="16"/>
                <w:szCs w:val="16"/>
              </w:rPr>
              <w:t xml:space="preserve">рочее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EF1391" w:rsidRPr="00EF1391" w:rsidRDefault="00EF1391" w:rsidP="00EF1391">
            <w:pPr>
              <w:jc w:val="center"/>
              <w:rPr>
                <w:color w:val="000000"/>
                <w:sz w:val="16"/>
                <w:szCs w:val="16"/>
              </w:rPr>
            </w:pPr>
            <w:r w:rsidRPr="00EF1391">
              <w:rPr>
                <w:color w:val="000000"/>
                <w:sz w:val="16"/>
                <w:szCs w:val="16"/>
              </w:rPr>
              <w:t>3,0</w:t>
            </w:r>
          </w:p>
        </w:tc>
      </w:tr>
    </w:tbl>
    <w:p w:rsidR="00EB4CBF" w:rsidRDefault="00EB4CBF" w:rsidP="0041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следует подчеркнуть особенность восприятия мира банкиров и общественными деятелями. Банкир ощущает счастье только тогда, когда видит платежку. Диалог бизнеса-общественности и власти чаще всего проходит в форме совместных посиделок в президиуме. На местах у многих общественных организаций кроме ФИО представителя нет серьезного </w:t>
      </w:r>
      <w:r w:rsidR="004617AD">
        <w:rPr>
          <w:sz w:val="28"/>
          <w:szCs w:val="28"/>
        </w:rPr>
        <w:t>организационного ресурса</w:t>
      </w:r>
      <w:r>
        <w:rPr>
          <w:sz w:val="28"/>
          <w:szCs w:val="28"/>
        </w:rPr>
        <w:t xml:space="preserve">. Даже на федеральном уровне большинство общественных лидеров стремятся монетизировать свой статус за счет перехода на работу в банк, либо оказания эксклюзивных услуг отдельному банку. В последнее время появляются примеры, когда </w:t>
      </w:r>
      <w:r w:rsidR="003044BD">
        <w:rPr>
          <w:sz w:val="28"/>
          <w:szCs w:val="28"/>
        </w:rPr>
        <w:t>общественные организации начинают удовлетворят общественные потребности банков не только в политическом представительстве, но и нефинансовых услугах. Именно эту практику следует развивать в рамках Ассоциации «Россия».</w:t>
      </w:r>
    </w:p>
    <w:p w:rsidR="00662FC1" w:rsidRDefault="003044BD" w:rsidP="00411AAA">
      <w:pPr>
        <w:jc w:val="both"/>
        <w:rPr>
          <w:sz w:val="28"/>
          <w:szCs w:val="28"/>
        </w:rPr>
      </w:pPr>
      <w:r w:rsidRPr="0059668B">
        <w:rPr>
          <w:b/>
          <w:sz w:val="28"/>
          <w:szCs w:val="28"/>
        </w:rPr>
        <w:t>Программы развития МСП</w:t>
      </w:r>
      <w:r w:rsidR="00F159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4BD">
        <w:rPr>
          <w:sz w:val="28"/>
          <w:szCs w:val="28"/>
        </w:rPr>
        <w:t>Стратеги</w:t>
      </w:r>
      <w:r w:rsidR="00F159BD">
        <w:rPr>
          <w:sz w:val="28"/>
          <w:szCs w:val="28"/>
        </w:rPr>
        <w:t>я</w:t>
      </w:r>
      <w:r w:rsidRPr="003044BD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МСП до 2030 года, </w:t>
      </w:r>
      <w:r w:rsidRPr="003044BD">
        <w:rPr>
          <w:sz w:val="28"/>
          <w:szCs w:val="28"/>
        </w:rPr>
        <w:t>Приоритетный проект Правительства РФ «Малый би</w:t>
      </w:r>
      <w:r w:rsidR="00BE7963">
        <w:rPr>
          <w:sz w:val="28"/>
          <w:szCs w:val="28"/>
        </w:rPr>
        <w:t xml:space="preserve">знес и поддержка индивидуальной </w:t>
      </w:r>
      <w:r w:rsidRPr="003044BD">
        <w:rPr>
          <w:sz w:val="28"/>
          <w:szCs w:val="28"/>
        </w:rPr>
        <w:t>предпри</w:t>
      </w:r>
      <w:r w:rsidR="00BE7963">
        <w:rPr>
          <w:sz w:val="28"/>
          <w:szCs w:val="28"/>
        </w:rPr>
        <w:t xml:space="preserve">нимательской </w:t>
      </w:r>
      <w:r w:rsidR="007A5A7C">
        <w:rPr>
          <w:sz w:val="28"/>
          <w:szCs w:val="28"/>
        </w:rPr>
        <w:t xml:space="preserve">инициативы», </w:t>
      </w:r>
      <w:r w:rsidRPr="003044BD">
        <w:rPr>
          <w:sz w:val="28"/>
          <w:szCs w:val="28"/>
        </w:rPr>
        <w:t>Региональные/муниципальные программы развития предпринимател</w:t>
      </w:r>
      <w:r>
        <w:rPr>
          <w:sz w:val="28"/>
          <w:szCs w:val="28"/>
        </w:rPr>
        <w:t xml:space="preserve">ьства банки </w:t>
      </w:r>
      <w:r w:rsidR="0059668B">
        <w:rPr>
          <w:sz w:val="28"/>
          <w:szCs w:val="28"/>
        </w:rPr>
        <w:t xml:space="preserve">используют в свое работе, но самокритично степень </w:t>
      </w:r>
      <w:r w:rsidR="00F159BD">
        <w:rPr>
          <w:sz w:val="28"/>
          <w:szCs w:val="28"/>
        </w:rPr>
        <w:t xml:space="preserve">своей вовлеченности в реализацию этих программ оценивают менее, чем на «два бала». Только свое участие в местных программах банки оценивают выше. Эти программы во многом носят декларативный характер, и банкам трудно найти свою роль. Есть удачные примеры, когда банки активно принимают участие во всех государственных/муниципальных программах. К сожалению, в отчетах о реализации программ о роли банков практически ничего не говорится. Выше уже шла речь о недооценке роли кредитования МПС банками на федеральном уровне. Аналогичная ситуация складывается и в регионах. Например, в отчете </w:t>
      </w:r>
      <w:r w:rsidR="007A5A7C">
        <w:rPr>
          <w:sz w:val="28"/>
          <w:szCs w:val="28"/>
        </w:rPr>
        <w:t xml:space="preserve">Правительства </w:t>
      </w:r>
      <w:r w:rsidR="00F159BD">
        <w:rPr>
          <w:sz w:val="28"/>
          <w:szCs w:val="28"/>
        </w:rPr>
        <w:t>Ростовской</w:t>
      </w:r>
      <w:r w:rsidR="00F159BD" w:rsidRPr="00F159BD">
        <w:rPr>
          <w:sz w:val="28"/>
          <w:szCs w:val="28"/>
        </w:rPr>
        <w:t xml:space="preserve"> </w:t>
      </w:r>
      <w:r w:rsidR="00662FC1">
        <w:rPr>
          <w:sz w:val="28"/>
          <w:szCs w:val="28"/>
        </w:rPr>
        <w:t xml:space="preserve">области </w:t>
      </w:r>
      <w:r w:rsidR="00BD7258">
        <w:rPr>
          <w:sz w:val="28"/>
          <w:szCs w:val="28"/>
        </w:rPr>
        <w:t xml:space="preserve">(а это одни из лучших регионов по работе с МСП) </w:t>
      </w:r>
      <w:r w:rsidR="007A5A7C">
        <w:rPr>
          <w:sz w:val="28"/>
          <w:szCs w:val="28"/>
        </w:rPr>
        <w:t>за 2017 год по программе «Экономическое развитие и инновационная экономика»</w:t>
      </w:r>
      <w:r w:rsidR="00F61792">
        <w:rPr>
          <w:rStyle w:val="a6"/>
          <w:sz w:val="28"/>
          <w:szCs w:val="28"/>
        </w:rPr>
        <w:footnoteReference w:id="5"/>
      </w:r>
      <w:r w:rsidR="007A5A7C">
        <w:rPr>
          <w:sz w:val="28"/>
          <w:szCs w:val="28"/>
        </w:rPr>
        <w:t xml:space="preserve"> (развитие МСП «зашито» в эти программы) </w:t>
      </w:r>
      <w:r w:rsidR="00F61792">
        <w:rPr>
          <w:sz w:val="28"/>
          <w:szCs w:val="28"/>
        </w:rPr>
        <w:t xml:space="preserve">за счет бюджетных </w:t>
      </w:r>
      <w:r w:rsidR="00F61792">
        <w:rPr>
          <w:sz w:val="28"/>
          <w:szCs w:val="28"/>
        </w:rPr>
        <w:lastRenderedPageBreak/>
        <w:t xml:space="preserve">источников исполнение составило 1,6 млрд рублей (-3,4% к плану), а за счет </w:t>
      </w:r>
      <w:proofErr w:type="spellStart"/>
      <w:r w:rsidR="00F61792">
        <w:rPr>
          <w:sz w:val="28"/>
          <w:szCs w:val="28"/>
        </w:rPr>
        <w:t>внебюжетных</w:t>
      </w:r>
      <w:proofErr w:type="spellEnd"/>
      <w:r w:rsidR="00F61792">
        <w:rPr>
          <w:sz w:val="28"/>
          <w:szCs w:val="28"/>
        </w:rPr>
        <w:t xml:space="preserve"> источников (кредиты банков) – 187,4 млрд рублей (+16,2% к плану)</w:t>
      </w:r>
      <w:r w:rsidR="00662FC1">
        <w:rPr>
          <w:sz w:val="28"/>
          <w:szCs w:val="28"/>
        </w:rPr>
        <w:t xml:space="preserve"> но о роли</w:t>
      </w:r>
      <w:r w:rsidR="00F61792">
        <w:rPr>
          <w:sz w:val="28"/>
          <w:szCs w:val="28"/>
        </w:rPr>
        <w:t xml:space="preserve"> банков</w:t>
      </w:r>
      <w:r w:rsidR="00662FC1">
        <w:rPr>
          <w:sz w:val="28"/>
          <w:szCs w:val="28"/>
        </w:rPr>
        <w:t xml:space="preserve"> в отчете не упоминается вообще. </w:t>
      </w:r>
    </w:p>
    <w:p w:rsidR="00662FC1" w:rsidRDefault="004617AD" w:rsidP="00411AAA">
      <w:pPr>
        <w:jc w:val="both"/>
        <w:rPr>
          <w:sz w:val="28"/>
          <w:szCs w:val="28"/>
        </w:rPr>
      </w:pPr>
      <w:r w:rsidRPr="00F61792">
        <w:rPr>
          <w:b/>
          <w:sz w:val="28"/>
          <w:szCs w:val="28"/>
        </w:rPr>
        <w:t>Партнёрство с АО «Корпорация «МСП».</w:t>
      </w:r>
      <w:r>
        <w:rPr>
          <w:sz w:val="28"/>
          <w:szCs w:val="28"/>
        </w:rPr>
        <w:t xml:space="preserve"> </w:t>
      </w:r>
      <w:r w:rsidR="00662FC1">
        <w:rPr>
          <w:sz w:val="28"/>
          <w:szCs w:val="28"/>
        </w:rPr>
        <w:t>Из участников анкетирования только 12 банков являются аккредитованными партнёрами АО</w:t>
      </w:r>
      <w:r w:rsidR="00662FC1" w:rsidRPr="00662FC1">
        <w:rPr>
          <w:sz w:val="28"/>
          <w:szCs w:val="28"/>
        </w:rPr>
        <w:t xml:space="preserve"> «Корпорация «МСП» и/или уполномоченным банком по Програ</w:t>
      </w:r>
      <w:r w:rsidR="00662FC1">
        <w:rPr>
          <w:sz w:val="28"/>
          <w:szCs w:val="28"/>
        </w:rPr>
        <w:t>мме стимулирования кредитования</w:t>
      </w:r>
      <w:r w:rsidR="00F61792">
        <w:rPr>
          <w:sz w:val="28"/>
          <w:szCs w:val="28"/>
        </w:rPr>
        <w:t xml:space="preserve"> МСБ </w:t>
      </w:r>
      <w:r w:rsidR="00F61792" w:rsidRPr="00662FC1">
        <w:rPr>
          <w:sz w:val="28"/>
          <w:szCs w:val="28"/>
        </w:rPr>
        <w:t>(программа 6,5)</w:t>
      </w:r>
      <w:r w:rsidR="00662FC1">
        <w:rPr>
          <w:sz w:val="28"/>
          <w:szCs w:val="28"/>
        </w:rPr>
        <w:t xml:space="preserve">. Поэтому дальнейшие показатели относятся только к этой группе участников анкетирования. Аккредитованные банки в равных пропорциях (58%) участвуют в гарантийных программах и </w:t>
      </w:r>
      <w:r w:rsidR="00F61792">
        <w:rPr>
          <w:sz w:val="28"/>
          <w:szCs w:val="28"/>
        </w:rPr>
        <w:t>П</w:t>
      </w:r>
      <w:r w:rsidR="00662FC1">
        <w:rPr>
          <w:sz w:val="28"/>
          <w:szCs w:val="28"/>
        </w:rPr>
        <w:t>рограмме стимулирования</w:t>
      </w:r>
      <w:r w:rsidR="00F61792">
        <w:rPr>
          <w:sz w:val="28"/>
          <w:szCs w:val="28"/>
        </w:rPr>
        <w:t xml:space="preserve"> кредитования</w:t>
      </w:r>
      <w:r w:rsidR="00662FC1">
        <w:rPr>
          <w:sz w:val="28"/>
          <w:szCs w:val="28"/>
        </w:rPr>
        <w:t>. Однако по общему признанию банков</w:t>
      </w:r>
      <w:r w:rsidR="00662FC1" w:rsidRPr="00662FC1">
        <w:rPr>
          <w:sz w:val="28"/>
          <w:szCs w:val="28"/>
        </w:rPr>
        <w:t xml:space="preserve"> требования условий Программы </w:t>
      </w:r>
      <w:r w:rsidR="00F61792">
        <w:rPr>
          <w:sz w:val="28"/>
          <w:szCs w:val="28"/>
        </w:rPr>
        <w:t xml:space="preserve">6,5 </w:t>
      </w:r>
      <w:r w:rsidR="00662FC1" w:rsidRPr="00662FC1">
        <w:rPr>
          <w:sz w:val="28"/>
          <w:szCs w:val="28"/>
        </w:rPr>
        <w:t xml:space="preserve">к нормативам финансовой отчетности субъектов МСБ </w:t>
      </w:r>
      <w:r w:rsidR="00662FC1">
        <w:rPr>
          <w:sz w:val="28"/>
          <w:szCs w:val="28"/>
        </w:rPr>
        <w:t xml:space="preserve">являются достаточно высокими и у банков возникают проблемы с отбором проектов.  Тем не менее скорость рассмотрения заявок в АО Корпорация «МСБ» достаточно высокая: </w:t>
      </w:r>
      <w:r w:rsidR="006234B5">
        <w:rPr>
          <w:sz w:val="28"/>
          <w:szCs w:val="28"/>
        </w:rPr>
        <w:t xml:space="preserve">более </w:t>
      </w:r>
      <w:r w:rsidR="00662FC1">
        <w:rPr>
          <w:sz w:val="28"/>
          <w:szCs w:val="28"/>
        </w:rPr>
        <w:t>60</w:t>
      </w:r>
      <w:r w:rsidR="006234B5">
        <w:rPr>
          <w:sz w:val="28"/>
          <w:szCs w:val="28"/>
        </w:rPr>
        <w:t xml:space="preserve">% заявок рассматриваются в пределах 1 месяца.  </w:t>
      </w:r>
    </w:p>
    <w:p w:rsidR="006234B5" w:rsidRDefault="004617AD" w:rsidP="00411AAA">
      <w:pPr>
        <w:jc w:val="both"/>
        <w:rPr>
          <w:sz w:val="28"/>
          <w:szCs w:val="28"/>
        </w:rPr>
      </w:pPr>
      <w:r w:rsidRPr="004617AD">
        <w:rPr>
          <w:b/>
          <w:sz w:val="28"/>
          <w:szCs w:val="28"/>
        </w:rPr>
        <w:t>Выводы и предложения</w:t>
      </w:r>
      <w:r>
        <w:rPr>
          <w:sz w:val="28"/>
          <w:szCs w:val="28"/>
        </w:rPr>
        <w:t xml:space="preserve">. </w:t>
      </w:r>
      <w:r w:rsidR="006234B5">
        <w:rPr>
          <w:sz w:val="28"/>
          <w:szCs w:val="28"/>
        </w:rPr>
        <w:t>Подводя итоги анализа анкет банков по вопросам развития малого предпринимательства можно указать на следующие направления работы банков:</w:t>
      </w:r>
    </w:p>
    <w:p w:rsidR="006234B5" w:rsidRDefault="006234B5" w:rsidP="00411A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Банки должны отражать в стратегических документах, бизнес-планах и внутренних регламентах продукты и услуги, которые они оказывают субъектам МСП. </w:t>
      </w:r>
    </w:p>
    <w:p w:rsidR="006234B5" w:rsidRDefault="006234B5" w:rsidP="00411A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234B5">
        <w:rPr>
          <w:sz w:val="28"/>
          <w:szCs w:val="28"/>
        </w:rPr>
        <w:t>Банки должны развивать продуктовую линейку для МСП с точки зрения предоставления всего комплекса услуг (РКО, кредитование, га</w:t>
      </w:r>
      <w:r w:rsidR="00A73D59">
        <w:rPr>
          <w:sz w:val="28"/>
          <w:szCs w:val="28"/>
        </w:rPr>
        <w:t>рантийные продукты, программы э</w:t>
      </w:r>
      <w:r w:rsidRPr="006234B5">
        <w:rPr>
          <w:sz w:val="28"/>
          <w:szCs w:val="28"/>
        </w:rPr>
        <w:t>н</w:t>
      </w:r>
      <w:r w:rsidR="00A73D59">
        <w:rPr>
          <w:sz w:val="28"/>
          <w:szCs w:val="28"/>
        </w:rPr>
        <w:t>е</w:t>
      </w:r>
      <w:r w:rsidRPr="006234B5">
        <w:rPr>
          <w:sz w:val="28"/>
          <w:szCs w:val="28"/>
        </w:rPr>
        <w:t>ргоэффективности, социальных программ и программ развития АПК и проектного финансирования) так и современных технологий предоставления услуг</w:t>
      </w:r>
      <w:r w:rsidR="004617AD">
        <w:rPr>
          <w:sz w:val="28"/>
          <w:szCs w:val="28"/>
        </w:rPr>
        <w:t>.</w:t>
      </w:r>
    </w:p>
    <w:p w:rsidR="004617AD" w:rsidRDefault="006234B5" w:rsidP="00411A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Банкам следует использовать более широкий спектр </w:t>
      </w:r>
      <w:r w:rsidR="004617AD">
        <w:rPr>
          <w:sz w:val="28"/>
          <w:szCs w:val="28"/>
        </w:rPr>
        <w:t>инструментов по привлечению источников кредитования МСП, включая не только механизмы государственной поддержки (гарантии, субсидирование процентной ставки), но и межбанковские кредиты, выпуски ценных бумаг.</w:t>
      </w:r>
    </w:p>
    <w:p w:rsidR="004617AD" w:rsidRDefault="004617AD" w:rsidP="00411A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Банки наряду с традиционными продуктами должны активно использовать нефинансовые продукты и услуги для эффективного управления рисками банковской деятельности (правовое, налоговое консультирование, бухгалтерский учет, консультации по вопросам внешне</w:t>
      </w:r>
      <w:r w:rsidR="00F61792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деятельности, обучение предпринимателей и наставничество).</w:t>
      </w:r>
    </w:p>
    <w:p w:rsidR="006234B5" w:rsidRDefault="004617AD" w:rsidP="00411A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банков с общественными организациям надо выстраивать на новом уровне, с учетом взаимных интересов, </w:t>
      </w:r>
      <w:r w:rsidR="00F61792">
        <w:rPr>
          <w:sz w:val="28"/>
          <w:szCs w:val="28"/>
        </w:rPr>
        <w:t xml:space="preserve">более глубокого </w:t>
      </w:r>
      <w:r>
        <w:rPr>
          <w:sz w:val="28"/>
          <w:szCs w:val="28"/>
        </w:rPr>
        <w:t>понимани</w:t>
      </w:r>
      <w:r w:rsidR="00F61792">
        <w:rPr>
          <w:sz w:val="28"/>
          <w:szCs w:val="28"/>
        </w:rPr>
        <w:t>я банковских</w:t>
      </w:r>
      <w:r>
        <w:rPr>
          <w:sz w:val="28"/>
          <w:szCs w:val="28"/>
        </w:rPr>
        <w:t xml:space="preserve"> рисков и </w:t>
      </w:r>
      <w:r w:rsidR="00F61792">
        <w:rPr>
          <w:sz w:val="28"/>
          <w:szCs w:val="28"/>
        </w:rPr>
        <w:t xml:space="preserve">внедрения эффективных </w:t>
      </w:r>
      <w:r>
        <w:rPr>
          <w:sz w:val="28"/>
          <w:szCs w:val="28"/>
        </w:rPr>
        <w:t xml:space="preserve">технологий управления этими рисками. </w:t>
      </w:r>
    </w:p>
    <w:p w:rsidR="003044BD" w:rsidRPr="00A73D59" w:rsidRDefault="006234B5" w:rsidP="003044B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A73D59">
        <w:rPr>
          <w:sz w:val="28"/>
          <w:szCs w:val="28"/>
        </w:rPr>
        <w:t xml:space="preserve">Банкам следует более тесно увязывать </w:t>
      </w:r>
      <w:r w:rsidR="004617AD" w:rsidRPr="00A73D59">
        <w:rPr>
          <w:sz w:val="28"/>
          <w:szCs w:val="28"/>
        </w:rPr>
        <w:t>в своей работе</w:t>
      </w:r>
      <w:r w:rsidRPr="00A73D59">
        <w:rPr>
          <w:sz w:val="28"/>
          <w:szCs w:val="28"/>
        </w:rPr>
        <w:t xml:space="preserve"> документы органов власти по развитию предпринимательства: Стратеги</w:t>
      </w:r>
      <w:r w:rsidR="004617AD" w:rsidRPr="00A73D59">
        <w:rPr>
          <w:sz w:val="28"/>
          <w:szCs w:val="28"/>
        </w:rPr>
        <w:t>ю</w:t>
      </w:r>
      <w:r w:rsidRPr="00A73D59">
        <w:rPr>
          <w:sz w:val="28"/>
          <w:szCs w:val="28"/>
        </w:rPr>
        <w:t xml:space="preserve"> развития МСП до 2030 года, Приоритетны</w:t>
      </w:r>
      <w:r w:rsidR="004617AD" w:rsidRPr="00A73D59">
        <w:rPr>
          <w:sz w:val="28"/>
          <w:szCs w:val="28"/>
        </w:rPr>
        <w:t>й</w:t>
      </w:r>
      <w:r w:rsidRPr="00A73D59">
        <w:rPr>
          <w:sz w:val="28"/>
          <w:szCs w:val="28"/>
        </w:rPr>
        <w:t xml:space="preserve"> проект Правительства РФ «Малый бизнес и поддержка индивидуальной предпринимательской инициативы», программ</w:t>
      </w:r>
      <w:r w:rsidR="004617AD" w:rsidRPr="00A73D59">
        <w:rPr>
          <w:sz w:val="28"/>
          <w:szCs w:val="28"/>
        </w:rPr>
        <w:t>ы</w:t>
      </w:r>
      <w:r w:rsidRPr="00A73D59">
        <w:rPr>
          <w:sz w:val="28"/>
          <w:szCs w:val="28"/>
        </w:rPr>
        <w:t xml:space="preserve"> развития </w:t>
      </w:r>
      <w:r w:rsidR="004617AD" w:rsidRPr="00A73D59">
        <w:rPr>
          <w:sz w:val="28"/>
          <w:szCs w:val="28"/>
        </w:rPr>
        <w:t xml:space="preserve">предпринимательства </w:t>
      </w:r>
      <w:r w:rsidRPr="00A73D59">
        <w:rPr>
          <w:sz w:val="28"/>
          <w:szCs w:val="28"/>
        </w:rPr>
        <w:t xml:space="preserve">регионов и муниципалитетов. Одновременно, органы власти разных уровней должны отражать в своих отчетах о выполнении программ результаты участия банков в развитии МСП. </w:t>
      </w:r>
    </w:p>
    <w:sectPr w:rsidR="003044BD" w:rsidRPr="00A73D59" w:rsidSect="00C1469D">
      <w:pgSz w:w="11900" w:h="16840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4E" w:rsidRDefault="006E5C4E" w:rsidP="00F018D6">
      <w:r>
        <w:separator/>
      </w:r>
    </w:p>
  </w:endnote>
  <w:endnote w:type="continuationSeparator" w:id="0">
    <w:p w:rsidR="006E5C4E" w:rsidRDefault="006E5C4E" w:rsidP="00F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4E" w:rsidRDefault="006E5C4E" w:rsidP="00F018D6">
      <w:r>
        <w:separator/>
      </w:r>
    </w:p>
  </w:footnote>
  <w:footnote w:type="continuationSeparator" w:id="0">
    <w:p w:rsidR="006E5C4E" w:rsidRDefault="006E5C4E" w:rsidP="00F018D6">
      <w:r>
        <w:continuationSeparator/>
      </w:r>
    </w:p>
  </w:footnote>
  <w:footnote w:id="1">
    <w:p w:rsidR="00F83B77" w:rsidRPr="003D0400" w:rsidRDefault="00F83B77" w:rsidP="00F83B77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B58F7">
        <w:rPr>
          <w:sz w:val="20"/>
          <w:szCs w:val="20"/>
        </w:rPr>
        <w:t>https://raexpert.ru/researches/banks/frb_2017_itog</w:t>
      </w:r>
    </w:p>
    <w:p w:rsidR="00F83B77" w:rsidRDefault="00F83B77" w:rsidP="00F83B77">
      <w:pPr>
        <w:pStyle w:val="a4"/>
      </w:pPr>
    </w:p>
  </w:footnote>
  <w:footnote w:id="2">
    <w:p w:rsidR="00F159BD" w:rsidRPr="003B031B" w:rsidRDefault="00F159BD">
      <w:pPr>
        <w:pStyle w:val="a4"/>
        <w:rPr>
          <w:sz w:val="16"/>
          <w:szCs w:val="16"/>
        </w:rPr>
      </w:pPr>
      <w:r w:rsidRPr="003B031B">
        <w:rPr>
          <w:rStyle w:val="a6"/>
          <w:sz w:val="16"/>
          <w:szCs w:val="16"/>
        </w:rPr>
        <w:footnoteRef/>
      </w:r>
      <w:r w:rsidRPr="003B031B">
        <w:rPr>
          <w:sz w:val="16"/>
          <w:szCs w:val="16"/>
        </w:rPr>
        <w:t xml:space="preserve"> </w:t>
      </w:r>
      <w:hyperlink r:id="rId1" w:history="1">
        <w:r w:rsidRPr="003B031B">
          <w:rPr>
            <w:rStyle w:val="a9"/>
            <w:sz w:val="16"/>
            <w:szCs w:val="16"/>
          </w:rPr>
          <w:t>http://audit.gov.ru/activities/bulleten/900/30830/</w:t>
        </w:r>
      </w:hyperlink>
      <w:r w:rsidRPr="003B031B">
        <w:rPr>
          <w:sz w:val="16"/>
          <w:szCs w:val="16"/>
        </w:rPr>
        <w:t xml:space="preserve"> </w:t>
      </w:r>
    </w:p>
  </w:footnote>
  <w:footnote w:id="3">
    <w:p w:rsidR="00F159BD" w:rsidRPr="003B031B" w:rsidRDefault="00F159BD">
      <w:pPr>
        <w:pStyle w:val="a4"/>
        <w:rPr>
          <w:sz w:val="16"/>
          <w:szCs w:val="16"/>
        </w:rPr>
      </w:pPr>
      <w:r w:rsidRPr="003B031B">
        <w:rPr>
          <w:rStyle w:val="a6"/>
          <w:sz w:val="16"/>
          <w:szCs w:val="16"/>
        </w:rPr>
        <w:footnoteRef/>
      </w:r>
      <w:r w:rsidRPr="003B031B">
        <w:rPr>
          <w:sz w:val="16"/>
          <w:szCs w:val="16"/>
        </w:rPr>
        <w:t xml:space="preserve"> «Малое и среднее предпринимательство в России. 2017»: Стат.сб./ Росстат. - M., 2017.</w:t>
      </w:r>
    </w:p>
  </w:footnote>
  <w:footnote w:id="4">
    <w:p w:rsidR="00F159BD" w:rsidRPr="003B031B" w:rsidRDefault="00F159BD">
      <w:pPr>
        <w:pStyle w:val="a4"/>
        <w:rPr>
          <w:sz w:val="16"/>
          <w:szCs w:val="16"/>
        </w:rPr>
      </w:pPr>
      <w:r w:rsidRPr="003B031B">
        <w:rPr>
          <w:rStyle w:val="a6"/>
          <w:sz w:val="16"/>
          <w:szCs w:val="16"/>
        </w:rPr>
        <w:footnoteRef/>
      </w:r>
      <w:r w:rsidRPr="003B031B">
        <w:rPr>
          <w:sz w:val="16"/>
          <w:szCs w:val="16"/>
        </w:rPr>
        <w:t xml:space="preserve"> </w:t>
      </w:r>
      <w:hyperlink r:id="rId2" w:history="1">
        <w:r w:rsidRPr="003B031B">
          <w:rPr>
            <w:rStyle w:val="a9"/>
            <w:sz w:val="16"/>
            <w:szCs w:val="16"/>
          </w:rPr>
          <w:t>http://www.asros.ru/ru/actualdoc/view/802</w:t>
        </w:r>
      </w:hyperlink>
      <w:r w:rsidRPr="003B031B">
        <w:rPr>
          <w:sz w:val="16"/>
          <w:szCs w:val="16"/>
        </w:rPr>
        <w:t xml:space="preserve"> </w:t>
      </w:r>
    </w:p>
  </w:footnote>
  <w:footnote w:id="5">
    <w:p w:rsidR="00F61792" w:rsidRDefault="00F61792">
      <w:pPr>
        <w:pStyle w:val="a4"/>
      </w:pPr>
      <w:r>
        <w:rPr>
          <w:rStyle w:val="a6"/>
        </w:rPr>
        <w:footnoteRef/>
      </w:r>
      <w:r>
        <w:t xml:space="preserve"> </w:t>
      </w:r>
      <w:r w:rsidRPr="00F61792">
        <w:t>http://www.donland.ru/documents/Ob-utverzhdenii-otcheta-o-realizacii-gosudarstvennojj-programmy-Rostovskojj-oblasti-EHkonomicheskoe-razvitie-i-innovacionnaya-ehkonomika-za-?pageid=128483&amp;mid=134977&amp;itemId=27128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33815"/>
    <w:multiLevelType w:val="hybridMultilevel"/>
    <w:tmpl w:val="5A585122"/>
    <w:lvl w:ilvl="0" w:tplc="5680C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D7629"/>
    <w:multiLevelType w:val="hybridMultilevel"/>
    <w:tmpl w:val="EC80A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84554"/>
    <w:multiLevelType w:val="hybridMultilevel"/>
    <w:tmpl w:val="D3A05088"/>
    <w:lvl w:ilvl="0" w:tplc="5680C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4E"/>
    <w:rsid w:val="00000B30"/>
    <w:rsid w:val="00095FAC"/>
    <w:rsid w:val="001074C6"/>
    <w:rsid w:val="001118A6"/>
    <w:rsid w:val="002F6B4E"/>
    <w:rsid w:val="002F7316"/>
    <w:rsid w:val="003044BD"/>
    <w:rsid w:val="0036058C"/>
    <w:rsid w:val="003B031B"/>
    <w:rsid w:val="00411AAA"/>
    <w:rsid w:val="00445325"/>
    <w:rsid w:val="004617AD"/>
    <w:rsid w:val="00480E6D"/>
    <w:rsid w:val="0059668B"/>
    <w:rsid w:val="006234B5"/>
    <w:rsid w:val="00633593"/>
    <w:rsid w:val="00662FC1"/>
    <w:rsid w:val="00681B5F"/>
    <w:rsid w:val="006E5709"/>
    <w:rsid w:val="006E5C4E"/>
    <w:rsid w:val="00734406"/>
    <w:rsid w:val="00743F22"/>
    <w:rsid w:val="00784E4E"/>
    <w:rsid w:val="007A5A7C"/>
    <w:rsid w:val="007D35E4"/>
    <w:rsid w:val="008A6A79"/>
    <w:rsid w:val="008C6394"/>
    <w:rsid w:val="00930860"/>
    <w:rsid w:val="00967805"/>
    <w:rsid w:val="009F0CCD"/>
    <w:rsid w:val="009F13F9"/>
    <w:rsid w:val="00A4079A"/>
    <w:rsid w:val="00A73D59"/>
    <w:rsid w:val="00AA6507"/>
    <w:rsid w:val="00B160C3"/>
    <w:rsid w:val="00B856F9"/>
    <w:rsid w:val="00BD7258"/>
    <w:rsid w:val="00BE7963"/>
    <w:rsid w:val="00C1469D"/>
    <w:rsid w:val="00C5375F"/>
    <w:rsid w:val="00CE33F7"/>
    <w:rsid w:val="00D57019"/>
    <w:rsid w:val="00D8460B"/>
    <w:rsid w:val="00E31B80"/>
    <w:rsid w:val="00E536C3"/>
    <w:rsid w:val="00E56BFB"/>
    <w:rsid w:val="00EB4CBF"/>
    <w:rsid w:val="00ED5948"/>
    <w:rsid w:val="00EE3339"/>
    <w:rsid w:val="00EF1391"/>
    <w:rsid w:val="00F018D6"/>
    <w:rsid w:val="00F1172D"/>
    <w:rsid w:val="00F159BD"/>
    <w:rsid w:val="00F61792"/>
    <w:rsid w:val="00F83B77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5013193"/>
  <w15:docId w15:val="{A5EA24D0-5C72-43A2-8F90-3E2C34E6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FA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18D6"/>
  </w:style>
  <w:style w:type="character" w:styleId="a3">
    <w:name w:val="Emphasis"/>
    <w:basedOn w:val="a0"/>
    <w:uiPriority w:val="20"/>
    <w:qFormat/>
    <w:rsid w:val="00F018D6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F018D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18D6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F018D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31B8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31B8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E31B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ros.ru/ru/actualdoc/view/802" TargetMode="External"/><Relationship Id="rId1" Type="http://schemas.openxmlformats.org/officeDocument/2006/relationships/hyperlink" Target="http://audit.gov.ru/activities/bulleten/900/30830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6C4B913-2C25-4827-B508-4813894B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КБ "Центр-инвест"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Vysokov</dc:creator>
  <cp:lastModifiedBy>User</cp:lastModifiedBy>
  <cp:revision>3</cp:revision>
  <dcterms:created xsi:type="dcterms:W3CDTF">2018-04-16T09:30:00Z</dcterms:created>
  <dcterms:modified xsi:type="dcterms:W3CDTF">2018-04-16T09:30:00Z</dcterms:modified>
</cp:coreProperties>
</file>