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B344C" w14:textId="77777777" w:rsidR="00B30EEC" w:rsidRPr="00F126B2" w:rsidRDefault="00B30EEC" w:rsidP="00B30EEC">
      <w:pPr>
        <w:pStyle w:val="a3"/>
        <w:autoSpaceDE w:val="0"/>
        <w:autoSpaceDN w:val="0"/>
        <w:adjustRightInd w:val="0"/>
        <w:spacing w:after="0" w:line="360" w:lineRule="auto"/>
        <w:ind w:left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6B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14:paraId="5DE209D8" w14:textId="77777777" w:rsidR="00B30EEC" w:rsidRDefault="00B30EEC" w:rsidP="00B30EEC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A09330" w14:textId="77777777" w:rsidR="00B30EEC" w:rsidRPr="00A60616" w:rsidRDefault="00B30EEC" w:rsidP="00B30EEC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Вопросы кредитных организаций по практической реализации                         требований Закона № 602-ФЗ</w:t>
      </w:r>
      <w:r w:rsidRPr="00A606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23B6B9D" w14:textId="37CE2E84" w:rsidR="00B30EEC" w:rsidRPr="002C7946" w:rsidRDefault="00364402" w:rsidP="00364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акой документ 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 оплате 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ЖКХ 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>в отделении банка обязан предъявить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>, имеющ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 на льготу, освобожд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>ающую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оплаты комиссии, и вправе ли банк требовать предъявление 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>такого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документа?</w:t>
      </w:r>
    </w:p>
    <w:p w14:paraId="3C9C0AFA" w14:textId="52A18C1B" w:rsidR="00B30EEC" w:rsidRPr="003E36DC" w:rsidRDefault="00364402" w:rsidP="00364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 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гражданин 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>сможет подтвердить сво</w:t>
      </w:r>
      <w:r w:rsidR="00C2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>право на льготу, освобождающую от оплаты комиссии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30EEC" w:rsidRPr="00717C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 оплате ЖКХ через терминалы</w:t>
      </w:r>
      <w:r w:rsidR="00B30EEC" w:rsidRPr="002C79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и банкоматы самообслуживания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Требуется ли в этом случае интеграция баз данных по 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>гражданам, имеющим льготу,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базами данных кредитных организаций и в каком порядке?</w:t>
      </w:r>
    </w:p>
    <w:p w14:paraId="495DE15A" w14:textId="65814954" w:rsidR="00B30EEC" w:rsidRPr="003E36DC" w:rsidRDefault="00364402" w:rsidP="00364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редоставляется ли право на освобождение от уплаты комиссии по арендуемому льготником жилью или </w:t>
      </w:r>
      <w:r w:rsidRPr="00C23B48">
        <w:rPr>
          <w:rFonts w:ascii="Times New Roman" w:hAnsi="Times New Roman" w:cs="Times New Roman"/>
          <w:bCs/>
          <w:color w:val="000000"/>
          <w:sz w:val="28"/>
          <w:szCs w:val="28"/>
        </w:rPr>
        <w:t>оно</w:t>
      </w:r>
      <w:r w:rsidR="00B30EEC" w:rsidRPr="00C2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спространяется только на жилое помещение, </w:t>
      </w:r>
      <w:r w:rsidR="00B30EEC" w:rsidRPr="004B2C0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принадлежащее льготнику на праве собственности?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>Если право на льготу распространяется только на собственное жилое помещение, обязан ли льготник подтверждать при оплате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ЖКХ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 собственности на</w:t>
      </w:r>
      <w:r w:rsidR="00B30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жилое помещение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14:paraId="319B23F2" w14:textId="3EB32981" w:rsidR="00B30EEC" w:rsidRPr="003E36DC" w:rsidRDefault="00364402" w:rsidP="00364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30EEC" w:rsidRPr="003E36DC">
        <w:rPr>
          <w:rFonts w:ascii="Times New Roman" w:hAnsi="Times New Roman" w:cs="Times New Roman"/>
          <w:bCs/>
          <w:color w:val="000000"/>
          <w:sz w:val="28"/>
          <w:szCs w:val="28"/>
        </w:rPr>
        <w:t>свобождается ли льготник от оплаты комиссии по нескольким жилым помещениям или льгота действует только в отношении единственного жилья?</w:t>
      </w:r>
    </w:p>
    <w:p w14:paraId="27BEC41F" w14:textId="7810013C" w:rsidR="00B30EEC" w:rsidRPr="00306618" w:rsidRDefault="00364402" w:rsidP="00364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30EEC" w:rsidRPr="00306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 оплаты льготником ЖКХ за сво</w:t>
      </w:r>
      <w:r w:rsidR="00166E1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30EEC" w:rsidRPr="00306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жилое помещение, а также за жилое помещение, принадлежащее его родственникам, знакомым и иным лицам, освобождается ли от оплаты комиссии плата за ЖКХ в отношении жилых помещений иных лиц?</w:t>
      </w:r>
    </w:p>
    <w:p w14:paraId="5C769E7E" w14:textId="77777777" w:rsidR="00B30EEC" w:rsidRDefault="00B30EEC" w:rsidP="00B30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4DAB41AE" w14:textId="77777777" w:rsidR="00B30EEC" w:rsidRPr="00534BEE" w:rsidRDefault="00B30EEC" w:rsidP="00B30E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</w:pPr>
    </w:p>
    <w:p w14:paraId="6EE5CD78" w14:textId="77777777" w:rsidR="004945FC" w:rsidRDefault="004945FC"/>
    <w:sectPr w:rsidR="004945FC" w:rsidSect="00B30EEC">
      <w:footerReference w:type="default" r:id="rId7"/>
      <w:pgSz w:w="11906" w:h="16838"/>
      <w:pgMar w:top="1135" w:right="851" w:bottom="567" w:left="155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48768" w14:textId="77777777" w:rsidR="00B911C8" w:rsidRDefault="00B911C8">
      <w:pPr>
        <w:spacing w:after="0" w:line="240" w:lineRule="auto"/>
      </w:pPr>
      <w:r>
        <w:separator/>
      </w:r>
    </w:p>
  </w:endnote>
  <w:endnote w:type="continuationSeparator" w:id="0">
    <w:p w14:paraId="3B0978FC" w14:textId="77777777" w:rsidR="00B911C8" w:rsidRDefault="00B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99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039E5B" w14:textId="77777777" w:rsidR="00C16E5F" w:rsidRPr="009166D1" w:rsidRDefault="00000000" w:rsidP="009166D1">
        <w:pPr>
          <w:pStyle w:val="a4"/>
          <w:jc w:val="right"/>
          <w:rPr>
            <w:rFonts w:ascii="Times New Roman" w:hAnsi="Times New Roman" w:cs="Times New Roman"/>
          </w:rPr>
        </w:pPr>
        <w:r w:rsidRPr="009D634B">
          <w:rPr>
            <w:rFonts w:ascii="Times New Roman" w:hAnsi="Times New Roman" w:cs="Times New Roman"/>
          </w:rPr>
          <w:fldChar w:fldCharType="begin"/>
        </w:r>
        <w:r w:rsidRPr="009D634B">
          <w:rPr>
            <w:rFonts w:ascii="Times New Roman" w:hAnsi="Times New Roman" w:cs="Times New Roman"/>
          </w:rPr>
          <w:instrText>PAGE   \* MERGEFORMAT</w:instrText>
        </w:r>
        <w:r w:rsidRPr="009D634B">
          <w:rPr>
            <w:rFonts w:ascii="Times New Roman" w:hAnsi="Times New Roman" w:cs="Times New Roman"/>
          </w:rPr>
          <w:fldChar w:fldCharType="separate"/>
        </w:r>
        <w:r w:rsidRPr="009D634B">
          <w:rPr>
            <w:rFonts w:ascii="Times New Roman" w:hAnsi="Times New Roman" w:cs="Times New Roman"/>
          </w:rPr>
          <w:t>2</w:t>
        </w:r>
        <w:r w:rsidRPr="009D634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2BE94" w14:textId="77777777" w:rsidR="00B911C8" w:rsidRDefault="00B911C8">
      <w:pPr>
        <w:spacing w:after="0" w:line="240" w:lineRule="auto"/>
      </w:pPr>
      <w:r>
        <w:separator/>
      </w:r>
    </w:p>
  </w:footnote>
  <w:footnote w:type="continuationSeparator" w:id="0">
    <w:p w14:paraId="4F0ECF53" w14:textId="77777777" w:rsidR="00B911C8" w:rsidRDefault="00B9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F54A7"/>
    <w:multiLevelType w:val="hybridMultilevel"/>
    <w:tmpl w:val="BC7C5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16FC"/>
    <w:multiLevelType w:val="hybridMultilevel"/>
    <w:tmpl w:val="BAB65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2DDB"/>
    <w:multiLevelType w:val="hybridMultilevel"/>
    <w:tmpl w:val="D9E22B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49242789">
    <w:abstractNumId w:val="1"/>
  </w:num>
  <w:num w:numId="2" w16cid:durableId="1809396349">
    <w:abstractNumId w:val="0"/>
  </w:num>
  <w:num w:numId="3" w16cid:durableId="97125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2"/>
    <w:rsid w:val="00083A92"/>
    <w:rsid w:val="00166E18"/>
    <w:rsid w:val="00364402"/>
    <w:rsid w:val="004945FC"/>
    <w:rsid w:val="004B2E2C"/>
    <w:rsid w:val="00647BBC"/>
    <w:rsid w:val="00761580"/>
    <w:rsid w:val="007959A5"/>
    <w:rsid w:val="009B5FD0"/>
    <w:rsid w:val="00A42498"/>
    <w:rsid w:val="00B30EEC"/>
    <w:rsid w:val="00B911C8"/>
    <w:rsid w:val="00C16E5F"/>
    <w:rsid w:val="00C23B48"/>
    <w:rsid w:val="00CA5FD3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BC3"/>
  <w15:chartTrackingRefBased/>
  <w15:docId w15:val="{963B7567-F1C1-4CFF-A684-9522381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EC"/>
    <w:pPr>
      <w:suppressAutoHyphens/>
      <w:spacing w:after="200" w:line="276" w:lineRule="auto"/>
    </w:pPr>
    <w:rPr>
      <w:rFonts w:ascii="Calibri" w:eastAsia="Arial Unicode MS" w:hAnsi="Calibri" w:cs="Calibri"/>
      <w:kern w:val="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3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0EEC"/>
    <w:rPr>
      <w:rFonts w:ascii="Calibri" w:eastAsia="Arial Unicode MS" w:hAnsi="Calibri" w:cs="Calibri"/>
      <w:kern w:val="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Титова</dc:creator>
  <cp:keywords/>
  <dc:description/>
  <cp:lastModifiedBy>Оксана Титова</cp:lastModifiedBy>
  <cp:revision>2</cp:revision>
  <dcterms:created xsi:type="dcterms:W3CDTF">2024-05-16T12:17:00Z</dcterms:created>
  <dcterms:modified xsi:type="dcterms:W3CDTF">2024-05-16T12:17:00Z</dcterms:modified>
</cp:coreProperties>
</file>