
<file path=[Content_Types].xml><?xml version="1.0" encoding="utf-8"?>
<Types xmlns="http://schemas.openxmlformats.org/package/2006/content-types">
  <Override PartName="/word/media/image2.jpeg" ContentType="image/jpeg"/>
  <Override PartName="/word/media/image3.jpeg" ContentType="image/jpeg"/>
  <Override PartName="/word/media/image4.jpeg" ContentType="image/jpe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10"/>
        <w:shd w:fill="FFFFFF"/>
        <w:spacing w:after="0" w:before="427" w:line="418" w:lineRule="exact"/>
      </w:pPr>
      <w:r>
        <w:rPr>
          <w:color w:val="000000"/>
          <w:sz w:val="28"/>
          <w:b/>
          <w:szCs w:val="28"/>
        </w:rPr>
        <w:t>Оценка  текущего состояния финансового рынка Таджикистана</w:t>
      </w:r>
    </w:p>
    <w:p>
      <w:pPr>
        <w:pStyle w:val="style0"/>
        <w:jc w:val="both"/>
        <w:ind w:hanging="0" w:left="0" w:right="10"/>
        <w:shd w:fill="FFFFFF"/>
        <w:spacing w:after="0" w:before="427" w:line="418" w:lineRule="exact"/>
      </w:pPr>
      <w:r>
        <w:rPr>
          <w:color w:val="000000"/>
          <w:sz w:val="24"/>
          <w:b/>
          <w:szCs w:val="24"/>
        </w:rPr>
        <w:t xml:space="preserve">      </w:t>
      </w:r>
      <w:r>
        <w:rPr>
          <w:color w:val="000000"/>
          <w:sz w:val="24"/>
          <w:b/>
          <w:szCs w:val="24"/>
        </w:rPr>
        <w:t>1.  Макроэкономическая  ситуация  в Республике Таджикистан.</w:t>
      </w:r>
    </w:p>
    <w:p>
      <w:pPr>
        <w:pStyle w:val="style0"/>
        <w:jc w:val="both"/>
        <w:ind w:hanging="0" w:left="0" w:right="10"/>
        <w:shd w:fill="FFFFFF"/>
        <w:spacing w:after="0" w:before="427" w:line="418" w:lineRule="exact"/>
      </w:pPr>
      <w:r>
        <w:rPr>
          <w:color w:val="000000"/>
          <w:sz w:val="24"/>
          <w:szCs w:val="24"/>
        </w:rPr>
        <w:t xml:space="preserve">Согласно анализу  экономической ситуации  в стране,  в 2011 году, несмотря на негативное влияние внешних факторов, был зафиксирован устойчивый рост макроэкономических показателей.  Так объем ВВП  в 2011 году  составил 30,1  млрд. сомони,  а его реальный рост составил 7,4% , против  6,5%  в 2010 году,  хотя и не достиг  докризисного уровня 2008 года. Резкое падение ВВП  пришлось на 2009 год,  ставший  пиком падения  для  экономики страны, когда  его снижение  в сравнении  с докризисным годом составило 4,5  процентных пункта.  Следует отметить, что  несмотря  на  стабильное восстановление экономики страны  в последующие  два года,  достичь  темпов  роста  докризисного  периода еще не удалось.  </w:t>
      </w:r>
    </w:p>
    <w:p>
      <w:pPr>
        <w:pStyle w:val="style0"/>
        <w:ind w:hanging="0" w:left="1286" w:right="725"/>
        <w:spacing w:after="0" w:before="408"/>
      </w:pPr>
      <w:r>
        <w:rPr/>
        <w:drawing>
          <wp:inline distB="0" distL="0" distR="0" distT="0">
            <wp:extent cx="5029200" cy="27698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ind w:firstLine="720" w:left="0" w:right="0"/>
        <w:shd w:fill="FFFFFF"/>
        <w:spacing w:after="0" w:before="581" w:line="418" w:lineRule="exact"/>
      </w:pPr>
      <w:r>
        <w:rPr>
          <w:color w:val="000000"/>
          <w:sz w:val="24"/>
          <w:szCs w:val="24"/>
        </w:rPr>
        <w:t>Рост наблюдался почти во всех сферах экономики, в том  числе  увеличение было  зафиксировано в сфере обслуживания (11,4%), торгово-розничного оборота (8,9%), производства  сельскохозяйственной продукции (7,9%),  промышленной продукции ( 5,9%),  строительства  (5,0%).</w:t>
      </w:r>
    </w:p>
    <w:p>
      <w:pPr>
        <w:pStyle w:val="style0"/>
        <w:jc w:val="both"/>
        <w:ind w:firstLine="720" w:left="0" w:right="0"/>
        <w:shd w:fill="FFFFFF"/>
        <w:spacing w:after="0" w:before="120" w:line="418" w:lineRule="exact"/>
      </w:pPr>
      <w:r>
        <w:rPr>
          <w:color w:val="000000"/>
          <w:sz w:val="24"/>
          <w:szCs w:val="24"/>
        </w:rPr>
        <w:t>В тоже время инвестиций  в основной капитал ( строительство)  за счет всех источников финансирования было освоено на сумму 4,8 млрд. сомони, или  на 5,0 %   больше  в сравнении с 2010 годом, из которых   77,6%  приходится на  внутренние  инвестиции.</w:t>
      </w:r>
    </w:p>
    <w:p>
      <w:pPr>
        <w:pStyle w:val="style0"/>
        <w:jc w:val="both"/>
        <w:shd w:fill="FFFFFF"/>
        <w:spacing w:after="0" w:before="120" w:line="418" w:lineRule="exact"/>
      </w:pPr>
      <w:r>
        <w:rPr>
          <w:color w:val="000000"/>
          <w:sz w:val="24"/>
          <w:szCs w:val="24"/>
        </w:rPr>
        <w:t>Из  общего объема платных услуг , оказанных населению в 2011 году,   18,1% оказаны  государственным сектором  и 81,9 %  предприятиями негосударственного сектора.</w:t>
      </w:r>
    </w:p>
    <w:p>
      <w:pPr>
        <w:pStyle w:val="style0"/>
        <w:jc w:val="both"/>
        <w:shd w:fill="FFFFFF"/>
        <w:spacing w:after="0" w:before="120" w:line="418" w:lineRule="exact"/>
      </w:pPr>
      <w:r>
        <w:rPr>
          <w:color w:val="000000"/>
          <w:sz w:val="24"/>
          <w:szCs w:val="24"/>
        </w:rPr>
        <w:t>Доля ВВП на душу населения  по итогам  2011 года составила 3,9 тыс. сомони, увеличившись в сравнении с 2010 годом на  19,9%,  а по отношению к 2009 году- на 41,7%.</w:t>
      </w:r>
    </w:p>
    <w:p>
      <w:pPr>
        <w:pStyle w:val="style0"/>
        <w:jc w:val="both"/>
        <w:ind w:firstLine="710" w:left="14" w:right="14"/>
        <w:shd w:fill="FFFFFF"/>
        <w:spacing w:after="0" w:before="120" w:line="418" w:lineRule="exact"/>
      </w:pPr>
      <w:r>
        <w:rPr>
          <w:color w:val="000000"/>
          <w:sz w:val="24"/>
          <w:szCs w:val="24"/>
        </w:rPr>
        <w:t>Согласно статистическим данным,   в 2001 году уровень  безработицы по сравнению  с 2010  годом, остался без изменения- на  уровне 2,5 %  экономически  активного населения.</w:t>
      </w:r>
    </w:p>
    <w:p>
      <w:pPr>
        <w:pStyle w:val="style0"/>
        <w:jc w:val="both"/>
        <w:ind w:firstLine="710" w:left="14" w:right="14"/>
        <w:shd w:fill="FFFFFF"/>
        <w:spacing w:after="0" w:before="120" w:line="418" w:lineRule="exact"/>
      </w:pPr>
      <w:r>
        <w:rPr>
          <w:color w:val="000000"/>
          <w:sz w:val="24"/>
          <w:szCs w:val="24"/>
        </w:rPr>
        <w:t xml:space="preserve">Среднемесячная заработная плата на конец года составила  446,23  сомони, что на 25,8%   больше по сравнению с 2010 годом и в 1.55 раза  больше, чем в 2009 году. </w:t>
      </w:r>
    </w:p>
    <w:p>
      <w:pPr>
        <w:pStyle w:val="style0"/>
        <w:jc w:val="both"/>
        <w:ind w:firstLine="715" w:left="0" w:right="14"/>
        <w:shd w:fill="FFFFFF"/>
        <w:spacing w:line="418" w:lineRule="exact"/>
      </w:pPr>
      <w:r>
        <w:rPr>
          <w:color w:val="000000"/>
          <w:sz w:val="24"/>
          <w:szCs w:val="24"/>
        </w:rPr>
        <w:t>Денежные доходы населения в 2011 году составили 16,2 млрд. сомони, увеличившись по отношению к предыдущему году на 22,1%,  и  в 1, 49 раза  по отношению к 2009 году.</w:t>
      </w:r>
    </w:p>
    <w:p>
      <w:pPr>
        <w:pStyle w:val="style0"/>
        <w:jc w:val="both"/>
        <w:ind w:firstLine="715" w:left="0" w:right="14"/>
        <w:shd w:fill="FFFFFF"/>
        <w:spacing w:line="418" w:lineRule="exact"/>
      </w:pPr>
      <w:r>
        <w:rPr>
          <w:color w:val="000000"/>
          <w:sz w:val="24"/>
          <w:szCs w:val="24"/>
        </w:rPr>
        <w:t>В отчетном периоде продолжительное влияние роста цен на мировых рынках и увеличение экспортных таможенных пошлин на нефтепродукты со стороны отдельных стран экспортеров, как внешние факторы, негативно отразились на повышении цен на импортируемые продукты и способствовали росту инфляции в республике. Данное положение обусловило увеличение производственных расходов и способствовало росту цен потребительских товаров в стране.</w:t>
      </w:r>
    </w:p>
    <w:p>
      <w:pPr>
        <w:pStyle w:val="style0"/>
        <w:jc w:val="both"/>
        <w:ind w:firstLine="701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 xml:space="preserve">В 2011 году уровень инфляции составил 9,3%, что   на 0,5 процентных пункта  ниже по отношению к 2010 году. </w:t>
      </w:r>
    </w:p>
    <w:p>
      <w:pPr>
        <w:pStyle w:val="style0"/>
        <w:jc w:val="both"/>
        <w:ind w:firstLine="701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>Сложившаяся инфляция была обусловлена ростом цен на продовольственные товары 10,3%, непродовольственные товары 7,2% и услуги 9,2%.</w:t>
      </w:r>
    </w:p>
    <w:p>
      <w:pPr>
        <w:pStyle w:val="style0"/>
        <w:jc w:val="both"/>
        <w:ind w:firstLine="701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>Однако,  по отношению к 2009 году    инфляция  увеличилась на   4,3 процентных пункта.</w:t>
      </w:r>
    </w:p>
    <w:p>
      <w:pPr>
        <w:pStyle w:val="style0"/>
        <w:jc w:val="both"/>
        <w:ind w:firstLine="701" w:left="0" w:right="0"/>
        <w:shd w:fill="FFFFFF"/>
        <w:spacing w:line="418" w:lineRule="exact"/>
      </w:pPr>
      <w:r>
        <w:rPr>
          <w:color w:val="000000"/>
          <w:sz w:val="24"/>
          <w:szCs w:val="24"/>
        </w:rPr>
      </w:r>
    </w:p>
    <w:p>
      <w:pPr>
        <w:pStyle w:val="style0"/>
        <w:ind w:hanging="0" w:left="979" w:right="874"/>
        <w:spacing w:after="0" w:before="442"/>
      </w:pPr>
      <w:r>
        <w:rPr/>
        <w:drawing>
          <wp:inline distB="0" distL="0" distR="0" distT="0">
            <wp:extent cx="5125720" cy="29279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ind w:firstLine="710" w:left="10" w:right="5"/>
        <w:shd w:fill="FFFFFF"/>
        <w:spacing w:line="418" w:lineRule="exact"/>
      </w:pPr>
      <w:r>
        <w:rPr/>
      </w:r>
    </w:p>
    <w:p>
      <w:pPr>
        <w:pStyle w:val="style0"/>
        <w:jc w:val="both"/>
        <w:ind w:firstLine="706" w:left="10" w:right="0"/>
        <w:shd w:fill="FFFFFF"/>
        <w:spacing w:line="418" w:lineRule="exact"/>
      </w:pPr>
      <w:r>
        <w:rPr>
          <w:color w:val="000000"/>
          <w:sz w:val="24"/>
          <w:szCs w:val="24"/>
        </w:rPr>
        <w:t>Согласно анализам Национального банка Таджикистана, уровень базовой инфляции (без учета влияния сезонных, административных и внешних факторов) в 2011 году составил 4,4%, что по отношению к предыдущему году больше на 2,5 процентных пункта.</w:t>
      </w:r>
    </w:p>
    <w:p>
      <w:pPr>
        <w:pStyle w:val="style0"/>
        <w:jc w:val="both"/>
        <w:ind w:firstLine="706" w:left="10" w:right="0"/>
        <w:shd w:fill="FFFFFF"/>
        <w:spacing w:line="418" w:lineRule="exact"/>
      </w:pPr>
      <w:r>
        <w:rPr>
          <w:color w:val="000000"/>
          <w:sz w:val="24"/>
          <w:szCs w:val="24"/>
        </w:rPr>
        <w:t>.</w:t>
      </w:r>
    </w:p>
    <w:p>
      <w:pPr>
        <w:pStyle w:val="style0"/>
      </w:pPr>
      <w:r>
        <w:rPr/>
      </w:r>
    </w:p>
    <w:p>
      <w:pPr>
        <w:pStyle w:val="style0"/>
        <w:ind w:hanging="0" w:left="686" w:right="0"/>
        <w:shd w:fill="FFFFFF"/>
        <w:spacing w:after="0" w:before="28"/>
      </w:pPr>
      <w:r>
        <w:rPr>
          <w:color w:val="000000"/>
          <w:sz w:val="24"/>
          <w:b/>
          <w:szCs w:val="24"/>
          <w:bCs/>
        </w:rPr>
        <w:t xml:space="preserve">II. </w:t>
      </w:r>
      <w:r>
        <w:rPr>
          <w:color w:val="000000"/>
          <w:sz w:val="24"/>
          <w:b/>
          <w:szCs w:val="24"/>
        </w:rPr>
        <w:t>Развитие внешнего сектора.</w:t>
      </w:r>
    </w:p>
    <w:p>
      <w:pPr>
        <w:pStyle w:val="style0"/>
        <w:jc w:val="both"/>
        <w:ind w:firstLine="715" w:left="5" w:right="10"/>
        <w:shd w:fill="FFFFFF"/>
        <w:spacing w:after="0" w:before="432" w:line="418" w:lineRule="exact"/>
      </w:pPr>
      <w:r>
        <w:rPr>
          <w:color w:val="000000"/>
          <w:sz w:val="24"/>
          <w:szCs w:val="24"/>
        </w:rPr>
        <w:t>Внешнеторговый оборот Республики Таджикистан в 2011 году составил 4,4 млрд. долл. США, увеличившись по сравнению с 2010  годом на 15,4%, с 2009 годом на  24,1% , или 0,9 млрд. долларов США.</w:t>
      </w:r>
    </w:p>
    <w:p>
      <w:pPr>
        <w:pStyle w:val="style0"/>
        <w:jc w:val="both"/>
        <w:ind w:firstLine="706" w:left="10" w:right="0"/>
        <w:shd w:fill="FFFFFF"/>
        <w:spacing w:line="418" w:lineRule="exact"/>
      </w:pPr>
      <w:r>
        <w:rPr>
          <w:color w:val="000000"/>
          <w:sz w:val="24"/>
          <w:szCs w:val="24"/>
        </w:rPr>
        <w:t xml:space="preserve">Торговый баланс на протяжении последних лет складывается  традиционно  с  дефицитом: в 2011 году  на сумму  1,9 млрд. долл. США, в 2010 году- на 1,5 млрд. долларов СЩА  и в 2009 году-  на  1,6  млрд. долларов США.  Рост  дефицита торгового  баланса сложился под давлением роста цен на основные импортируемые товары (особенно потребительские товары и топливо), а  также увеличения внутреннего спроса на потребительские товары.  </w:t>
      </w:r>
    </w:p>
    <w:p>
      <w:pPr>
        <w:pStyle w:val="style0"/>
        <w:ind w:hanging="0" w:left="763" w:right="1190"/>
        <w:spacing w:after="0" w:before="442"/>
      </w:pPr>
      <w:r>
        <w:rPr/>
        <w:drawing>
          <wp:inline distB="0" distL="0" distR="0" distT="0">
            <wp:extent cx="5055870" cy="33851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ind w:firstLine="720" w:left="0" w:right="10"/>
        <w:shd w:fill="FFFFFF"/>
        <w:spacing w:after="0" w:before="427" w:line="418" w:lineRule="exact"/>
      </w:pPr>
      <w:r>
        <w:rPr>
          <w:color w:val="000000"/>
          <w:sz w:val="24"/>
          <w:szCs w:val="24"/>
        </w:rPr>
        <w:t>Экспорт товаров в 2011 году составил 1 256,9 млн. долл. США, увеличившись по отношению к 2010 году на 5,2%, к 2009 году- на 24,4%. Импорт товаров за отчетный год составил 3 186,4 млн. долл. США и увеличился по сравнению с 2010 годом- на 19,9%,  с 2009 годом- на 24,0%.</w:t>
      </w:r>
    </w:p>
    <w:p>
      <w:pPr>
        <w:pStyle w:val="style0"/>
        <w:jc w:val="both"/>
        <w:ind w:firstLine="720" w:left="0" w:right="10"/>
        <w:shd w:fill="FFFFFF"/>
        <w:spacing w:after="0" w:before="427" w:line="418" w:lineRule="exact"/>
      </w:pPr>
      <w:r>
        <w:rPr>
          <w:color w:val="000000"/>
          <w:sz w:val="24"/>
          <w:szCs w:val="24"/>
        </w:rPr>
      </w:r>
    </w:p>
    <w:p>
      <w:pPr>
        <w:pStyle w:val="style0"/>
        <w:ind w:hanging="0" w:left="720" w:right="0"/>
        <w:shd w:fill="FFFFFF"/>
      </w:pPr>
      <w:r>
        <w:rPr>
          <w:color w:val="000000"/>
          <w:sz w:val="24"/>
          <w:b/>
          <w:szCs w:val="24"/>
          <w:bCs/>
          <w:lang w:val="en-US"/>
        </w:rPr>
        <w:t>III</w:t>
      </w:r>
      <w:r>
        <w:rPr>
          <w:color w:val="000000"/>
          <w:sz w:val="24"/>
          <w:b/>
          <w:szCs w:val="24"/>
          <w:bCs/>
        </w:rPr>
        <w:t xml:space="preserve">. </w:t>
      </w:r>
      <w:r>
        <w:rPr>
          <w:color w:val="000000"/>
          <w:sz w:val="24"/>
          <w:b/>
          <w:szCs w:val="24"/>
        </w:rPr>
        <w:t>Финансово</w:t>
      </w:r>
      <w:r>
        <w:rPr>
          <w:color w:val="000000"/>
          <w:sz w:val="24"/>
          <w:b/>
          <w:szCs w:val="24"/>
          <w:bCs/>
        </w:rPr>
        <w:t>-</w:t>
      </w:r>
      <w:r>
        <w:rPr>
          <w:color w:val="000000"/>
          <w:sz w:val="24"/>
          <w:b/>
          <w:szCs w:val="24"/>
        </w:rPr>
        <w:t>банковский сектор</w:t>
      </w:r>
    </w:p>
    <w:p>
      <w:pPr>
        <w:pStyle w:val="style0"/>
        <w:jc w:val="both"/>
        <w:ind w:firstLine="706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>По состоянию на 1 января 2012 года на территории республики функционировали 15 банков, 2 небанковских кредитных организаций, 122 микрофинансовых организаций и 274 отделений и филиалов. За два года  число банков увеличилось на 2 единицы,    их филиалов на 37 единиц и микрофинансовых организаций на 6 единиц.</w:t>
      </w:r>
    </w:p>
    <w:p>
      <w:pPr>
        <w:pStyle w:val="style0"/>
        <w:ind w:hanging="0" w:left="1008" w:right="0"/>
        <w:shd w:fill="FFFFFF"/>
        <w:spacing w:after="0" w:before="360"/>
      </w:pPr>
      <w:r>
        <w:rPr>
          <w:color w:val="000000"/>
          <w:sz w:val="24"/>
          <w:i/>
          <w:szCs w:val="24"/>
          <w:iCs/>
        </w:rPr>
        <w:t xml:space="preserve">Таблица 1. </w:t>
      </w:r>
      <w:r>
        <w:rPr>
          <w:color w:val="000000"/>
          <w:sz w:val="24"/>
          <w:szCs w:val="24"/>
        </w:rPr>
        <w:t>Банковская система Республики Таджикистан (кол. единиц)</w:t>
      </w:r>
    </w:p>
    <w:p>
      <w:pPr>
        <w:pStyle w:val="style0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4403"/>
        <w:gridCol w:w="1895"/>
        <w:gridCol w:w="1772"/>
        <w:gridCol w:w="1500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4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</w:rPr>
              <w:t>Наименование   кредитных организаций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</w:rPr>
              <w:t>31.12.2009 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</w:rPr>
              <w:t>31.12.2010 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</w:rPr>
              <w:t>31.12.2011 г.</w:t>
            </w:r>
          </w:p>
        </w:tc>
      </w:tr>
    </w:tbl>
    <w:p>
      <w:pPr>
        <w:pStyle w:val="style0"/>
      </w:pPr>
      <w:r>
        <w:rPr>
          <w:sz w:val="24"/>
          <w:szCs w:val="24"/>
        </w:rPr>
        <w:t xml:space="preserve">Банки                                                                               13                               14                       15        </w:t>
      </w:r>
    </w:p>
    <w:p>
      <w:pPr>
        <w:pStyle w:val="style0"/>
      </w:pPr>
      <w:r>
        <w:rPr>
          <w:sz w:val="24"/>
          <w:szCs w:val="24"/>
        </w:rPr>
        <w:t xml:space="preserve">Небанковские кредитные организации                         6                                  2                        2             </w:t>
      </w:r>
    </w:p>
    <w:p>
      <w:pPr>
        <w:pStyle w:val="style0"/>
      </w:pPr>
      <w:r>
        <w:rPr>
          <w:sz w:val="24"/>
          <w:szCs w:val="24"/>
        </w:rPr>
        <w:t xml:space="preserve">Микрокредитные депозитные организации                31                                35                      34             </w:t>
      </w:r>
    </w:p>
    <w:p>
      <w:pPr>
        <w:pStyle w:val="style0"/>
      </w:pPr>
      <w:r>
        <w:rPr>
          <w:sz w:val="24"/>
          <w:szCs w:val="24"/>
        </w:rPr>
        <w:t xml:space="preserve">Микрозаемные организации                                         42                                42                      43          </w:t>
      </w:r>
    </w:p>
    <w:p>
      <w:pPr>
        <w:pStyle w:val="style0"/>
      </w:pPr>
      <w:r>
        <w:rPr>
          <w:sz w:val="24"/>
          <w:szCs w:val="24"/>
        </w:rPr>
        <w:t xml:space="preserve">Микрозаемные фонды                                                   43                                44                      45   </w:t>
      </w:r>
    </w:p>
    <w:p>
      <w:pPr>
        <w:pStyle w:val="style0"/>
      </w:pPr>
      <w:r>
        <w:rPr>
          <w:sz w:val="24"/>
          <w:szCs w:val="24"/>
        </w:rPr>
        <w:t xml:space="preserve">          </w:t>
      </w:r>
    </w:p>
    <w:p>
      <w:pPr>
        <w:pStyle w:val="style0"/>
      </w:pPr>
      <w:r>
        <w:rPr>
          <w:sz w:val="24"/>
          <w:szCs w:val="24"/>
        </w:rPr>
        <w:t xml:space="preserve">Итого                                                                             135                              137                    139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i/>
          <w:b/>
          <w:szCs w:val="24"/>
          <w:iCs/>
          <w:bCs/>
        </w:rPr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szCs w:val="24"/>
          <w:iCs/>
          <w:bCs/>
        </w:rPr>
        <w:t>Несмотря  на отголоски финансового кризиса  банковская  система  страны развивается довольно активно.</w:t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>Так, общие  активы кредитных организаций по состоянию на 1 января  2012 года составили 9,1 млрд. сомони, увеличившись за  год на 33,7%.  За два года активы кредитных организаций  выросли в 1,69 раза , или на 3,7 млрд. сомони.  Выдача кредитов за два  последних года  заметно активизировалась. Так, в 2011 году было выдано кредитов на сумму 5,1 млрд. сомони, , или на 7, 2% больше, чем в 2010 году и в 1,71 раза больше, чем в 2009 году, когда  наблюдался заметный спад кредитования  на фоне  финансового кризиса. При этом, одной  из основных проблем кредитования является  недостаток долгосрочных кредитных ресурсов. А именно,  из  общего объема выданных кредитов экономике в 2011 году  долгосрочные кредиты  составляли 30,1%,  при том, что в 2010 году на долю таких кредитов приходилось 32,7%.</w:t>
      </w:r>
    </w:p>
    <w:p>
      <w:pPr>
        <w:pStyle w:val="style0"/>
        <w:jc w:val="both"/>
        <w:ind w:firstLine="715" w:left="0" w:right="10"/>
        <w:shd w:fill="FFFFFF"/>
        <w:spacing w:line="418" w:lineRule="exact"/>
      </w:pPr>
      <w:r>
        <w:rPr>
          <w:color w:val="000000"/>
          <w:sz w:val="24"/>
          <w:szCs w:val="24"/>
        </w:rPr>
        <w:t>Одним из основных направлений поддержки малого и среднего бизнеса, содействующего снижению уровня бедности населения   по всей территории  республики, особенно в отдаленных и горных районах,  является   микрокредитование.</w:t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color w:val="000000"/>
          <w:sz w:val="24"/>
          <w:szCs w:val="24"/>
        </w:rPr>
        <w:t>За 2011 год объем предоставленных микрокредитов составил 2,4 млрд. сомони, увеличившись   за  два года в 1,5 раза.</w:t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color w:val="000000"/>
          <w:sz w:val="24"/>
          <w:szCs w:val="24"/>
        </w:rPr>
        <w:t>Вместе с тем,  следует отметить,  что  следствием финансового  кризиса стало  перераспределение  кредитования  из национальной   в пользу  иностранной валюты, о чем  свидетельствует  рост удельного веса выданных  кредитов  в  иностранной валюте  в общем  объеме кредитования  с 56, 8%  в 2009 году, до 57,2% в 2010 году   и до 58,3 %  в 2011 году.</w:t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Произошло улучшение качества кредитного портфеля.  Удельный вес  классифицированных кредитов  в составе кредитного портфеля  постепенно  снижался- с 21,6% в 2009 году , до 17,2 % в 2010 году и  до 12,8 %  в 20011 году.</w:t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>Пассивы</w:t>
      </w:r>
      <w:r>
        <w:rPr>
          <w:color w:val="000000"/>
          <w:sz w:val="24"/>
          <w:i/>
          <w:b/>
          <w:szCs w:val="24"/>
          <w:iCs/>
          <w:bCs/>
        </w:rPr>
        <w:t xml:space="preserve"> </w:t>
      </w:r>
      <w:r>
        <w:rPr>
          <w:color w:val="000000"/>
          <w:sz w:val="24"/>
          <w:szCs w:val="24"/>
        </w:rPr>
        <w:t xml:space="preserve">кредитных организаций на конец 2011  года составили 7,2 млрд. сомони, увеличившись по сравнению с началом года на 32,4%. За два года  обязательства кредитных организаций возросли в 1,72 раза, или на 3, 0 млрд. сомони. Рост обязательств  за этот период на 60,% обеспечен за счет  привлечения  депозитов. </w:t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szCs w:val="24"/>
        </w:rPr>
        <w:t>Необходимо отметить, что в связи с усилением требований к управлению рисками, улучшилось качество банковского обслуживания , которое  и создало благоприятные условия для увеличения объема депозитов и расширения филиальной сети в регионах.</w:t>
      </w:r>
    </w:p>
    <w:p>
      <w:pPr>
        <w:pStyle w:val="style0"/>
        <w:jc w:val="both"/>
        <w:ind w:firstLine="720" w:left="0" w:right="0"/>
        <w:shd w:fill="FFFFFF"/>
        <w:spacing w:line="418" w:lineRule="exact"/>
      </w:pPr>
      <w:r>
        <w:rPr>
          <w:color w:val="000000"/>
          <w:sz w:val="24"/>
          <w:szCs w:val="24"/>
          <w:iCs/>
        </w:rPr>
        <w:t>Положительная тенденция  имеет место  в росте  капитализации  кредитных организаций. Балансовый</w:t>
      </w:r>
      <w:r>
        <w:rPr>
          <w:color w:val="000000"/>
          <w:sz w:val="24"/>
          <w:i/>
          <w:szCs w:val="24"/>
          <w:iCs/>
        </w:rPr>
        <w:t xml:space="preserve"> </w:t>
      </w:r>
      <w:r>
        <w:rPr>
          <w:color w:val="000000"/>
          <w:sz w:val="24"/>
          <w:szCs w:val="24"/>
          <w:iCs/>
          <w:bCs/>
        </w:rPr>
        <w:t>капитал</w:t>
      </w:r>
      <w:r>
        <w:rPr>
          <w:color w:val="000000"/>
          <w:sz w:val="24"/>
          <w:i/>
          <w:b/>
          <w:szCs w:val="24"/>
          <w:iCs/>
          <w:bCs/>
        </w:rPr>
        <w:t xml:space="preserve"> </w:t>
      </w:r>
      <w:r>
        <w:rPr>
          <w:color w:val="000000"/>
          <w:sz w:val="24"/>
          <w:szCs w:val="24"/>
        </w:rPr>
        <w:t>кредитных организаций   за 2011 год увеличился на 38,6%, составив  на 1 января 2012 года 1,9 млрд. сомони.  По сравнению с 2009 годом  балансовый капитал  кредитных организаций  вырос в 1,57 раза, или на 0,7 млрд. сомони.</w:t>
      </w:r>
    </w:p>
    <w:p>
      <w:pPr>
        <w:pStyle w:val="style0"/>
        <w:jc w:val="both"/>
        <w:ind w:firstLine="682" w:left="10" w:right="5"/>
        <w:shd w:fill="FFFFFF"/>
        <w:spacing w:line="418" w:lineRule="exact"/>
      </w:pPr>
      <w:r>
        <w:rPr>
          <w:color w:val="000000"/>
          <w:sz w:val="24"/>
          <w:i/>
          <w:b/>
          <w:szCs w:val="24"/>
          <w:iCs/>
          <w:bCs/>
        </w:rPr>
        <w:t xml:space="preserve"> </w:t>
      </w:r>
      <w:r>
        <w:rPr>
          <w:color w:val="000000"/>
          <w:sz w:val="24"/>
          <w:szCs w:val="24"/>
        </w:rPr>
        <w:t xml:space="preserve">Общий объём  депозитов по состоянию на 1 января  2012 года составил 4,4 млрд. сомони увеличившись  к 2010 году на 35,2%,  к 2009 году – 1,68 раза. Доля депозитов юридических лиц в общем  объеме депозитов составляет 48,8%,  физических лиц- 51,6%. Следует отметить, что за последние два года структура депозитов  перераспределилась в пользу физических лиц, о чем свидетельствует  ежегодный рост удельного веса  депозитов  физ. лиц с 42,3% в 2009 году, до 45,6% в 2010 году  и 51,6 % в 2011 году. Соответственно,  удельный вес депозитов юридических  лиц составил: в 2009 году- 57,7%, в 2010 году- 54,4%, в 2011 году- 48,4%. Депозиты в .национальной валюте  составляют 36,8%, в иностранной - 63,2% от общего остатка депозитов по состоянию на 1 января 2012 года, увеличившись относительно аналогичной даты прошедшего года в национальной валюте на 17,9% и в иностранной валюте на 48,1%. </w:t>
      </w:r>
    </w:p>
    <w:p>
      <w:pPr>
        <w:pStyle w:val="style0"/>
        <w:ind w:hanging="0" w:left="456" w:right="504"/>
        <w:spacing w:after="0" w:before="259"/>
      </w:pPr>
      <w:r>
        <w:rPr/>
        <w:drawing>
          <wp:inline distB="0" distL="0" distR="0" distT="0">
            <wp:extent cx="5697220" cy="35344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sz w:val="24"/>
          <w:szCs w:val="24"/>
        </w:rPr>
      </w:r>
    </w:p>
    <w:p>
      <w:pPr>
        <w:pStyle w:val="style0"/>
        <w:jc w:val="both"/>
        <w:shd w:fill="FFFFFF"/>
        <w:spacing w:line="418" w:lineRule="exact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Следует отметить, что  депозиты  в иностранной валюте  продолжают  сохранять приоритет  в структуре депозитной базы  кредитных организаций и соответственно  оказывать влияние  на  формирование  ресурсной базы   банковской системы   страны.</w:t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sz w:val="24"/>
          <w:szCs w:val="24"/>
        </w:rPr>
        <w:t>Основные показатели   кредитных организаций   свидетельствуют об  изменении   структуры  активов  и обязательств.  Так, только по итогам 2011 года  удельный вес кредитов  и инвестиций  в структуре  активов  снизился в сравнении с 2010 годом на 6,5  и 1,3 процентных пункта, составив   45,1% и 6,2% соответственно. В структуре  обязательств  доля депозитов    в сравнении с 2010 годом  увеличилась на 1,3 процентных пункта,  составив 61,6 %.</w:t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sz w:val="24"/>
          <w:szCs w:val="24"/>
        </w:rPr>
        <w:t>Из состава  общих активов  кредитных организаций  за 2011 год  на долю депозитов  приходится 48,4%, балансового капитала- 21,4%, централизованных средств-1,8%, привлеченных средств  кредитных организаций-4,8%, прочих обязательств -23,6%.</w:t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sz w:val="24"/>
          <w:szCs w:val="24"/>
        </w:rPr>
        <w:t>Следует отметить, что по итогам 2011 года  банковская система Таджикистана  вышла с убытками  в сумме  30,5 млн. сомони, что было  вызвано  необходимостью  формирования   Фонда покрытия  возможных потерь по ссудам.    По итогам  2009 года  уже наблюдалось   резкое ( в половину) снижение   прибыли банковской системы страны  по сравнению с 2008 годом, что  явилось следствием  финансового кризиса.  На протяжении последних  трех лет  банковская система  Таджикистана  так и не смогла   восстановить свою прибыльность до  предкризисного  периода.</w:t>
      </w:r>
    </w:p>
    <w:p>
      <w:pPr>
        <w:pStyle w:val="style0"/>
      </w:pPr>
      <w:r>
        <w:rPr/>
      </w:r>
    </w:p>
    <w:p>
      <w:pPr>
        <w:pStyle w:val="style0"/>
        <w:tabs>
          <w:tab w:leader="none" w:pos="7035" w:val="left"/>
        </w:tabs>
      </w:pPr>
      <w:r>
        <w:rPr/>
        <w:tab/>
      </w:r>
    </w:p>
    <w:p>
      <w:pPr>
        <w:pStyle w:val="style0"/>
        <w:tabs>
          <w:tab w:leader="none" w:pos="7035" w:val="left"/>
        </w:tabs>
      </w:pPr>
      <w:r>
        <w:rPr/>
      </w:r>
    </w:p>
    <w:p>
      <w:pPr>
        <w:pStyle w:val="style0"/>
        <w:tabs>
          <w:tab w:leader="none" w:pos="7035" w:val="left"/>
        </w:tabs>
      </w:pPr>
      <w:r>
        <w:rPr/>
      </w:r>
    </w:p>
    <w:p>
      <w:pPr>
        <w:pStyle w:val="style0"/>
        <w:tabs>
          <w:tab w:leader="none" w:pos="7035" w:val="left"/>
        </w:tabs>
      </w:pPr>
      <w:r>
        <w:rPr/>
      </w:r>
    </w:p>
    <w:p>
      <w:pPr>
        <w:pStyle w:val="style0"/>
        <w:tabs>
          <w:tab w:leader="none" w:pos="7035" w:val="left"/>
        </w:tabs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Повышение доходности  по результатам работы  1 квартала  связано  с уменьшением расходов  на формирование    резерва  на покрытие  возможных потерь по ссудам.</w:t>
      </w:r>
    </w:p>
    <w:p>
      <w:pPr>
        <w:pStyle w:val="style0"/>
        <w:tabs>
          <w:tab w:leader="none" w:pos="7035" w:val="left"/>
        </w:tabs>
      </w:pPr>
      <w:r>
        <w:rPr>
          <w:sz w:val="24"/>
          <w:szCs w:val="24"/>
        </w:rPr>
      </w:r>
    </w:p>
    <w:p>
      <w:pPr>
        <w:pStyle w:val="style0"/>
        <w:jc w:val="both"/>
        <w:ind w:firstLine="701" w:left="5" w:right="0"/>
        <w:shd w:fill="FFFFFF"/>
        <w:spacing w:after="240" w:before="0" w:line="437" w:lineRule="exact"/>
      </w:pPr>
      <w:r>
        <w:rPr>
          <w:color w:val="000000"/>
          <w:sz w:val="24"/>
          <w:szCs w:val="24"/>
        </w:rPr>
        <w:t xml:space="preserve">Проводимая   Национальным банком Таджикистан денежно-кредитная политика  направлена на поддержание стабильного роста резервных денег и денежных агрегатов с целью достижения соответствующего уровня инфляции и обеспечения стабильного роста денежной массы в экономике. В рамках этой программы объём резервных денег, который является основным показателем денежно-кредитной политики, на начало 2012 года составил 3,8 млрд. сомони, увеличившись по отношению к 2011 году   </w:t>
      </w:r>
      <w:r>
        <w:rPr>
          <w:color w:val="000000"/>
          <w:sz w:val="24"/>
          <w:b/>
          <w:szCs w:val="24"/>
          <w:bCs/>
        </w:rPr>
        <w:t xml:space="preserve">на </w:t>
      </w:r>
      <w:r>
        <w:rPr>
          <w:color w:val="000000"/>
          <w:sz w:val="24"/>
          <w:szCs w:val="24"/>
        </w:rPr>
        <w:t>27,0%.</w:t>
      </w:r>
    </w:p>
    <w:p>
      <w:pPr>
        <w:pStyle w:val="style0"/>
        <w:jc w:val="both"/>
        <w:ind w:firstLine="706" w:left="10" w:right="0"/>
        <w:shd w:fill="FFFFFF"/>
        <w:spacing w:line="437" w:lineRule="exact"/>
      </w:pPr>
      <w:r>
        <w:rPr>
          <w:color w:val="000000"/>
          <w:sz w:val="24"/>
          <w:szCs w:val="24"/>
        </w:rPr>
        <w:t>В связи с этим, Национальный банк Таджикистана ужесточил условия реализации денежно-кредитной политики и повысил ставку рефинансирования с 8,25% до 9,80% годовых. В то же время, была изменена процентная ставка по кредитам, предоставляемым для обеспечения ликвидности банков страны. Норматив обязательных резервов, с учетом обеспечения ликвидности банковской системы и поддержки реального сектора экономики остался без изменений.</w:t>
      </w:r>
    </w:p>
    <w:p>
      <w:pPr>
        <w:pStyle w:val="style0"/>
        <w:jc w:val="both"/>
        <w:ind w:firstLine="706" w:left="5" w:right="0"/>
        <w:shd w:fill="FFFFFF"/>
        <w:spacing w:line="418" w:lineRule="exact"/>
      </w:pPr>
      <w:r>
        <w:rPr>
          <w:color w:val="000000"/>
          <w:sz w:val="24"/>
          <w:szCs w:val="24"/>
        </w:rPr>
        <w:t>В целях сохранения устойчивости финансовой системы страны, Национальный банк Таджикистана осуществил ряд операций, в результате которых объем золотовалютных резервов по итогам 2011 года составил 801,6 млн. долл. США, увеличившись по отношению к 2010 году на 20,8%.</w:t>
      </w:r>
    </w:p>
    <w:p>
      <w:pPr>
        <w:pStyle w:val="style0"/>
        <w:jc w:val="both"/>
        <w:ind w:firstLine="701" w:left="5" w:right="0"/>
        <w:shd w:fill="FFFFFF"/>
        <w:spacing w:after="0" w:before="5" w:line="437" w:lineRule="exact"/>
      </w:pPr>
      <w:r>
        <w:rPr/>
      </w:r>
    </w:p>
    <w:sectPr>
      <w:formProt w:val="off"/>
      <w:pgSz w:h="16837" w:w="11905"/>
      <w:textDirection w:val="lrTb"/>
      <w:pgNumType w:fmt="decimal"/>
      <w:type w:val="nextPage"/>
      <w:headerReference r:id="rId6" w:type="even"/>
      <w:headerReference r:id="rId7" w:type="default"/>
      <w:footerReference r:id="rId8" w:type="even"/>
      <w:footerReference r:id="rId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6"/>
    </w:pPr>
    <w:r>
      <w:rPr/>
    </w:r>
  </w:p>
</w:ftr>
</file>

<file path=word/footer2.xml><?xml version="1.0" encoding="utf-8"?>
<w:ftr xmlns:w="http://schemas.openxmlformats.org/wordprocessingml/2006/main">
  <w:p>
    <w:pPr>
      <w:pStyle w:val="style26"/>
      <w:jc w:val="right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6"/>
    </w:pPr>
    <w:r>
      <w:rPr/>
    </w:r>
  </w:p>
</w:ftr>
</file>

<file path=word/header1.xml><?xml version="1.0" encoding="utf-8"?>
<w:hdr xmlns:w="http://schemas.openxmlformats.org/wordprocessingml/2006/main">
  <w:p>
    <w:pPr>
      <w:pStyle w:val="style25"/>
    </w:pPr>
    <w:r>
      <w:rPr/>
    </w:r>
  </w:p>
</w:hdr>
</file>

<file path=word/header2.xml><?xml version="1.0" encoding="utf-8"?>
<w:hdr xmlns:w="http://schemas.openxmlformats.org/wordprocessingml/2006/main"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Balloon Text"/>
    <w:basedOn w:val="style0"/>
    <w:next w:val="style24"/>
    <w:pPr/>
    <w:rPr/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2012-06-01T09:33:00.00Z</dcterms:created>
  <dc:creator>TJK</dc:creator>
  <cp:lastModifiedBy>Rudoba</cp:lastModifiedBy>
  <cp:lastPrinted>2012-06-01T11:16:00.00Z</cp:lastPrinted>
  <dcterms:modified xsi:type="dcterms:W3CDTF">2012-06-04T08:55:00.00Z</dcterms:modified>
  <cp:revision>7</cp:revision>
</cp:coreProperties>
</file>