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AE" w:rsidRPr="00161DBD" w:rsidRDefault="00F12327" w:rsidP="000A4AAE">
      <w:pPr>
        <w:ind w:left="-284" w:right="-285" w:firstLine="14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6.05pt;width:413.5pt;height:98.25pt;z-index:251660288" stroked="f">
            <v:textbox style="mso-next-textbox:#_x0000_s1026">
              <w:txbxContent>
                <w:p w:rsidR="00B6183A" w:rsidRPr="00EC1C7E" w:rsidRDefault="00B6183A" w:rsidP="000A4AAE">
                  <w:pPr>
                    <w:tabs>
                      <w:tab w:val="left" w:pos="7938"/>
                    </w:tabs>
                    <w:adjustRightInd w:val="0"/>
                    <w:ind w:left="0" w:right="174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Ответы, предоставленные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Департаментом наличного денежного обращения </w:t>
                  </w:r>
                  <w:r w:rsidRPr="00EC1C7E">
                    <w:rPr>
                      <w:b/>
                      <w:sz w:val="26"/>
                      <w:szCs w:val="26"/>
                      <w:u w:val="single"/>
                    </w:rPr>
                    <w:t>ЦБ РФ,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sz w:val="26"/>
                      <w:szCs w:val="26"/>
                    </w:rPr>
                    <w:t>на вопрос</w:t>
                  </w:r>
                  <w:r>
                    <w:rPr>
                      <w:b/>
                      <w:sz w:val="26"/>
                      <w:szCs w:val="26"/>
                    </w:rPr>
                    <w:t>ы,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поступивши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е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в Оргкомитет от участнико</w:t>
                  </w:r>
                  <w:proofErr w:type="gramStart"/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в к </w:t>
                  </w:r>
                  <w:r w:rsidRPr="00EC1C7E">
                    <w:rPr>
                      <w:b/>
                      <w:sz w:val="26"/>
                      <w:szCs w:val="26"/>
                    </w:rPr>
                    <w:t>встр</w:t>
                  </w:r>
                  <w:proofErr w:type="gramEnd"/>
                  <w:r w:rsidRPr="00EC1C7E">
                    <w:rPr>
                      <w:b/>
                      <w:sz w:val="26"/>
                      <w:szCs w:val="26"/>
                    </w:rPr>
                    <w:t xml:space="preserve">ече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руководителей Банка России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с руководителями коммерческих банков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- 1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февраля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г. в ОПК «БОР»</w:t>
                  </w:r>
                </w:p>
              </w:txbxContent>
            </v:textbox>
          </v:shape>
        </w:pict>
      </w:r>
      <w:r w:rsidR="000A4AAE">
        <w:rPr>
          <w:noProof/>
          <w:lang w:eastAsia="ru-RU"/>
        </w:rPr>
        <w:drawing>
          <wp:inline distT="0" distB="0" distL="0" distR="0">
            <wp:extent cx="11906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AE" w:rsidRDefault="000A4AAE" w:rsidP="000A4AAE">
      <w:pPr>
        <w:tabs>
          <w:tab w:val="left" w:pos="851"/>
          <w:tab w:val="left" w:pos="993"/>
        </w:tabs>
        <w:adjustRightInd w:val="0"/>
        <w:spacing w:after="0"/>
        <w:ind w:left="0" w:firstLine="0"/>
        <w:rPr>
          <w:rFonts w:cs="Times New Roman"/>
          <w:bCs/>
          <w:i/>
          <w:sz w:val="26"/>
          <w:szCs w:val="26"/>
        </w:rPr>
      </w:pPr>
    </w:p>
    <w:p w:rsidR="00910C1B" w:rsidRPr="001A401F" w:rsidRDefault="0001508C" w:rsidP="0001508C">
      <w:pPr>
        <w:spacing w:after="0"/>
        <w:ind w:left="0" w:firstLine="709"/>
        <w:rPr>
          <w:rFonts w:cs="Times New Roman"/>
          <w:sz w:val="26"/>
          <w:szCs w:val="26"/>
        </w:rPr>
      </w:pPr>
      <w:r w:rsidRPr="0001508C">
        <w:rPr>
          <w:rFonts w:cs="Times New Roman"/>
          <w:b/>
          <w:sz w:val="26"/>
          <w:szCs w:val="26"/>
        </w:rPr>
        <w:t>Вопрос 1</w:t>
      </w:r>
      <w:r>
        <w:rPr>
          <w:rFonts w:cs="Times New Roman"/>
          <w:sz w:val="26"/>
          <w:szCs w:val="26"/>
        </w:rPr>
        <w:t xml:space="preserve">. </w:t>
      </w:r>
      <w:proofErr w:type="gramStart"/>
      <w:r w:rsidR="00910C1B" w:rsidRPr="001A401F">
        <w:rPr>
          <w:rFonts w:cs="Times New Roman"/>
          <w:sz w:val="26"/>
          <w:szCs w:val="26"/>
        </w:rPr>
        <w:t>Кредитные организации просят дать разъяснения по порядку формирования формы отчетности № 0409202 «Отчет о наличном денежном обращении» (далее – форма № 0409202), в части отражения выдачи наличных денежных средств физическим лицам по символам 51 «Выдачи с банковских счетов физических лиц» и 55 «Выдачи со счетов по вкладам физических лиц» в части применения символов при составлении отчетности по форме № 0409202 при выдаче физическому лицу</w:t>
      </w:r>
      <w:proofErr w:type="gramEnd"/>
      <w:r w:rsidR="00910C1B" w:rsidRPr="001A401F">
        <w:rPr>
          <w:rFonts w:cs="Times New Roman"/>
          <w:sz w:val="26"/>
          <w:szCs w:val="26"/>
        </w:rPr>
        <w:t xml:space="preserve"> </w:t>
      </w:r>
      <w:proofErr w:type="gramStart"/>
      <w:r w:rsidR="00910C1B" w:rsidRPr="001A401F">
        <w:rPr>
          <w:rFonts w:cs="Times New Roman"/>
          <w:sz w:val="26"/>
          <w:szCs w:val="26"/>
        </w:rPr>
        <w:t xml:space="preserve">наличных денежных средств с банковского счета (всего остатка или частично) в случае, когда остаток по банковскому счету клиента состоит из денежных средств, предварительно зачисленных через кассу Банка, а также поступивших со счета вклада и </w:t>
      </w:r>
      <w:proofErr w:type="spellStart"/>
      <w:r w:rsidR="00910C1B" w:rsidRPr="001A401F">
        <w:rPr>
          <w:rFonts w:cs="Times New Roman"/>
          <w:sz w:val="26"/>
          <w:szCs w:val="26"/>
        </w:rPr>
        <w:t>безналично</w:t>
      </w:r>
      <w:proofErr w:type="spellEnd"/>
      <w:r w:rsidR="00910C1B" w:rsidRPr="001A401F">
        <w:rPr>
          <w:rFonts w:cs="Times New Roman"/>
          <w:sz w:val="26"/>
          <w:szCs w:val="26"/>
        </w:rPr>
        <w:t xml:space="preserve"> из другой кредитной организации, и однозначно идентифицировать, какие именно денежные средства выдаются клиенту, не представляется возможным.</w:t>
      </w:r>
      <w:proofErr w:type="gramEnd"/>
    </w:p>
    <w:p w:rsidR="00910C1B" w:rsidRPr="001A401F" w:rsidRDefault="00910C1B" w:rsidP="001A401F">
      <w:pPr>
        <w:spacing w:after="0"/>
        <w:ind w:left="0" w:firstLine="709"/>
        <w:rPr>
          <w:rFonts w:cs="Times New Roman"/>
          <w:sz w:val="26"/>
          <w:szCs w:val="26"/>
        </w:rPr>
      </w:pPr>
      <w:proofErr w:type="gramStart"/>
      <w:r w:rsidRPr="001A401F">
        <w:rPr>
          <w:rFonts w:cs="Times New Roman"/>
          <w:sz w:val="26"/>
          <w:szCs w:val="26"/>
        </w:rPr>
        <w:t>На основании разъяснений Департамента наличного денежного обращения Центрального Банка Российской Федерации (письмо Волго-Вятского Главного Управления Банка России от 30.06.2015 № Т436-4-24/19719) выдача наличных денежных средств с банковского счета физического лица предварительно зачисленных на него со счета по вкладу физического лица, по окончании срока вклада или при частичном изъятии суммы вклада или процентов должна отражаться в отчете по форме № 0409202 по</w:t>
      </w:r>
      <w:proofErr w:type="gramEnd"/>
      <w:r w:rsidRPr="001A401F">
        <w:rPr>
          <w:rFonts w:cs="Times New Roman"/>
          <w:sz w:val="26"/>
          <w:szCs w:val="26"/>
        </w:rPr>
        <w:t xml:space="preserve"> символу 55 «Выдачи со счетов по вкладам физических лиц». Вышеуказанное разъяснение Департамента не доводилось до сведения кредитных организаций, а направлялось только в форме письма ГУ. При этом Указанием Банка России от 12.11.2009 № 2332-У «О перечне, формах и порядке составления и представления форм отчетности кредитных организаций в Центральный Банк Российской Федерации» в форме 0409202 выдача наличных денег с текущих счетов физических лиц, за исключением выдачи кредитов, отражается по символу 51 «Выдачи с банковских счетов физических лиц». </w:t>
      </w:r>
    </w:p>
    <w:p w:rsidR="0001508C" w:rsidRDefault="0001508C" w:rsidP="0001508C">
      <w:pPr>
        <w:spacing w:after="0"/>
        <w:rPr>
          <w:rFonts w:cs="Times New Roman"/>
          <w:sz w:val="26"/>
          <w:szCs w:val="26"/>
        </w:rPr>
      </w:pPr>
      <w:r w:rsidRPr="00C07DAF">
        <w:rPr>
          <w:rFonts w:eastAsia="Times New Roman"/>
          <w:b/>
          <w:bCs/>
          <w:sz w:val="26"/>
          <w:szCs w:val="26"/>
        </w:rPr>
        <w:t>Ответ 1.</w:t>
      </w:r>
      <w:r w:rsidR="00F84956">
        <w:rPr>
          <w:rFonts w:eastAsia="Times New Roman"/>
          <w:b/>
          <w:bCs/>
          <w:sz w:val="26"/>
          <w:szCs w:val="26"/>
        </w:rPr>
        <w:t xml:space="preserve"> </w:t>
      </w:r>
    </w:p>
    <w:p w:rsidR="00F40011" w:rsidRPr="00F40011" w:rsidRDefault="00F40011" w:rsidP="00F40011">
      <w:pPr>
        <w:spacing w:after="0"/>
        <w:ind w:left="0" w:firstLine="709"/>
        <w:rPr>
          <w:rFonts w:cs="Times New Roman"/>
          <w:sz w:val="26"/>
          <w:szCs w:val="26"/>
        </w:rPr>
      </w:pPr>
      <w:r w:rsidRPr="00F40011">
        <w:rPr>
          <w:rFonts w:cs="Times New Roman"/>
          <w:sz w:val="26"/>
          <w:szCs w:val="26"/>
        </w:rPr>
        <w:t>Основным принципом составления отчетности по форме 0409202 «Отчет о наличном денежном обороте», установленной Указанием Банка России от 12 ноября 2009 года № 2332-У «О перечне, формах и порядке составления и представления форм отчетности кредитных организаций в Центральный банк Российской Федерации» (далее - Указание № 2332-У), является отражение операций по их экономическому содержанию.</w:t>
      </w:r>
    </w:p>
    <w:p w:rsidR="00F40011" w:rsidRPr="00F40011" w:rsidRDefault="00F40011" w:rsidP="00F40011">
      <w:pPr>
        <w:spacing w:after="0"/>
        <w:ind w:left="0" w:firstLine="709"/>
        <w:rPr>
          <w:rFonts w:cs="Times New Roman"/>
          <w:sz w:val="26"/>
          <w:szCs w:val="26"/>
        </w:rPr>
      </w:pPr>
      <w:r w:rsidRPr="00F40011">
        <w:rPr>
          <w:rFonts w:cs="Times New Roman"/>
          <w:sz w:val="26"/>
          <w:szCs w:val="26"/>
        </w:rPr>
        <w:lastRenderedPageBreak/>
        <w:t>Если согласно внутреннему регламенту кредитной организации при закрытии вклада или досрочном его расторжении используется банковский счет физического лица, то выдачи наличных денег с указанного счета следует отражать по символу 55 «Выдачи со счетов по вкладам физических лиц».</w:t>
      </w:r>
    </w:p>
    <w:p w:rsidR="00F40011" w:rsidRPr="00F40011" w:rsidRDefault="00F40011" w:rsidP="00F40011">
      <w:pPr>
        <w:spacing w:after="0"/>
        <w:ind w:left="0" w:firstLine="709"/>
        <w:rPr>
          <w:rFonts w:cs="Times New Roman"/>
          <w:sz w:val="26"/>
          <w:szCs w:val="26"/>
        </w:rPr>
      </w:pPr>
      <w:r w:rsidRPr="00F40011">
        <w:rPr>
          <w:rFonts w:cs="Times New Roman"/>
          <w:sz w:val="26"/>
          <w:szCs w:val="26"/>
        </w:rPr>
        <w:t>В случае, когда не представляется возможным однозначно определить, какие именно денежные средства выдаются клиенту с банковского счета физического лица, допускается использование символа 51 «Выдачи с банковских счетов физических лиц».</w:t>
      </w:r>
    </w:p>
    <w:p w:rsidR="00F40011" w:rsidRPr="00F40011" w:rsidRDefault="00F40011" w:rsidP="00F40011">
      <w:pPr>
        <w:spacing w:after="0"/>
        <w:ind w:left="0" w:firstLine="709"/>
        <w:rPr>
          <w:rFonts w:cs="Times New Roman"/>
          <w:sz w:val="26"/>
          <w:szCs w:val="26"/>
        </w:rPr>
      </w:pPr>
      <w:r w:rsidRPr="00F40011">
        <w:rPr>
          <w:rFonts w:cs="Times New Roman"/>
          <w:sz w:val="26"/>
          <w:szCs w:val="26"/>
        </w:rPr>
        <w:t>Соответствующие изменения будут внесены в Указание № 2332-У.</w:t>
      </w:r>
    </w:p>
    <w:p w:rsidR="0001508C" w:rsidRPr="001A401F" w:rsidRDefault="0001508C" w:rsidP="0001508C">
      <w:pPr>
        <w:spacing w:after="0"/>
        <w:rPr>
          <w:rFonts w:cs="Times New Roman"/>
          <w:sz w:val="26"/>
          <w:szCs w:val="26"/>
        </w:rPr>
      </w:pPr>
    </w:p>
    <w:p w:rsidR="00910C1B" w:rsidRPr="001A401F" w:rsidRDefault="00F84956" w:rsidP="00F84956">
      <w:pPr>
        <w:spacing w:after="0"/>
        <w:ind w:left="0" w:firstLine="709"/>
        <w:rPr>
          <w:rFonts w:cs="Times New Roman"/>
          <w:sz w:val="26"/>
          <w:szCs w:val="26"/>
        </w:rPr>
      </w:pPr>
      <w:r w:rsidRPr="00F84956">
        <w:rPr>
          <w:rFonts w:cs="Times New Roman"/>
          <w:b/>
          <w:sz w:val="26"/>
          <w:szCs w:val="26"/>
        </w:rPr>
        <w:t>Вопрос 2.</w:t>
      </w:r>
      <w:r w:rsidRPr="00F84956">
        <w:rPr>
          <w:rFonts w:cs="Times New Roman"/>
          <w:sz w:val="26"/>
          <w:szCs w:val="26"/>
        </w:rPr>
        <w:t xml:space="preserve"> </w:t>
      </w:r>
      <w:r w:rsidR="00910C1B" w:rsidRPr="001A401F">
        <w:rPr>
          <w:rFonts w:cs="Times New Roman"/>
          <w:sz w:val="26"/>
          <w:szCs w:val="26"/>
        </w:rPr>
        <w:t xml:space="preserve">В соответствии с пунктом 1.1. </w:t>
      </w:r>
      <w:proofErr w:type="gramStart"/>
      <w:r w:rsidR="00910C1B" w:rsidRPr="001A401F">
        <w:rPr>
          <w:rFonts w:cs="Times New Roman"/>
          <w:sz w:val="26"/>
          <w:szCs w:val="26"/>
        </w:rPr>
        <w:t>Положения Банка России от 24 апреля 2008 года № 318-П «О порядке ведения кассовых операций и правил хранения, перевозки и инкассации банкнот и монеты Банка России в кредитных организациях на территории Российской Федерации» (далее – Положение № 318-П) кассовые операции в кредитной организации, внутреннем структурном подразделении (ВСП) с клиентами - юридическими лицами (в том числе другими кредитными организациями, ВСП других кредитных организаций), физическими лицами</w:t>
      </w:r>
      <w:proofErr w:type="gramEnd"/>
      <w:r w:rsidR="00910C1B" w:rsidRPr="001A401F">
        <w:rPr>
          <w:rFonts w:cs="Times New Roman"/>
          <w:sz w:val="26"/>
          <w:szCs w:val="26"/>
        </w:rPr>
        <w:t xml:space="preserve">, </w:t>
      </w:r>
      <w:proofErr w:type="gramStart"/>
      <w:r w:rsidR="00910C1B" w:rsidRPr="001A401F">
        <w:rPr>
          <w:rFonts w:cs="Times New Roman"/>
          <w:sz w:val="26"/>
          <w:szCs w:val="26"/>
        </w:rPr>
        <w:t>осуществляющими предпринимательскую деятельность без образования юридического лица, физическими лицами, занимающимися в установленном законодательством Российской Федерации порядке частной практикой (далее - организации), и физическими лицами, могут осуществляться с применением программно-технических средств - автоматических устройств для приема и выдачи наличных денег клиентам с использованием персонального компьютера, установленного на рабочем месте кассового работника (далее - кассовый терминал), устройств, функционирующих в автоматическом режиме и предназначенных для приема</w:t>
      </w:r>
      <w:proofErr w:type="gramEnd"/>
      <w:r w:rsidR="00910C1B" w:rsidRPr="001A401F">
        <w:rPr>
          <w:rFonts w:cs="Times New Roman"/>
          <w:sz w:val="26"/>
          <w:szCs w:val="26"/>
        </w:rPr>
        <w:t xml:space="preserve"> </w:t>
      </w:r>
      <w:proofErr w:type="gramStart"/>
      <w:r w:rsidR="00910C1B" w:rsidRPr="001A401F">
        <w:rPr>
          <w:rFonts w:cs="Times New Roman"/>
          <w:sz w:val="26"/>
          <w:szCs w:val="26"/>
        </w:rPr>
        <w:t>сумок с наличными деньгами от клиентов (далее - автоматический сейф), устройств, функционирующих в автоматическом режиме и предназначенных для приема наличных денег от организаций (далее</w:t>
      </w:r>
      <w:proofErr w:type="gramEnd"/>
      <w:r w:rsidR="00910C1B" w:rsidRPr="001A401F">
        <w:rPr>
          <w:rFonts w:cs="Times New Roman"/>
          <w:sz w:val="26"/>
          <w:szCs w:val="26"/>
        </w:rPr>
        <w:t xml:space="preserve"> - автоматическое приемное устройство), банкоматов, платежных терминалов и других программно-технических средств. </w:t>
      </w:r>
      <w:proofErr w:type="gramStart"/>
      <w:r w:rsidR="00910C1B" w:rsidRPr="001A401F">
        <w:rPr>
          <w:rFonts w:cs="Times New Roman"/>
          <w:sz w:val="26"/>
          <w:szCs w:val="26"/>
        </w:rPr>
        <w:t>Операции по приему наличных денег от организаций в кредитной организации для зачисления сумм принятых наличных денег на банковские счета этих организаций, от физических лиц - на их банковские счета, счета по вкладам (выдаче наличных денег со списанием сумм выданных наличных денег организациям с банковских счетов этих организаций, физическим лицам - с их банковских счетов, счетов по вкладам) являются кассовым обслуживанием клиентов.</w:t>
      </w:r>
      <w:proofErr w:type="gramEnd"/>
      <w:r w:rsidR="00910C1B" w:rsidRPr="001A401F">
        <w:rPr>
          <w:rFonts w:cs="Times New Roman"/>
          <w:sz w:val="26"/>
          <w:szCs w:val="26"/>
        </w:rPr>
        <w:t xml:space="preserve"> В то же время, в соответствии с пунктом 3.7. Положения № 318-П организации могут сдавать наличные деньги для зачисления сумм денежных средств на банковские счета через автоматическое приемное устройство. При вложении наличных денег в автоматическое приемное устройство представитель организации вводит персональный код, пароль или другие предусмотренные договором банковского счета или другим договором данные, идентифицирующие организацию, и банковский счет, на который зачисляется </w:t>
      </w:r>
      <w:r w:rsidR="00910C1B" w:rsidRPr="001A401F">
        <w:rPr>
          <w:rFonts w:cs="Times New Roman"/>
          <w:sz w:val="26"/>
          <w:szCs w:val="26"/>
        </w:rPr>
        <w:lastRenderedPageBreak/>
        <w:t xml:space="preserve">сумма денежных средств. </w:t>
      </w:r>
      <w:proofErr w:type="gramStart"/>
      <w:r w:rsidR="00910C1B" w:rsidRPr="001A401F">
        <w:rPr>
          <w:rFonts w:cs="Times New Roman"/>
          <w:sz w:val="26"/>
          <w:szCs w:val="26"/>
        </w:rPr>
        <w:t>После вложения в автоматическое приемное устройство наличных денег представитель организации выводит распечатку автоматического приемного устройства, подтверждающую проведение операции по сдаче наличных денег для зачисления суммы денежных средств на банковский счет, в которой содержится информация об организации, кредитной организации, идентификаторе автоматического приемного устройства, дате и времени вложения наличных денег в автоматическое приемное устройство, банковском счете и сумме вложенных наличных денег.</w:t>
      </w:r>
      <w:proofErr w:type="gramEnd"/>
    </w:p>
    <w:p w:rsidR="00910C1B" w:rsidRPr="001A401F" w:rsidRDefault="00910C1B" w:rsidP="001A401F">
      <w:pPr>
        <w:spacing w:after="0"/>
        <w:ind w:left="0" w:firstLine="709"/>
        <w:rPr>
          <w:rFonts w:cs="Times New Roman"/>
          <w:sz w:val="26"/>
          <w:szCs w:val="26"/>
        </w:rPr>
      </w:pPr>
      <w:r w:rsidRPr="001A401F">
        <w:rPr>
          <w:rFonts w:cs="Times New Roman"/>
          <w:sz w:val="26"/>
          <w:szCs w:val="26"/>
        </w:rPr>
        <w:t xml:space="preserve">Ограничивает ли пункт 3.7. Положения № 318-П возможность сдачи наличных организациями только через один вид устройства - автоматического приемного устройства, не являющегося, в то же время, ни банкоматом, ни терминалом, как это указано в пункте 1.1. Положения № 318-П? Может ли данное автоматическое приемное устройство совмещаться с банкоматом, терминалом? И, если может, </w:t>
      </w:r>
      <w:proofErr w:type="gramStart"/>
      <w:r w:rsidRPr="001A401F">
        <w:rPr>
          <w:rFonts w:cs="Times New Roman"/>
          <w:sz w:val="26"/>
          <w:szCs w:val="26"/>
        </w:rPr>
        <w:t>то</w:t>
      </w:r>
      <w:proofErr w:type="gramEnd"/>
      <w:r w:rsidRPr="001A401F">
        <w:rPr>
          <w:rFonts w:cs="Times New Roman"/>
          <w:sz w:val="26"/>
          <w:szCs w:val="26"/>
        </w:rPr>
        <w:t xml:space="preserve"> какие в данном случае должны соблюдаться требования к банкомату, терминалу и совместимому с ними автоматическому устройству?</w:t>
      </w:r>
    </w:p>
    <w:p w:rsidR="00F84956" w:rsidRPr="00F84956" w:rsidRDefault="00F84956" w:rsidP="00F84956">
      <w:pPr>
        <w:spacing w:after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Ответ 2</w:t>
      </w:r>
      <w:r w:rsidRPr="00C07DAF"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910C1B" w:rsidRPr="00B356C4" w:rsidRDefault="00B356C4" w:rsidP="00B356C4">
      <w:pPr>
        <w:spacing w:after="0"/>
        <w:ind w:left="0" w:firstLine="709"/>
        <w:rPr>
          <w:rFonts w:cs="Times New Roman"/>
          <w:sz w:val="26"/>
          <w:szCs w:val="26"/>
        </w:rPr>
      </w:pPr>
      <w:r w:rsidRPr="00B356C4">
        <w:rPr>
          <w:rFonts w:cs="Times New Roman"/>
          <w:sz w:val="26"/>
          <w:szCs w:val="26"/>
        </w:rPr>
        <w:t xml:space="preserve">Положением Банка России от 24 апреля 2008 года № 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 (далее - Положение № 318-П) предусмотрена возможность совершения кредитными организациями операций с наличными деньгами с применением программно-технических средств. </w:t>
      </w:r>
    </w:p>
    <w:p w:rsidR="00547076" w:rsidRPr="00547076" w:rsidRDefault="00547076" w:rsidP="00547076">
      <w:pPr>
        <w:spacing w:after="0"/>
        <w:ind w:left="0" w:firstLine="709"/>
        <w:rPr>
          <w:rFonts w:cs="Times New Roman"/>
          <w:sz w:val="26"/>
          <w:szCs w:val="26"/>
        </w:rPr>
      </w:pPr>
      <w:r w:rsidRPr="00547076">
        <w:rPr>
          <w:rFonts w:cs="Times New Roman"/>
          <w:sz w:val="26"/>
          <w:szCs w:val="26"/>
        </w:rPr>
        <w:t>Термины «кассовый терминал», «автоматический сейф» и «автоматическое приемное устройство» определены Положением № 318-П, термины «банкомат» и «платежный терминал» установлены Федеральным законом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547076" w:rsidRPr="00547076" w:rsidRDefault="00547076" w:rsidP="00547076">
      <w:pPr>
        <w:spacing w:after="0"/>
        <w:ind w:left="0" w:firstLine="709"/>
        <w:rPr>
          <w:rFonts w:cs="Times New Roman"/>
          <w:sz w:val="26"/>
          <w:szCs w:val="26"/>
        </w:rPr>
      </w:pPr>
      <w:r w:rsidRPr="00547076">
        <w:rPr>
          <w:rFonts w:cs="Times New Roman"/>
          <w:sz w:val="26"/>
          <w:szCs w:val="26"/>
        </w:rPr>
        <w:t>Порядок осуществления операций с клиентами с использованием банкомата, платежного терминала установлен Положением Банка России от 24 декабря 2004 года № 266-П «Об эмиссии платежных карт и об операциях, совершаемых с их использованием».</w:t>
      </w:r>
    </w:p>
    <w:p w:rsidR="00547076" w:rsidRPr="00547076" w:rsidRDefault="00547076" w:rsidP="00547076">
      <w:pPr>
        <w:spacing w:after="0"/>
        <w:ind w:left="0" w:firstLine="709"/>
        <w:rPr>
          <w:rFonts w:cs="Times New Roman"/>
          <w:sz w:val="26"/>
          <w:szCs w:val="26"/>
        </w:rPr>
      </w:pPr>
      <w:r w:rsidRPr="00547076">
        <w:rPr>
          <w:rFonts w:cs="Times New Roman"/>
          <w:sz w:val="26"/>
          <w:szCs w:val="26"/>
        </w:rPr>
        <w:t>Порядок осуществления кредитной организацией операций с клиентами с применением кассового терминала, автоматического сейфа и автоматического приемного устройства, а также загрузки, изъятия наличных денег из всех видов программно-технических сре</w:t>
      </w:r>
      <w:proofErr w:type="gramStart"/>
      <w:r w:rsidRPr="00547076">
        <w:rPr>
          <w:rFonts w:cs="Times New Roman"/>
          <w:sz w:val="26"/>
          <w:szCs w:val="26"/>
        </w:rPr>
        <w:t>дств пр</w:t>
      </w:r>
      <w:proofErr w:type="gramEnd"/>
      <w:r w:rsidRPr="00547076">
        <w:rPr>
          <w:rFonts w:cs="Times New Roman"/>
          <w:sz w:val="26"/>
          <w:szCs w:val="26"/>
        </w:rPr>
        <w:t>едусмотрены Положением № 318-П.</w:t>
      </w:r>
    </w:p>
    <w:p w:rsidR="00547076" w:rsidRPr="00547076" w:rsidRDefault="00547076" w:rsidP="00547076">
      <w:pPr>
        <w:spacing w:after="0"/>
        <w:ind w:left="0" w:firstLine="709"/>
        <w:rPr>
          <w:rFonts w:cs="Times New Roman"/>
          <w:sz w:val="26"/>
          <w:szCs w:val="26"/>
        </w:rPr>
      </w:pPr>
      <w:r w:rsidRPr="00547076">
        <w:rPr>
          <w:rFonts w:cs="Times New Roman"/>
          <w:sz w:val="26"/>
          <w:szCs w:val="26"/>
        </w:rPr>
        <w:t>Конструктивное исполнение программно-технических средств, применяемых кредитными организациями, Банк России не определяет. Решение о видах (моделях) программно-технических сре</w:t>
      </w:r>
      <w:proofErr w:type="gramStart"/>
      <w:r w:rsidRPr="00547076">
        <w:rPr>
          <w:rFonts w:cs="Times New Roman"/>
          <w:sz w:val="26"/>
          <w:szCs w:val="26"/>
        </w:rPr>
        <w:t>дств пр</w:t>
      </w:r>
      <w:proofErr w:type="gramEnd"/>
      <w:r w:rsidRPr="00547076">
        <w:rPr>
          <w:rFonts w:cs="Times New Roman"/>
          <w:sz w:val="26"/>
          <w:szCs w:val="26"/>
        </w:rPr>
        <w:t xml:space="preserve">инимается кредитной организацией на основе изучения технических характеристик, позволяющих снизить операционные риски кредитной организации, объемов выполняемых операций с их применением, специфики и видов услуг, представляемых клиентам, </w:t>
      </w:r>
      <w:r w:rsidRPr="00547076">
        <w:rPr>
          <w:rFonts w:cs="Times New Roman"/>
          <w:sz w:val="26"/>
          <w:szCs w:val="26"/>
        </w:rPr>
        <w:lastRenderedPageBreak/>
        <w:t>с учетом конъюнктурного анализа рынка и экономической оценки эффективности их внедрения.</w:t>
      </w:r>
    </w:p>
    <w:p w:rsidR="00F84956" w:rsidRDefault="00F84956" w:rsidP="00F84956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10C1B" w:rsidRPr="00DB1400" w:rsidRDefault="00DB1400" w:rsidP="00DB1400">
      <w:pPr>
        <w:spacing w:after="0"/>
        <w:ind w:left="0" w:firstLine="709"/>
        <w:rPr>
          <w:rFonts w:cs="Times New Roman"/>
          <w:sz w:val="26"/>
          <w:szCs w:val="26"/>
        </w:rPr>
      </w:pPr>
      <w:r w:rsidRPr="00DB1400">
        <w:rPr>
          <w:rFonts w:cs="Times New Roman"/>
          <w:b/>
          <w:sz w:val="26"/>
          <w:szCs w:val="26"/>
        </w:rPr>
        <w:t>Вопрос 3.</w:t>
      </w:r>
      <w:r>
        <w:rPr>
          <w:rFonts w:cs="Times New Roman"/>
          <w:sz w:val="26"/>
          <w:szCs w:val="26"/>
        </w:rPr>
        <w:t xml:space="preserve"> </w:t>
      </w:r>
      <w:r w:rsidR="00910C1B" w:rsidRPr="00DB1400">
        <w:rPr>
          <w:rFonts w:cs="Times New Roman"/>
          <w:sz w:val="26"/>
          <w:szCs w:val="26"/>
        </w:rPr>
        <w:t xml:space="preserve">В апреле-июле 2015 г. проходил разработку и публичное обсуждение проект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правонарушениях и отдельные законодательные акты Российской Федерации». Проект федерального закона получил большое количество негативных отзывов по результатам процедуры публичного обсуждения, а также отрицательную оценку регулирующего воздействия (ОРВ) Минэкономразвития России. </w:t>
      </w:r>
      <w:proofErr w:type="gramStart"/>
      <w:r w:rsidR="00910C1B" w:rsidRPr="00DB1400">
        <w:rPr>
          <w:rFonts w:cs="Times New Roman"/>
          <w:sz w:val="26"/>
          <w:szCs w:val="26"/>
        </w:rPr>
        <w:t>При составлении заключения об ОРВ Минэкономразвития руководствовалось данными, полученными в ходе консультаций с органами и организациями, целью деятельности которых являются защита и представление интересов субъектов предпринимательской и иной экономической деятельности, а также выводами, полученными по результатам совещания с представителями Минфина России, Банка России, ФНС России, Уполномоченного при Президенте Российской Федерации по защите прав предпринимателей.</w:t>
      </w:r>
      <w:proofErr w:type="gramEnd"/>
    </w:p>
    <w:p w:rsidR="00910C1B" w:rsidRPr="001A401F" w:rsidRDefault="00910C1B" w:rsidP="001A401F">
      <w:pPr>
        <w:spacing w:after="0"/>
        <w:ind w:left="0" w:firstLine="709"/>
        <w:rPr>
          <w:rFonts w:cs="Times New Roman"/>
          <w:sz w:val="26"/>
          <w:szCs w:val="26"/>
        </w:rPr>
      </w:pPr>
      <w:r w:rsidRPr="001A401F">
        <w:rPr>
          <w:rFonts w:cs="Times New Roman"/>
          <w:sz w:val="26"/>
          <w:szCs w:val="26"/>
        </w:rPr>
        <w:t>Из заключения об ОРВ следует, что проектируемое расширение круга лиц, использующих контрольно-кассовую технику (ККТ) при осуществлении расчетов, и включение в него кредитных организаций, осуществляющих расчеты за товары (работы, услуги) с использованием всех электронных сре</w:t>
      </w:r>
      <w:proofErr w:type="gramStart"/>
      <w:r w:rsidRPr="001A401F">
        <w:rPr>
          <w:rFonts w:cs="Times New Roman"/>
          <w:sz w:val="26"/>
          <w:szCs w:val="26"/>
        </w:rPr>
        <w:t>дств пл</w:t>
      </w:r>
      <w:proofErr w:type="gramEnd"/>
      <w:r w:rsidRPr="001A401F">
        <w:rPr>
          <w:rFonts w:cs="Times New Roman"/>
          <w:sz w:val="26"/>
          <w:szCs w:val="26"/>
        </w:rPr>
        <w:t>атежа, может оказаться негативным фактором, ухудшающим состояние кредитных организаций.</w:t>
      </w:r>
    </w:p>
    <w:p w:rsidR="00910C1B" w:rsidRPr="001A401F" w:rsidRDefault="00910C1B" w:rsidP="001A401F">
      <w:pPr>
        <w:spacing w:after="0"/>
        <w:ind w:left="0" w:firstLine="709"/>
        <w:rPr>
          <w:rFonts w:cs="Times New Roman"/>
          <w:sz w:val="26"/>
          <w:szCs w:val="26"/>
        </w:rPr>
      </w:pPr>
      <w:r w:rsidRPr="001A401F">
        <w:rPr>
          <w:rFonts w:cs="Times New Roman"/>
          <w:sz w:val="26"/>
          <w:szCs w:val="26"/>
        </w:rPr>
        <w:t xml:space="preserve">Действующая редакция Закона о ККТ освобождает кредитные организации от обязанности оборудования банкоматов контрольно-кассовой техникой. В своих разъяснениях Банк России и Минфин определяют устройства, выполняющие хотя бы одну из функций банкомата, указанных в определении понятия «банкомат», как банкоматы. Проект федерального закона, выносившегося на публичное обсуждение, вводит обязанности </w:t>
      </w:r>
      <w:proofErr w:type="spellStart"/>
      <w:r w:rsidRPr="001A401F">
        <w:rPr>
          <w:rFonts w:cs="Times New Roman"/>
          <w:sz w:val="26"/>
          <w:szCs w:val="26"/>
        </w:rPr>
        <w:t>фискализировать</w:t>
      </w:r>
      <w:proofErr w:type="spellEnd"/>
      <w:r w:rsidRPr="001A401F">
        <w:rPr>
          <w:rFonts w:cs="Times New Roman"/>
          <w:sz w:val="26"/>
          <w:szCs w:val="26"/>
        </w:rPr>
        <w:t xml:space="preserve"> автоматические устройства для расчетов.</w:t>
      </w:r>
    </w:p>
    <w:p w:rsidR="00910C1B" w:rsidRPr="001A401F" w:rsidRDefault="00910C1B" w:rsidP="001A401F">
      <w:pPr>
        <w:spacing w:after="0"/>
        <w:ind w:left="0" w:firstLine="709"/>
        <w:rPr>
          <w:rFonts w:cs="Times New Roman"/>
          <w:sz w:val="26"/>
          <w:szCs w:val="26"/>
        </w:rPr>
      </w:pPr>
      <w:r w:rsidRPr="001A401F">
        <w:rPr>
          <w:rFonts w:cs="Times New Roman"/>
          <w:sz w:val="26"/>
          <w:szCs w:val="26"/>
        </w:rPr>
        <w:t xml:space="preserve">Какова позиция Банка России по вопросу </w:t>
      </w:r>
      <w:proofErr w:type="spellStart"/>
      <w:r w:rsidRPr="001A401F">
        <w:rPr>
          <w:rFonts w:cs="Times New Roman"/>
          <w:sz w:val="26"/>
          <w:szCs w:val="26"/>
        </w:rPr>
        <w:t>фискализации</w:t>
      </w:r>
      <w:proofErr w:type="spellEnd"/>
      <w:r w:rsidRPr="001A401F">
        <w:rPr>
          <w:rFonts w:cs="Times New Roman"/>
          <w:sz w:val="26"/>
          <w:szCs w:val="26"/>
        </w:rPr>
        <w:t xml:space="preserve"> программно-технических средств, используемых кредитными организациями при осуществлении наличных денежных расчетов и (или) расчетов с использованием платежных карт, в свете новых законодательных инициатив федеральных органов исполнительной власти в части совершенствования регулирования и администрирования использования ККТ?</w:t>
      </w:r>
    </w:p>
    <w:p w:rsidR="001A401F" w:rsidRPr="00DB1400" w:rsidRDefault="00DB1400" w:rsidP="001A401F">
      <w:pPr>
        <w:spacing w:after="0"/>
        <w:ind w:left="0" w:firstLine="709"/>
        <w:rPr>
          <w:rFonts w:cs="Times New Roman"/>
          <w:b/>
          <w:sz w:val="26"/>
          <w:szCs w:val="26"/>
        </w:rPr>
      </w:pPr>
      <w:r w:rsidRPr="00DB1400">
        <w:rPr>
          <w:rFonts w:cs="Times New Roman"/>
          <w:b/>
          <w:sz w:val="26"/>
          <w:szCs w:val="26"/>
        </w:rPr>
        <w:t>Ответ 3.</w:t>
      </w:r>
    </w:p>
    <w:p w:rsidR="00DB1400" w:rsidRPr="00DB1400" w:rsidRDefault="00DB1400" w:rsidP="00DB1400">
      <w:pPr>
        <w:spacing w:after="0"/>
        <w:ind w:left="0" w:firstLine="709"/>
        <w:rPr>
          <w:rFonts w:cs="Times New Roman"/>
          <w:sz w:val="26"/>
          <w:szCs w:val="26"/>
        </w:rPr>
      </w:pPr>
      <w:r w:rsidRPr="00DB1400">
        <w:rPr>
          <w:rFonts w:cs="Times New Roman"/>
          <w:sz w:val="26"/>
          <w:szCs w:val="26"/>
        </w:rPr>
        <w:t>В заключени</w:t>
      </w:r>
      <w:proofErr w:type="gramStart"/>
      <w:r w:rsidRPr="00DB1400">
        <w:rPr>
          <w:rFonts w:cs="Times New Roman"/>
          <w:sz w:val="26"/>
          <w:szCs w:val="26"/>
        </w:rPr>
        <w:t>и</w:t>
      </w:r>
      <w:proofErr w:type="gramEnd"/>
      <w:r w:rsidRPr="00DB1400">
        <w:rPr>
          <w:rFonts w:cs="Times New Roman"/>
          <w:sz w:val="26"/>
          <w:szCs w:val="26"/>
        </w:rPr>
        <w:t xml:space="preserve"> Банка России по проекту федерального 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</w:t>
      </w:r>
      <w:r w:rsidRPr="00DB1400">
        <w:rPr>
          <w:rFonts w:cs="Times New Roman"/>
          <w:sz w:val="26"/>
          <w:szCs w:val="26"/>
        </w:rPr>
        <w:lastRenderedPageBreak/>
        <w:t xml:space="preserve">правонарушениях и отдельные законодательные акты Российской Федерации» отмечалась необоснованность ужесточения требований к использованию контрольно-кассовой техники организациями и индивидуальными предпринимателями в части применения контрольно-кассовой техники при </w:t>
      </w:r>
      <w:proofErr w:type="gramStart"/>
      <w:r w:rsidRPr="00DB1400">
        <w:rPr>
          <w:rFonts w:cs="Times New Roman"/>
          <w:sz w:val="26"/>
          <w:szCs w:val="26"/>
        </w:rPr>
        <w:t>осуществлении расчетов с использованием электронных средств платежа, а также необходимость доработки законопроекта в части освобождения кредитных организаций от обязанности оборудования контрольно-кассовой техникой автоматических устройств для расчетов исключительно в тех случаях, когда такие устройства обеспечивают ежедневное отражение операций в бухгалтерском учете в соответствии с требованиями нормативных актов Банка России.</w:t>
      </w:r>
      <w:proofErr w:type="gramEnd"/>
    </w:p>
    <w:p w:rsidR="00DB1400" w:rsidRDefault="00DB1400" w:rsidP="001A401F">
      <w:pPr>
        <w:spacing w:after="0"/>
        <w:ind w:left="0" w:firstLine="709"/>
        <w:rPr>
          <w:rFonts w:cs="Times New Roman"/>
          <w:sz w:val="26"/>
          <w:szCs w:val="26"/>
        </w:rPr>
      </w:pPr>
    </w:p>
    <w:p w:rsidR="00910C1B" w:rsidRPr="001A401F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377E66">
        <w:rPr>
          <w:rFonts w:cs="Times New Roman"/>
          <w:b/>
          <w:sz w:val="26"/>
          <w:szCs w:val="26"/>
        </w:rPr>
        <w:t>Вопрос 4</w:t>
      </w:r>
      <w:r w:rsidR="006178D1">
        <w:rPr>
          <w:rFonts w:cs="Times New Roman"/>
          <w:b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910C1B" w:rsidRPr="001A401F">
        <w:rPr>
          <w:rFonts w:cs="Times New Roman"/>
          <w:sz w:val="26"/>
          <w:szCs w:val="26"/>
        </w:rPr>
        <w:t>Рассматривает ли Банк России возможность отказа от зарплатных чековых книжек в пользу развития электронного подтверждения на стороне клиента и применения ЭЦП?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377E66">
        <w:rPr>
          <w:rFonts w:cs="Times New Roman"/>
          <w:b/>
          <w:sz w:val="26"/>
          <w:szCs w:val="26"/>
        </w:rPr>
        <w:t xml:space="preserve">Вопрос </w:t>
      </w:r>
      <w:r w:rsidR="006178D1">
        <w:rPr>
          <w:rFonts w:cs="Times New Roman"/>
          <w:b/>
          <w:sz w:val="26"/>
          <w:szCs w:val="26"/>
        </w:rPr>
        <w:t>5.</w:t>
      </w:r>
      <w:r w:rsidRPr="00377E66">
        <w:rPr>
          <w:rFonts w:cs="Times New Roman"/>
          <w:sz w:val="26"/>
          <w:szCs w:val="26"/>
        </w:rPr>
        <w:t xml:space="preserve"> </w:t>
      </w:r>
      <w:proofErr w:type="gramStart"/>
      <w:r w:rsidR="00910C1B" w:rsidRPr="00377E66">
        <w:rPr>
          <w:rFonts w:cs="Times New Roman"/>
          <w:sz w:val="26"/>
          <w:szCs w:val="26"/>
        </w:rPr>
        <w:t>Р</w:t>
      </w:r>
      <w:proofErr w:type="gramEnd"/>
      <w:r w:rsidR="00910C1B" w:rsidRPr="00377E66">
        <w:rPr>
          <w:rFonts w:cs="Times New Roman"/>
          <w:sz w:val="26"/>
          <w:szCs w:val="26"/>
        </w:rPr>
        <w:t>ассматривает ли Банк России переход на электронный документооборот в части кассовых операций?</w:t>
      </w:r>
    </w:p>
    <w:p w:rsidR="00910C1B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377E66">
        <w:rPr>
          <w:rFonts w:cs="Times New Roman"/>
          <w:b/>
          <w:sz w:val="26"/>
          <w:szCs w:val="26"/>
        </w:rPr>
        <w:t xml:space="preserve">Вопрос </w:t>
      </w:r>
      <w:r w:rsidR="006178D1">
        <w:rPr>
          <w:rFonts w:cs="Times New Roman"/>
          <w:b/>
          <w:sz w:val="26"/>
          <w:szCs w:val="26"/>
        </w:rPr>
        <w:t>6.</w:t>
      </w:r>
      <w:r w:rsidRPr="00377E66">
        <w:rPr>
          <w:rFonts w:cs="Times New Roman"/>
          <w:sz w:val="26"/>
          <w:szCs w:val="26"/>
        </w:rPr>
        <w:t xml:space="preserve"> </w:t>
      </w:r>
      <w:r w:rsidR="00910C1B" w:rsidRPr="00377E66">
        <w:rPr>
          <w:rFonts w:cs="Times New Roman"/>
          <w:sz w:val="26"/>
          <w:szCs w:val="26"/>
        </w:rPr>
        <w:t xml:space="preserve">Рассматривает ли Банк России изменения в 318-П по инкассации клиентских (торговых) точек: отмена явочных карточек, при применении уникальных сканирующих устройств с передачей информации </w:t>
      </w:r>
      <w:proofErr w:type="spellStart"/>
      <w:r w:rsidR="00910C1B" w:rsidRPr="00377E66">
        <w:rPr>
          <w:rFonts w:cs="Times New Roman"/>
          <w:sz w:val="26"/>
          <w:szCs w:val="26"/>
        </w:rPr>
        <w:t>он-лайн</w:t>
      </w:r>
      <w:proofErr w:type="spellEnd"/>
      <w:r w:rsidR="00910C1B" w:rsidRPr="00377E66">
        <w:rPr>
          <w:rFonts w:cs="Times New Roman"/>
          <w:sz w:val="26"/>
          <w:szCs w:val="26"/>
        </w:rPr>
        <w:t xml:space="preserve"> о клиенте, сумк</w:t>
      </w:r>
      <w:proofErr w:type="gramStart"/>
      <w:r w:rsidR="00910C1B" w:rsidRPr="00377E66">
        <w:rPr>
          <w:rFonts w:cs="Times New Roman"/>
          <w:sz w:val="26"/>
          <w:szCs w:val="26"/>
        </w:rPr>
        <w:t>е(</w:t>
      </w:r>
      <w:proofErr w:type="gramEnd"/>
      <w:r w:rsidR="00910C1B" w:rsidRPr="00377E66">
        <w:rPr>
          <w:rFonts w:cs="Times New Roman"/>
          <w:sz w:val="26"/>
          <w:szCs w:val="26"/>
        </w:rPr>
        <w:t xml:space="preserve">сейф пакете) и сумме в КЦ.  </w:t>
      </w:r>
    </w:p>
    <w:p w:rsidR="001A401F" w:rsidRPr="00377E66" w:rsidRDefault="00377E66" w:rsidP="001A401F">
      <w:pPr>
        <w:spacing w:after="0"/>
        <w:ind w:left="709" w:firstLine="0"/>
        <w:rPr>
          <w:rFonts w:cs="Times New Roman"/>
          <w:b/>
          <w:sz w:val="26"/>
          <w:szCs w:val="26"/>
        </w:rPr>
      </w:pPr>
      <w:r w:rsidRPr="00377E66">
        <w:rPr>
          <w:rFonts w:cs="Times New Roman"/>
          <w:b/>
          <w:sz w:val="26"/>
          <w:szCs w:val="26"/>
        </w:rPr>
        <w:t xml:space="preserve">Ответ </w:t>
      </w:r>
      <w:r>
        <w:rPr>
          <w:rFonts w:cs="Times New Roman"/>
          <w:b/>
          <w:sz w:val="26"/>
          <w:szCs w:val="26"/>
        </w:rPr>
        <w:t>к вопросам 4</w:t>
      </w:r>
      <w:r w:rsidR="006178D1">
        <w:rPr>
          <w:rFonts w:cs="Times New Roman"/>
          <w:b/>
          <w:sz w:val="26"/>
          <w:szCs w:val="26"/>
        </w:rPr>
        <w:t>-6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377E66">
        <w:rPr>
          <w:rFonts w:cs="Times New Roman"/>
          <w:sz w:val="26"/>
          <w:szCs w:val="26"/>
        </w:rPr>
        <w:t>Банком России реализуются мероприятия по организации электронного документооборота при ведении кассовых операций учреждениями Банка России и кредитными организациями с клиентами.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proofErr w:type="gramStart"/>
      <w:r w:rsidRPr="00377E66">
        <w:rPr>
          <w:rFonts w:cs="Times New Roman"/>
          <w:sz w:val="26"/>
          <w:szCs w:val="26"/>
        </w:rPr>
        <w:t>В целях внедрения электронного документооборота проводится работа по изменению установленной Указанием Банка России от 27 августа 2008 года № 2060-У «О кассовом обслуживании в учреждениях Банка России кредитных организаций и иных юридических лиц» формы заявки на получение денежной наличности для ее использования при сдаче наличных денег клиентами в подразделения Банка России.</w:t>
      </w:r>
      <w:proofErr w:type="gramEnd"/>
      <w:r w:rsidRPr="00377E66">
        <w:rPr>
          <w:rFonts w:cs="Times New Roman"/>
          <w:sz w:val="26"/>
          <w:szCs w:val="26"/>
        </w:rPr>
        <w:t xml:space="preserve"> При получении, сдаче наличных денег клиент сможет направлять заявку в подразделение Банка России в электронном виде. В этом случае на основании заявки в подразделении Банка России будут оформляться расходный кассовый ордер 0402009, приходный кассовый ордер 0402008.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377E66">
        <w:rPr>
          <w:rFonts w:cs="Times New Roman"/>
          <w:sz w:val="26"/>
          <w:szCs w:val="26"/>
        </w:rPr>
        <w:t>Аналогичный подход предполагается использовать при определении порядка электронного документооборота по обслуживанию кредитной организацией клиентов.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proofErr w:type="gramStart"/>
      <w:r w:rsidRPr="00377E66">
        <w:rPr>
          <w:rFonts w:cs="Times New Roman"/>
          <w:sz w:val="26"/>
          <w:szCs w:val="26"/>
        </w:rPr>
        <w:t>В настоящее время для кредитных организаций предусмотрена возможность оформления и хранения в электронном виде не содержащих подписи клиента (</w:t>
      </w:r>
      <w:proofErr w:type="spellStart"/>
      <w:r w:rsidRPr="00377E66">
        <w:rPr>
          <w:rFonts w:cs="Times New Roman"/>
          <w:sz w:val="26"/>
          <w:szCs w:val="26"/>
        </w:rPr>
        <w:t>вносителя</w:t>
      </w:r>
      <w:proofErr w:type="spellEnd"/>
      <w:r w:rsidRPr="00377E66">
        <w:rPr>
          <w:rFonts w:cs="Times New Roman"/>
          <w:sz w:val="26"/>
          <w:szCs w:val="26"/>
        </w:rPr>
        <w:t xml:space="preserve">, получателя) приходного кассового ордера 0402008, расходного кассового ордера 0402009; реестра переводов по приему наличных денег для осуществления операций по переводу на территории Российской Федерации денежных средств по распоряжению физических лиц без открытия банковских </w:t>
      </w:r>
      <w:r w:rsidRPr="00377E66">
        <w:rPr>
          <w:rFonts w:cs="Times New Roman"/>
          <w:sz w:val="26"/>
          <w:szCs w:val="26"/>
        </w:rPr>
        <w:lastRenderedPageBreak/>
        <w:t>счетов;</w:t>
      </w:r>
      <w:proofErr w:type="gramEnd"/>
      <w:r w:rsidRPr="00377E66">
        <w:rPr>
          <w:rFonts w:cs="Times New Roman"/>
          <w:sz w:val="26"/>
          <w:szCs w:val="26"/>
        </w:rPr>
        <w:t xml:space="preserve"> ордера по передаче ценностей 0402102; валютного кассового ордера 0401106; книги учета принятых и выданных ценностей 0402124.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377E66">
        <w:rPr>
          <w:rFonts w:cs="Times New Roman"/>
          <w:sz w:val="26"/>
          <w:szCs w:val="26"/>
        </w:rPr>
        <w:t>Указанный перечень документов предполагается расширить, предусмотрев оформление и хранение в электронном виде отчетной справки 0402112, справки о кассовых оборотах 0402114, журнала учета выдачи и приема явочных карточек, штампов, ключей и доверенностей 0402305, справки о выданных инкассаторским работникам сумках и явочных карточках 0402304, явочной карточки 0402303.</w:t>
      </w:r>
    </w:p>
    <w:p w:rsidR="00377E66" w:rsidRPr="00377E66" w:rsidRDefault="00377E66" w:rsidP="00377E66">
      <w:pPr>
        <w:spacing w:after="0"/>
        <w:ind w:left="0" w:firstLine="709"/>
        <w:rPr>
          <w:rFonts w:cs="Times New Roman"/>
          <w:sz w:val="26"/>
          <w:szCs w:val="26"/>
        </w:rPr>
      </w:pPr>
    </w:p>
    <w:p w:rsidR="001A401F" w:rsidRPr="001A401F" w:rsidRDefault="00377E66" w:rsidP="001A401F">
      <w:pPr>
        <w:spacing w:after="0"/>
        <w:ind w:left="709" w:firstLine="0"/>
        <w:rPr>
          <w:rFonts w:cs="Times New Roman"/>
          <w:sz w:val="26"/>
          <w:szCs w:val="26"/>
        </w:rPr>
      </w:pPr>
      <w:r w:rsidRPr="00377E66">
        <w:rPr>
          <w:rFonts w:cs="Times New Roman"/>
          <w:b/>
          <w:sz w:val="26"/>
          <w:szCs w:val="26"/>
        </w:rPr>
        <w:t xml:space="preserve">Вопрос </w:t>
      </w:r>
      <w:r w:rsidR="006178D1">
        <w:rPr>
          <w:rFonts w:cs="Times New Roman"/>
          <w:b/>
          <w:sz w:val="26"/>
          <w:szCs w:val="26"/>
        </w:rPr>
        <w:t>8</w:t>
      </w:r>
      <w:r w:rsidRPr="00377E66">
        <w:rPr>
          <w:rFonts w:cs="Times New Roman"/>
          <w:b/>
          <w:sz w:val="26"/>
          <w:szCs w:val="26"/>
        </w:rPr>
        <w:t>.</w:t>
      </w:r>
    </w:p>
    <w:p w:rsidR="00910C1B" w:rsidRPr="001A401F" w:rsidRDefault="00910C1B" w:rsidP="00377E66">
      <w:pPr>
        <w:spacing w:after="0"/>
        <w:ind w:left="0" w:firstLine="709"/>
        <w:rPr>
          <w:rFonts w:cs="Times New Roman"/>
          <w:sz w:val="26"/>
          <w:szCs w:val="26"/>
        </w:rPr>
      </w:pPr>
      <w:r w:rsidRPr="001A401F">
        <w:rPr>
          <w:rFonts w:cs="Times New Roman"/>
          <w:sz w:val="26"/>
          <w:szCs w:val="26"/>
        </w:rPr>
        <w:t>27 января 2015 г. Банком России направлено Письмо о введении новой редакции Методических Рекомендаций (МР) по проведению обучения кассовых работников определению признаков платежеспособности и подл</w:t>
      </w:r>
      <w:r w:rsidR="00AC5AAD">
        <w:rPr>
          <w:rFonts w:cs="Times New Roman"/>
          <w:sz w:val="26"/>
          <w:szCs w:val="26"/>
        </w:rPr>
        <w:t xml:space="preserve">инности денежных знаков (КВК). </w:t>
      </w:r>
      <w:proofErr w:type="gramStart"/>
      <w:r w:rsidRPr="001A401F">
        <w:rPr>
          <w:rFonts w:cs="Times New Roman"/>
          <w:sz w:val="26"/>
          <w:szCs w:val="26"/>
        </w:rPr>
        <w:t>По</w:t>
      </w:r>
      <w:proofErr w:type="gramEnd"/>
      <w:r w:rsidRPr="001A401F">
        <w:rPr>
          <w:rFonts w:cs="Times New Roman"/>
          <w:sz w:val="26"/>
          <w:szCs w:val="26"/>
        </w:rPr>
        <w:t xml:space="preserve"> </w:t>
      </w:r>
      <w:proofErr w:type="gramStart"/>
      <w:r w:rsidRPr="001A401F">
        <w:rPr>
          <w:rFonts w:cs="Times New Roman"/>
          <w:sz w:val="26"/>
          <w:szCs w:val="26"/>
        </w:rPr>
        <w:t>новым</w:t>
      </w:r>
      <w:proofErr w:type="gramEnd"/>
      <w:r w:rsidRPr="001A401F">
        <w:rPr>
          <w:rFonts w:cs="Times New Roman"/>
          <w:sz w:val="26"/>
          <w:szCs w:val="26"/>
        </w:rPr>
        <w:t xml:space="preserve"> МР обучение кассовых работников может проводиться специалистом Банка, имеющим документ о прохождении тестирования в учреждении Банка России по установленной программе сроком не более 4-х лет.</w:t>
      </w:r>
    </w:p>
    <w:p w:rsidR="00910C1B" w:rsidRDefault="00910C1B" w:rsidP="001A401F">
      <w:pPr>
        <w:spacing w:after="0"/>
        <w:ind w:left="0" w:firstLine="709"/>
        <w:rPr>
          <w:rFonts w:cs="Times New Roman"/>
          <w:sz w:val="26"/>
          <w:szCs w:val="26"/>
        </w:rPr>
      </w:pPr>
      <w:r w:rsidRPr="001A401F">
        <w:rPr>
          <w:rFonts w:cs="Times New Roman"/>
          <w:sz w:val="26"/>
          <w:szCs w:val="26"/>
        </w:rPr>
        <w:t>Разработана ли со стороны Банка России программа для специалистов</w:t>
      </w:r>
      <w:r w:rsidR="00577588">
        <w:rPr>
          <w:rFonts w:cs="Times New Roman"/>
          <w:sz w:val="26"/>
          <w:szCs w:val="26"/>
        </w:rPr>
        <w:t>,</w:t>
      </w:r>
      <w:r w:rsidRPr="001A401F">
        <w:rPr>
          <w:rFonts w:cs="Times New Roman"/>
          <w:sz w:val="26"/>
          <w:szCs w:val="26"/>
        </w:rPr>
        <w:t xml:space="preserve"> которые проходили ранее обучение? Или специалисту, обучающему кассовых работников, необходимо каждые 4 года заново проходить один и тот же курс КВК в учреждении БР?</w:t>
      </w:r>
    </w:p>
    <w:p w:rsidR="00377E66" w:rsidRDefault="00377E66" w:rsidP="00377E66">
      <w:pPr>
        <w:spacing w:after="0"/>
        <w:ind w:left="709" w:firstLine="0"/>
        <w:rPr>
          <w:rFonts w:cs="Times New Roman"/>
          <w:b/>
          <w:sz w:val="26"/>
          <w:szCs w:val="26"/>
        </w:rPr>
      </w:pPr>
      <w:r w:rsidRPr="00377E66">
        <w:rPr>
          <w:rFonts w:cs="Times New Roman"/>
          <w:b/>
          <w:sz w:val="26"/>
          <w:szCs w:val="26"/>
        </w:rPr>
        <w:t xml:space="preserve">Ответ </w:t>
      </w:r>
      <w:r w:rsidR="006178D1">
        <w:rPr>
          <w:rFonts w:cs="Times New Roman"/>
          <w:b/>
          <w:sz w:val="26"/>
          <w:szCs w:val="26"/>
        </w:rPr>
        <w:t>8</w:t>
      </w:r>
      <w:r w:rsidR="00B6183A">
        <w:rPr>
          <w:rFonts w:cs="Times New Roman"/>
          <w:b/>
          <w:sz w:val="26"/>
          <w:szCs w:val="26"/>
        </w:rPr>
        <w:t>.</w:t>
      </w:r>
    </w:p>
    <w:p w:rsidR="00377E66" w:rsidRPr="001A401F" w:rsidRDefault="00B6183A" w:rsidP="00B6183A">
      <w:pPr>
        <w:spacing w:after="0"/>
        <w:ind w:left="0" w:firstLine="709"/>
        <w:rPr>
          <w:rFonts w:cs="Times New Roman"/>
          <w:sz w:val="26"/>
          <w:szCs w:val="26"/>
        </w:rPr>
      </w:pPr>
      <w:r w:rsidRPr="00B6183A">
        <w:rPr>
          <w:rFonts w:cs="Times New Roman"/>
          <w:sz w:val="26"/>
          <w:szCs w:val="26"/>
        </w:rPr>
        <w:t>В соответствии с пунктом 3.1 «Методических рекомендаций по проведению обучения кассовых работников кредитных организаций определению платежеспособности и подлинности денежных знаков Банка России, а также подлинности банкнот иностранных государств (группы иностранных государств)» Банк России проводит тестирование специалистов кредитных организаций, занимающихся обучением кассовых работников. Тестирование проводится по тематическим вопросам, предусмотренным типовой программой (приложение к указанным методическим рекомендациям).</w:t>
      </w:r>
    </w:p>
    <w:sectPr w:rsidR="00377E66" w:rsidRPr="001A401F" w:rsidSect="00AF0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3A" w:rsidRDefault="00B6183A" w:rsidP="000704E8">
      <w:pPr>
        <w:spacing w:after="0" w:line="240" w:lineRule="auto"/>
      </w:pPr>
      <w:r>
        <w:separator/>
      </w:r>
    </w:p>
  </w:endnote>
  <w:endnote w:type="continuationSeparator" w:id="0">
    <w:p w:rsidR="00B6183A" w:rsidRDefault="00B6183A" w:rsidP="000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2817"/>
      <w:docPartObj>
        <w:docPartGallery w:val="Page Numbers (Bottom of Page)"/>
        <w:docPartUnique/>
      </w:docPartObj>
    </w:sdtPr>
    <w:sdtContent>
      <w:p w:rsidR="00B6183A" w:rsidRDefault="00F12327">
        <w:pPr>
          <w:pStyle w:val="ab"/>
          <w:jc w:val="center"/>
        </w:pPr>
        <w:fldSimple w:instr=" PAGE   \* MERGEFORMAT ">
          <w:r w:rsidR="006178D1">
            <w:rPr>
              <w:noProof/>
            </w:rPr>
            <w:t>2</w:t>
          </w:r>
        </w:fldSimple>
      </w:p>
    </w:sdtContent>
  </w:sdt>
  <w:p w:rsidR="00B6183A" w:rsidRDefault="00B618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3A" w:rsidRDefault="00B6183A" w:rsidP="000704E8">
      <w:pPr>
        <w:spacing w:after="0" w:line="240" w:lineRule="auto"/>
      </w:pPr>
      <w:r>
        <w:separator/>
      </w:r>
    </w:p>
  </w:footnote>
  <w:footnote w:type="continuationSeparator" w:id="0">
    <w:p w:rsidR="00B6183A" w:rsidRDefault="00B6183A" w:rsidP="0007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77"/>
    <w:multiLevelType w:val="hybridMultilevel"/>
    <w:tmpl w:val="D53844B4"/>
    <w:lvl w:ilvl="0" w:tplc="64E402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66FE8"/>
    <w:multiLevelType w:val="hybridMultilevel"/>
    <w:tmpl w:val="DED4F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20937"/>
    <w:multiLevelType w:val="hybridMultilevel"/>
    <w:tmpl w:val="01D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54E"/>
    <w:multiLevelType w:val="hybridMultilevel"/>
    <w:tmpl w:val="2376AB4E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887702"/>
    <w:multiLevelType w:val="hybridMultilevel"/>
    <w:tmpl w:val="89B2F52E"/>
    <w:lvl w:ilvl="0" w:tplc="7D1E7D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77BC7"/>
    <w:multiLevelType w:val="hybridMultilevel"/>
    <w:tmpl w:val="B0728F06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9E001E"/>
    <w:multiLevelType w:val="hybridMultilevel"/>
    <w:tmpl w:val="739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258"/>
    <w:multiLevelType w:val="multilevel"/>
    <w:tmpl w:val="327E54A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814265A"/>
    <w:multiLevelType w:val="hybridMultilevel"/>
    <w:tmpl w:val="7BA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B31CE"/>
    <w:multiLevelType w:val="hybridMultilevel"/>
    <w:tmpl w:val="F036C7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465468"/>
    <w:multiLevelType w:val="hybridMultilevel"/>
    <w:tmpl w:val="F92821D2"/>
    <w:lvl w:ilvl="0" w:tplc="64E40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E8"/>
    <w:rsid w:val="0001508C"/>
    <w:rsid w:val="00053B82"/>
    <w:rsid w:val="00063691"/>
    <w:rsid w:val="000704E8"/>
    <w:rsid w:val="000945BF"/>
    <w:rsid w:val="0009677C"/>
    <w:rsid w:val="000A4AAE"/>
    <w:rsid w:val="000B0A91"/>
    <w:rsid w:val="000E4CB0"/>
    <w:rsid w:val="000F265E"/>
    <w:rsid w:val="00105054"/>
    <w:rsid w:val="001226EA"/>
    <w:rsid w:val="001945B7"/>
    <w:rsid w:val="00195C15"/>
    <w:rsid w:val="00197802"/>
    <w:rsid w:val="001A401F"/>
    <w:rsid w:val="001E619F"/>
    <w:rsid w:val="001F5EE5"/>
    <w:rsid w:val="00205084"/>
    <w:rsid w:val="00207B03"/>
    <w:rsid w:val="00241091"/>
    <w:rsid w:val="00272E39"/>
    <w:rsid w:val="00287F06"/>
    <w:rsid w:val="002B3F09"/>
    <w:rsid w:val="002B6043"/>
    <w:rsid w:val="002C3387"/>
    <w:rsid w:val="002E0D7C"/>
    <w:rsid w:val="002E7D99"/>
    <w:rsid w:val="002F3EBF"/>
    <w:rsid w:val="00335E61"/>
    <w:rsid w:val="0034044A"/>
    <w:rsid w:val="00377E66"/>
    <w:rsid w:val="00386A0A"/>
    <w:rsid w:val="00390814"/>
    <w:rsid w:val="0039726B"/>
    <w:rsid w:val="003E1BF2"/>
    <w:rsid w:val="003F7866"/>
    <w:rsid w:val="004218C1"/>
    <w:rsid w:val="00426B28"/>
    <w:rsid w:val="00477335"/>
    <w:rsid w:val="004A0BAE"/>
    <w:rsid w:val="004F6E7A"/>
    <w:rsid w:val="005313E4"/>
    <w:rsid w:val="005411C0"/>
    <w:rsid w:val="00542670"/>
    <w:rsid w:val="00547076"/>
    <w:rsid w:val="00577588"/>
    <w:rsid w:val="00587FF2"/>
    <w:rsid w:val="005A1021"/>
    <w:rsid w:val="005A6085"/>
    <w:rsid w:val="005A6299"/>
    <w:rsid w:val="005B542F"/>
    <w:rsid w:val="005E0A26"/>
    <w:rsid w:val="0060039D"/>
    <w:rsid w:val="00606D5C"/>
    <w:rsid w:val="006178D1"/>
    <w:rsid w:val="00626633"/>
    <w:rsid w:val="00632E12"/>
    <w:rsid w:val="0065022D"/>
    <w:rsid w:val="006C51C9"/>
    <w:rsid w:val="006C6454"/>
    <w:rsid w:val="006D742D"/>
    <w:rsid w:val="00735F5D"/>
    <w:rsid w:val="00745AB4"/>
    <w:rsid w:val="007577A8"/>
    <w:rsid w:val="007A14A4"/>
    <w:rsid w:val="007A2052"/>
    <w:rsid w:val="007A7A16"/>
    <w:rsid w:val="007B0DB4"/>
    <w:rsid w:val="007E3678"/>
    <w:rsid w:val="0081243B"/>
    <w:rsid w:val="008360A8"/>
    <w:rsid w:val="00845AD8"/>
    <w:rsid w:val="008675F5"/>
    <w:rsid w:val="008C4B1F"/>
    <w:rsid w:val="008D0B9A"/>
    <w:rsid w:val="008E2E77"/>
    <w:rsid w:val="008F6167"/>
    <w:rsid w:val="00910C1B"/>
    <w:rsid w:val="0091189B"/>
    <w:rsid w:val="00913DDE"/>
    <w:rsid w:val="009243AC"/>
    <w:rsid w:val="0093317F"/>
    <w:rsid w:val="00936DA4"/>
    <w:rsid w:val="009413A3"/>
    <w:rsid w:val="0096300B"/>
    <w:rsid w:val="00985088"/>
    <w:rsid w:val="009A0C34"/>
    <w:rsid w:val="009A3F6D"/>
    <w:rsid w:val="009C77F7"/>
    <w:rsid w:val="009D63CC"/>
    <w:rsid w:val="009D7213"/>
    <w:rsid w:val="009E153C"/>
    <w:rsid w:val="009F4C6E"/>
    <w:rsid w:val="00A65AE1"/>
    <w:rsid w:val="00A91999"/>
    <w:rsid w:val="00AC5AAD"/>
    <w:rsid w:val="00AD40C7"/>
    <w:rsid w:val="00AF0F40"/>
    <w:rsid w:val="00B055BC"/>
    <w:rsid w:val="00B33087"/>
    <w:rsid w:val="00B356C4"/>
    <w:rsid w:val="00B6183A"/>
    <w:rsid w:val="00B709D3"/>
    <w:rsid w:val="00B90B7D"/>
    <w:rsid w:val="00BD2903"/>
    <w:rsid w:val="00C112CB"/>
    <w:rsid w:val="00C226E7"/>
    <w:rsid w:val="00C3487F"/>
    <w:rsid w:val="00C4272C"/>
    <w:rsid w:val="00C543AC"/>
    <w:rsid w:val="00C617B7"/>
    <w:rsid w:val="00C63F70"/>
    <w:rsid w:val="00C7422A"/>
    <w:rsid w:val="00C95926"/>
    <w:rsid w:val="00CB3C25"/>
    <w:rsid w:val="00CC1ED6"/>
    <w:rsid w:val="00CF4E5F"/>
    <w:rsid w:val="00CF761D"/>
    <w:rsid w:val="00D03459"/>
    <w:rsid w:val="00D20310"/>
    <w:rsid w:val="00D31ABB"/>
    <w:rsid w:val="00D82466"/>
    <w:rsid w:val="00DA2475"/>
    <w:rsid w:val="00DA2A22"/>
    <w:rsid w:val="00DB1400"/>
    <w:rsid w:val="00E14483"/>
    <w:rsid w:val="00E34C29"/>
    <w:rsid w:val="00E469E2"/>
    <w:rsid w:val="00E47AF2"/>
    <w:rsid w:val="00E70DD3"/>
    <w:rsid w:val="00E728C5"/>
    <w:rsid w:val="00E736E6"/>
    <w:rsid w:val="00E761AA"/>
    <w:rsid w:val="00E8235B"/>
    <w:rsid w:val="00E90BC1"/>
    <w:rsid w:val="00EB396D"/>
    <w:rsid w:val="00EE780B"/>
    <w:rsid w:val="00F12327"/>
    <w:rsid w:val="00F353FB"/>
    <w:rsid w:val="00F40011"/>
    <w:rsid w:val="00F55336"/>
    <w:rsid w:val="00F84956"/>
    <w:rsid w:val="00FA4219"/>
    <w:rsid w:val="00FD2B88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  <w:style w:type="paragraph" w:styleId="ad">
    <w:name w:val="Balloon Text"/>
    <w:basedOn w:val="a"/>
    <w:link w:val="ae"/>
    <w:uiPriority w:val="99"/>
    <w:semiHidden/>
    <w:unhideWhenUsed/>
    <w:rsid w:val="000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11</cp:revision>
  <dcterms:created xsi:type="dcterms:W3CDTF">2016-02-15T11:55:00Z</dcterms:created>
  <dcterms:modified xsi:type="dcterms:W3CDTF">2016-03-04T08:40:00Z</dcterms:modified>
</cp:coreProperties>
</file>