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28"/>
          <w:b/>
          <w:szCs w:val="28"/>
          <w:bCs/>
          <w:rFonts w:ascii="Times New Roman" w:cs="Times New Roman" w:hAnsi="Times New Roman"/>
        </w:rPr>
        <w:t xml:space="preserve"> </w:t>
      </w:r>
      <w:r>
        <w:rPr>
          <w:sz w:val="28"/>
          <w:b/>
          <w:szCs w:val="28"/>
          <w:bCs/>
          <w:rFonts w:ascii="Times New Roman" w:cs="Times New Roman" w:hAnsi="Times New Roman"/>
        </w:rPr>
        <w:t>Оценка текущего состояния  финансового рынка Украины</w:t>
      </w:r>
    </w:p>
    <w:p>
      <w:pPr>
        <w:pStyle w:val="style0"/>
        <w:jc w:val="both"/>
        <w:ind w:firstLine="708" w:left="0" w:right="0"/>
      </w:pPr>
      <w:r>
        <w:rPr>
          <w:sz w:val="28"/>
          <w:i/>
          <w:b/>
          <w:szCs w:val="28"/>
          <w:iCs/>
          <w:bCs/>
          <w:rFonts w:ascii="Times New Roman" w:cs="Times New Roman" w:hAnsi="Times New Roman"/>
        </w:rPr>
        <w:t>1.Количество банков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  <w:rFonts w:ascii="Times New Roman" w:cs="Times New Roman" w:hAnsi="Times New Roman"/>
        </w:rPr>
        <w:t>По сравнению с докризисным уровнем 2007 г. общее количество банков, имеющих лицензию НБУ на осуществление банковских операций увеличилось на 3,5 % (диагр.1):</w:t>
      </w:r>
    </w:p>
    <w:p>
      <w:pPr>
        <w:pStyle w:val="style0"/>
      </w:pPr>
      <w:r>
        <w:rPr>
          <w:sz w:val="28"/>
          <w:b/>
          <w:szCs w:val="28"/>
          <w:bCs/>
          <w:rFonts w:ascii="Times New Roman" w:cs="Times New Roman" w:hAnsi="Times New Roman"/>
          <w:lang w:val="en-US"/>
        </w:rPr>
        <w:pict>
          <v:rect id="shape_2345778384" style="position:absolute;margin-left:0pt;margin-top:0pt;width:433.4pt;height:252.7pt">
            <w10:wrap w10:type="none"/>
            <v:fill color2="black" detectmouseclick="t"/>
            <v:stroke color="#000023" joinstyle="round"/>
          </v:rect>
        </w:pict>
      </w:r>
    </w:p>
    <w:p>
      <w:pPr>
        <w:pStyle w:val="style0"/>
      </w:pPr>
      <w:r>
        <w:rPr>
          <w:sz w:val="28"/>
          <w:i/>
          <w:szCs w:val="28"/>
          <w:iCs/>
          <w:rFonts w:ascii="Times New Roman" w:cs="Times New Roman" w:hAnsi="Times New Roman"/>
        </w:rPr>
        <w:t>Диаграмма 1.</w:t>
      </w:r>
      <w:r>
        <w:rPr>
          <w:sz w:val="28"/>
          <w:b/>
          <w:szCs w:val="28"/>
          <w:bCs/>
          <w:rFonts w:ascii="Times New Roman" w:cs="Times New Roman" w:hAnsi="Times New Roman"/>
        </w:rPr>
        <w:t xml:space="preserve"> Динамика  банков в Украине</w:t>
      </w:r>
    </w:p>
    <w:p>
      <w:pPr>
        <w:pStyle w:val="style0"/>
        <w:jc w:val="both"/>
        <w:tabs>
          <w:tab w:leader="none" w:pos="1020" w:val="left"/>
        </w:tabs>
      </w:pPr>
      <w:r>
        <w:rPr>
          <w:sz w:val="28"/>
          <w:i/>
          <w:b/>
          <w:szCs w:val="28"/>
          <w:iCs/>
          <w:bCs/>
          <w:rFonts w:ascii="Times New Roman" w:cs="Times New Roman" w:hAnsi="Times New Roman"/>
        </w:rPr>
        <w:tab/>
        <w:t>1.1. Доля государственных банков</w:t>
      </w:r>
    </w:p>
    <w:p>
      <w:pPr>
        <w:pStyle w:val="style0"/>
        <w:jc w:val="both"/>
        <w:tabs>
          <w:tab w:leader="none" w:pos="1020" w:val="left"/>
        </w:tabs>
      </w:pPr>
      <w:r>
        <w:rPr>
          <w:sz w:val="28"/>
          <w:szCs w:val="28"/>
          <w:rFonts w:ascii="Times New Roman" w:cs="Times New Roman" w:hAnsi="Times New Roman"/>
        </w:rPr>
        <w:t>При этом по сравнению с докризисным уровнем 2007 г. доля государственных  банков в Украине увеличилась в 2,5 раза (диагр.2):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pict>
          <v:rect id="shape_2345778385" style="position:absolute;margin-left:0pt;margin-top:0pt;width:433.4pt;height:149.95pt">
            <w10:wrap w10:type="none"/>
            <v:fill color2="black" detectmouseclick="t"/>
            <v:stroke color="#000023" joinstyle="round"/>
          </v:rect>
        </w:pict>
      </w:r>
    </w:p>
    <w:p>
      <w:pPr>
        <w:pStyle w:val="style0"/>
      </w:pPr>
      <w:r>
        <w:rPr>
          <w:sz w:val="28"/>
          <w:i/>
          <w:szCs w:val="28"/>
          <w:iCs/>
          <w:rFonts w:ascii="Times New Roman" w:cs="Times New Roman" w:hAnsi="Times New Roman"/>
        </w:rPr>
        <w:t>Диаграмма 2.</w:t>
      </w:r>
      <w:r>
        <w:rPr>
          <w:sz w:val="28"/>
          <w:b/>
          <w:szCs w:val="28"/>
          <w:bCs/>
          <w:rFonts w:ascii="Times New Roman" w:cs="Times New Roman" w:hAnsi="Times New Roman"/>
        </w:rPr>
        <w:t xml:space="preserve"> Доля государственных  банков в Украине (на 01.04. 2012 г.)</w:t>
      </w:r>
    </w:p>
    <w:p>
      <w:pPr>
        <w:pStyle w:val="style0"/>
        <w:jc w:val="both"/>
        <w:tabs>
          <w:tab w:leader="none" w:pos="1020" w:val="left"/>
        </w:tabs>
      </w:pPr>
      <w:r>
        <w:rPr>
          <w:sz w:val="28"/>
          <w:i/>
          <w:b/>
          <w:szCs w:val="28"/>
          <w:iCs/>
          <w:bCs/>
          <w:rFonts w:ascii="Times New Roman" w:cs="Times New Roman" w:hAnsi="Times New Roman"/>
        </w:rPr>
        <w:tab/>
      </w:r>
    </w:p>
    <w:p>
      <w:pPr>
        <w:pStyle w:val="style0"/>
        <w:jc w:val="both"/>
        <w:tabs>
          <w:tab w:leader="none" w:pos="1020" w:val="left"/>
        </w:tabs>
      </w:pPr>
      <w:r>
        <w:rPr>
          <w:sz w:val="28"/>
          <w:i/>
          <w:b/>
          <w:szCs w:val="28"/>
          <w:iCs/>
          <w:bCs/>
          <w:rFonts w:ascii="Times New Roman" w:cs="Times New Roman" w:hAnsi="Times New Roman"/>
        </w:rPr>
        <w:t>1.2. Динамика банков с иностранным капиталом</w:t>
      </w:r>
    </w:p>
    <w:p>
      <w:pPr>
        <w:pStyle w:val="style0"/>
        <w:tabs>
          <w:tab w:leader="none" w:pos="1020" w:val="left"/>
        </w:tabs>
      </w:pPr>
      <w:r>
        <w:rPr>
          <w:sz w:val="28"/>
          <w:szCs w:val="28"/>
          <w:rFonts w:ascii="Times New Roman" w:cs="Times New Roman" w:hAnsi="Times New Roman"/>
        </w:rPr>
        <w:pict>
          <v:rect id="shape_2345778386" style="position:absolute;margin-left:0pt;margin-top:0pt;width:433.4pt;height:209.2pt">
            <w10:wrap w10:type="none"/>
            <v:fill color2="black" detectmouseclick="t"/>
            <v:stroke color="#000023" joinstyle="round"/>
          </v:rect>
        </w:pict>
      </w:r>
    </w:p>
    <w:p>
      <w:pPr>
        <w:pStyle w:val="style0"/>
      </w:pPr>
      <w:r>
        <w:rPr>
          <w:sz w:val="28"/>
          <w:i/>
          <w:szCs w:val="28"/>
          <w:iCs/>
          <w:rFonts w:ascii="Times New Roman" w:cs="Times New Roman" w:hAnsi="Times New Roman"/>
        </w:rPr>
        <w:t>Диаграмма 3.</w:t>
      </w:r>
      <w:r>
        <w:rPr>
          <w:sz w:val="28"/>
          <w:b/>
          <w:szCs w:val="28"/>
          <w:bCs/>
          <w:rFonts w:ascii="Times New Roman" w:cs="Times New Roman" w:hAnsi="Times New Roman"/>
        </w:rPr>
        <w:t xml:space="preserve"> Динамика банков с иностранным капиталом в Украине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  <w:rFonts w:ascii="Times New Roman" w:cs="Times New Roman" w:hAnsi="Times New Roman"/>
        </w:rPr>
        <w:t>Количество банков с иностранным капиталом в Украине за последние пять лет увеличилось почти на 13% (с 47 до 53 единиц). Среди них на 01.01.2012 г. доля  банков со 100% иностранным капиталом составляет      41,5 % (22 банка), что на 30 % превышает аналогичный показатель начала 2008 г. (17 банков).</w:t>
      </w:r>
    </w:p>
    <w:p>
      <w:pPr>
        <w:pStyle w:val="style0"/>
        <w:tabs>
          <w:tab w:leader="none" w:pos="1020" w:val="left"/>
        </w:tabs>
      </w:pPr>
      <w:r>
        <w:rPr>
          <w:sz w:val="28"/>
          <w:i/>
          <w:b/>
          <w:szCs w:val="28"/>
          <w:iCs/>
          <w:bCs/>
          <w:rFonts w:ascii="Times New Roman" w:cs="Times New Roman" w:hAnsi="Times New Roman"/>
        </w:rPr>
        <w:t xml:space="preserve">2. Оценка макроэкономической  ситуации </w:t>
      </w:r>
    </w:p>
    <w:tbl>
      <w:tblPr>
        <w:tblBorders/>
        <w:jc w:val="left"/>
        <w:tblInd w:type="dxa" w:w="-88"/>
      </w:tblPr>
      <w:tblGrid>
        <w:gridCol w:w="3785"/>
        <w:gridCol w:w="1420"/>
        <w:gridCol w:w="1420"/>
        <w:gridCol w:w="1420"/>
        <w:gridCol w:w="1"/>
      </w:tblGrid>
      <w:tr>
        <w:trPr>
          <w:cantSplit w:val="off"/>
        </w:trPr>
        <w:tc>
          <w:tcPr>
            <w:tcBorders/>
            <w:gridSpan w:val="2"/>
            <w:shd w:fill="D1E1C4"/>
            <w:tcW w:type="dxa" w:w="37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eastAsia="ru-RU"/>
              </w:rPr>
              <w:t>Основные макроэкономические показатели</w:t>
            </w:r>
          </w:p>
        </w:tc>
        <w:tc>
          <w:tcPr>
            <w:tcBorders/>
            <w:shd w:fill="D1E1C4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</w:r>
          </w:p>
        </w:tc>
        <w:tc>
          <w:tcPr>
            <w:tcBorders/>
            <w:shd w:fill="D1E1C4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</w:r>
          </w:p>
        </w:tc>
        <w:tc>
          <w:tcPr>
            <w:tcBorders/>
            <w:shd w:fill="D1E1C4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</w:r>
          </w:p>
        </w:tc>
        <w:tc>
          <w:tcPr>
            <w:tcBorders/>
            <w:shd w:fill="D1E1C4"/>
            <w:tcW w:type="dxa" w:w="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</w:r>
          </w:p>
        </w:tc>
      </w:tr>
      <w:tr>
        <w:trPr>
          <w:cantSplit w:val="off"/>
        </w:trPr>
        <w:tc>
          <w:tcPr>
            <w:tcBorders/>
            <w:shd w:fill="D1E1C4"/>
            <w:tcW w:type="dxa" w:w="2833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</w:r>
          </w:p>
        </w:tc>
        <w:tc>
          <w:tcPr>
            <w:tcBorders/>
            <w:shd w:fill="D1E1C4"/>
            <w:tcW w:type="dxa" w:w="95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 </w:t>
            </w:r>
          </w:p>
        </w:tc>
        <w:tc>
          <w:tcPr>
            <w:tcBorders/>
            <w:shd w:fill="D1E1C4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28" w:before="28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eastAsia="ru-RU"/>
              </w:rPr>
              <w:t>2008</w:t>
            </w:r>
          </w:p>
        </w:tc>
        <w:tc>
          <w:tcPr>
            <w:tcBorders/>
            <w:shd w:fill="D1E1C4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28" w:before="28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eastAsia="ru-RU"/>
              </w:rPr>
              <w:t>2009</w:t>
            </w:r>
          </w:p>
        </w:tc>
        <w:tc>
          <w:tcPr>
            <w:tcBorders/>
            <w:shd w:fill="D1E1C4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28" w:before="28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eastAsia="ru-RU"/>
              </w:rPr>
              <w:t>2010</w:t>
            </w:r>
          </w:p>
        </w:tc>
        <w:tc>
          <w:tcPr>
            <w:tcBorders/>
            <w:shd w:fill="D1E1C4"/>
            <w:tcW w:type="dxa" w:w="1428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28" w:before="28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eastAsia="ru-RU"/>
              </w:rPr>
              <w:t>2011</w:t>
            </w:r>
          </w:p>
        </w:tc>
      </w:tr>
      <w:tr>
        <w:trPr>
          <w:cantSplit w:val="off"/>
        </w:trPr>
        <w:tc>
          <w:tcPr>
            <w:tcBorders/>
            <w:shd w:fill="EDECE5"/>
            <w:tcW w:type="dxa" w:w="2833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  <w:lang w:eastAsia="ru-RU"/>
              </w:rPr>
            </w:r>
          </w:p>
        </w:tc>
        <w:tc>
          <w:tcPr>
            <w:tcBorders/>
            <w:shd w:fill="EDECE5"/>
            <w:tcW w:type="dxa" w:w="95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  <w:lang w:eastAsia="ru-RU"/>
              </w:rPr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28" w:before="28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  <w:lang w:eastAsia="ru-RU"/>
              </w:rPr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28" w:before="28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  <w:lang w:eastAsia="ru-RU"/>
              </w:rPr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28" w:before="28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  <w:lang w:eastAsia="ru-RU"/>
              </w:rPr>
            </w:r>
          </w:p>
        </w:tc>
        <w:tc>
          <w:tcPr>
            <w:tcBorders/>
            <w:shd w:fill="EDECE5"/>
            <w:tcW w:type="dxa" w:w="1428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28" w:before="28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  <w:lang w:eastAsia="ru-RU"/>
              </w:rPr>
            </w:r>
          </w:p>
        </w:tc>
      </w:tr>
      <w:tr>
        <w:trPr>
          <w:cantSplit w:val="off"/>
        </w:trPr>
        <w:tc>
          <w:tcPr>
            <w:tcBorders/>
            <w:shd w:fill="EDECE5"/>
            <w:tcW w:type="dxa" w:w="2833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  <w:lang w:eastAsia="ru-RU"/>
              </w:rPr>
            </w:r>
          </w:p>
        </w:tc>
        <w:tc>
          <w:tcPr>
            <w:tcBorders/>
            <w:shd w:fill="EDECE5"/>
            <w:tcW w:type="dxa" w:w="95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  <w:lang w:eastAsia="ru-RU"/>
              </w:rPr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28" w:before="28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  <w:lang w:eastAsia="ru-RU"/>
              </w:rPr>
              <w:t> 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28" w:before="28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  <w:lang w:eastAsia="ru-RU"/>
              </w:rPr>
              <w:t> 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28" w:before="28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  <w:lang w:eastAsia="ru-RU"/>
              </w:rPr>
              <w:t> </w:t>
            </w:r>
          </w:p>
        </w:tc>
        <w:tc>
          <w:tcPr>
            <w:tcBorders/>
            <w:shd w:fill="EDECE5"/>
            <w:tcW w:type="dxa" w:w="1428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28" w:before="28" w:line="100" w:lineRule="atLeast"/>
            </w:pPr>
            <w:r>
              <w:rPr>
                <w:sz w:val="24"/>
                <w:szCs w:val="24"/>
                <w:rFonts w:ascii="Times New Roman" w:cs="Times New Roman" w:hAnsi="Times New Roman"/>
                <w:lang w:eastAsia="ru-RU"/>
              </w:rPr>
              <w:t> </w:t>
            </w:r>
          </w:p>
        </w:tc>
      </w:tr>
      <w:tr>
        <w:trPr>
          <w:cantSplit w:val="off"/>
        </w:trPr>
        <w:tc>
          <w:tcPr>
            <w:tcBorders/>
            <w:gridSpan w:val="2"/>
            <w:shd w:fill="EDECE5"/>
            <w:tcW w:type="dxa" w:w="37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ВВП, USD млрд.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180,0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117,4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138,1</w:t>
            </w:r>
          </w:p>
        </w:tc>
        <w:tc>
          <w:tcPr>
            <w:tcBorders/>
            <w:shd w:fill="EDECE5"/>
            <w:tcW w:type="dxa" w:w="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164,3</w:t>
            </w:r>
          </w:p>
        </w:tc>
      </w:tr>
      <w:tr>
        <w:trPr>
          <w:cantSplit w:val="off"/>
        </w:trPr>
        <w:tc>
          <w:tcPr>
            <w:tcBorders/>
            <w:gridSpan w:val="2"/>
            <w:shd w:fill="EDECE5"/>
            <w:tcW w:type="dxa" w:w="37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ВВП на душу населения, USD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3 891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2 549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3 011</w:t>
            </w:r>
          </w:p>
        </w:tc>
        <w:tc>
          <w:tcPr>
            <w:tcBorders/>
            <w:shd w:fill="EDECE5"/>
            <w:tcW w:type="dxa" w:w="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3 536</w:t>
            </w:r>
          </w:p>
        </w:tc>
      </w:tr>
      <w:tr>
        <w:trPr>
          <w:cantSplit w:val="off"/>
        </w:trPr>
        <w:tc>
          <w:tcPr>
            <w:tcBorders/>
            <w:gridSpan w:val="2"/>
            <w:shd w:fill="EDECE5"/>
            <w:tcW w:type="dxa" w:w="37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ВВП, % реального изменения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2,3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-15,1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4,7</w:t>
            </w:r>
          </w:p>
        </w:tc>
        <w:tc>
          <w:tcPr>
            <w:tcBorders/>
            <w:shd w:fill="EDECE5"/>
            <w:tcW w:type="dxa" w:w="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5,1</w:t>
            </w:r>
          </w:p>
        </w:tc>
      </w:tr>
      <w:tr>
        <w:trPr>
          <w:cantSplit w:val="off"/>
        </w:trPr>
        <w:tc>
          <w:tcPr>
            <w:tcBorders/>
            <w:gridSpan w:val="2"/>
            <w:shd w:fill="EDECE5"/>
            <w:tcW w:type="dxa" w:w="37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 xml:space="preserve">Уровень безработицы, % 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( методология МОТ)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6,4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8,8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8,7</w:t>
            </w:r>
          </w:p>
        </w:tc>
        <w:tc>
          <w:tcPr>
            <w:tcBorders/>
            <w:shd w:fill="EDECE5"/>
            <w:tcW w:type="dxa" w:w="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8,5</w:t>
            </w:r>
          </w:p>
        </w:tc>
      </w:tr>
      <w:tr>
        <w:trPr>
          <w:cantSplit w:val="off"/>
        </w:trPr>
        <w:tc>
          <w:tcPr>
            <w:tcBorders/>
            <w:gridSpan w:val="2"/>
            <w:shd w:fill="EDECE5"/>
            <w:tcW w:type="dxa" w:w="37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Дефлятор ВВП, %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28,6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13,6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14,5</w:t>
            </w:r>
          </w:p>
        </w:tc>
        <w:tc>
          <w:tcPr>
            <w:tcBorders/>
            <w:shd w:fill="EDECE5"/>
            <w:tcW w:type="dxa" w:w="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13,0</w:t>
            </w:r>
          </w:p>
        </w:tc>
      </w:tr>
      <w:tr>
        <w:trPr>
          <w:cantSplit w:val="off"/>
        </w:trPr>
        <w:tc>
          <w:tcPr>
            <w:tcBorders/>
            <w:gridSpan w:val="2"/>
            <w:shd w:fill="EDECE5"/>
            <w:tcW w:type="dxa" w:w="37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 xml:space="preserve">Индекс потребительских цен (ІПЦ), % 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22,3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12,3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9,1</w:t>
            </w:r>
          </w:p>
        </w:tc>
        <w:tc>
          <w:tcPr>
            <w:tcBorders/>
            <w:shd w:fill="EDECE5"/>
            <w:tcW w:type="dxa" w:w="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4,6</w:t>
            </w:r>
          </w:p>
        </w:tc>
      </w:tr>
      <w:tr>
        <w:trPr>
          <w:cantSplit w:val="off"/>
        </w:trPr>
        <w:tc>
          <w:tcPr>
            <w:tcBorders/>
            <w:shd w:fill="EDECE5"/>
            <w:tcW w:type="dxa" w:w="2833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18"/>
                <w:szCs w:val="18"/>
                <w:rFonts w:ascii="Arial" w:cs="Arial" w:hAnsi="Arial"/>
                <w:lang w:eastAsia="ru-RU"/>
              </w:rPr>
            </w:r>
          </w:p>
        </w:tc>
        <w:tc>
          <w:tcPr>
            <w:tcBorders/>
            <w:shd w:fill="EDECE5"/>
            <w:tcW w:type="dxa" w:w="95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28" w:before="28" w:line="100" w:lineRule="atLeast"/>
            </w:pPr>
            <w:r>
              <w:rPr>
                <w:sz w:val="18"/>
                <w:szCs w:val="18"/>
                <w:rFonts w:ascii="Arial" w:cs="Arial" w:hAnsi="Arial"/>
                <w:lang w:eastAsia="ru-RU"/>
              </w:rPr>
              <w:t> 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28" w:before="28" w:line="100" w:lineRule="atLeast"/>
            </w:pPr>
            <w:r>
              <w:rPr>
                <w:sz w:val="18"/>
                <w:szCs w:val="18"/>
                <w:rFonts w:ascii="Arial" w:cs="Arial" w:hAnsi="Arial"/>
                <w:lang w:eastAsia="ru-RU"/>
              </w:rPr>
              <w:t> 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28" w:before="28" w:line="100" w:lineRule="atLeast"/>
            </w:pPr>
            <w:r>
              <w:rPr>
                <w:sz w:val="18"/>
                <w:szCs w:val="18"/>
                <w:rFonts w:ascii="Arial" w:cs="Arial" w:hAnsi="Arial"/>
                <w:lang w:eastAsia="ru-RU"/>
              </w:rPr>
              <w:t> 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28" w:before="28" w:line="100" w:lineRule="atLeast"/>
            </w:pPr>
            <w:r>
              <w:rPr>
                <w:sz w:val="18"/>
                <w:szCs w:val="18"/>
                <w:rFonts w:ascii="Arial" w:cs="Arial" w:hAnsi="Arial"/>
                <w:lang w:eastAsia="ru-RU"/>
              </w:rPr>
              <w:t> </w:t>
            </w:r>
          </w:p>
        </w:tc>
        <w:tc>
          <w:tcPr>
            <w:tcBorders/>
            <w:shd w:fill="EDECE5"/>
            <w:tcW w:type="dxa" w:w="1428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28" w:before="28" w:line="100" w:lineRule="atLeast"/>
            </w:pPr>
            <w:r>
              <w:rPr>
                <w:sz w:val="18"/>
                <w:szCs w:val="18"/>
                <w:rFonts w:ascii="Arial" w:cs="Arial" w:hAnsi="Arial"/>
                <w:lang w:eastAsia="ru-RU"/>
              </w:rPr>
              <w:t> </w:t>
            </w:r>
          </w:p>
        </w:tc>
      </w:tr>
      <w:tr>
        <w:trPr>
          <w:cantSplit w:val="off"/>
        </w:trPr>
        <w:tc>
          <w:tcPr>
            <w:tcBorders/>
            <w:gridSpan w:val="2"/>
            <w:shd w:fill="EDECE5"/>
            <w:tcW w:type="dxa" w:w="37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18"/>
                <w:szCs w:val="18"/>
                <w:rFonts w:ascii="Arial" w:cs="Arial" w:hAnsi="Arial"/>
                <w:lang w:eastAsia="ru-RU"/>
              </w:rPr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28" w:before="28" w:line="100" w:lineRule="atLeast"/>
            </w:pPr>
            <w:r>
              <w:rPr>
                <w:sz w:val="18"/>
                <w:szCs w:val="18"/>
                <w:rFonts w:ascii="Arial" w:cs="Arial" w:hAnsi="Arial"/>
                <w:lang w:eastAsia="ru-RU"/>
              </w:rPr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28" w:before="28" w:line="100" w:lineRule="atLeast"/>
            </w:pPr>
            <w:r>
              <w:rPr>
                <w:sz w:val="18"/>
                <w:szCs w:val="18"/>
                <w:rFonts w:ascii="Arial" w:cs="Arial" w:hAnsi="Arial"/>
                <w:lang w:eastAsia="ru-RU"/>
              </w:rPr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28" w:before="28" w:line="100" w:lineRule="atLeast"/>
            </w:pPr>
            <w:r>
              <w:rPr>
                <w:sz w:val="18"/>
                <w:szCs w:val="18"/>
                <w:rFonts w:ascii="Arial" w:cs="Arial" w:hAnsi="Arial"/>
                <w:lang w:eastAsia="ru-RU"/>
              </w:rPr>
            </w:r>
          </w:p>
        </w:tc>
        <w:tc>
          <w:tcPr>
            <w:tcBorders/>
            <w:shd w:fill="EDECE5"/>
            <w:tcW w:type="dxa" w:w="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28" w:before="28" w:line="100" w:lineRule="atLeast"/>
            </w:pPr>
            <w:r>
              <w:rPr>
                <w:sz w:val="18"/>
                <w:szCs w:val="18"/>
                <w:rFonts w:ascii="Arial" w:cs="Arial" w:hAnsi="Arial"/>
                <w:lang w:eastAsia="ru-RU"/>
              </w:rPr>
            </w:r>
          </w:p>
        </w:tc>
      </w:tr>
      <w:tr>
        <w:trPr>
          <w:trHeight w:hRule="atLeast" w:val="28"/>
          <w:cantSplit w:val="off"/>
        </w:trPr>
        <w:tc>
          <w:tcPr>
            <w:tcBorders/>
            <w:shd w:fill="EDECE5"/>
            <w:tcW w:type="dxa" w:w="2833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18"/>
                <w:szCs w:val="18"/>
                <w:rFonts w:ascii="Arial" w:cs="Arial" w:hAnsi="Arial"/>
                <w:lang w:eastAsia="ru-RU"/>
              </w:rPr>
            </w:r>
          </w:p>
        </w:tc>
        <w:tc>
          <w:tcPr>
            <w:tcBorders/>
            <w:shd w:fill="EDECE5"/>
            <w:tcW w:type="dxa" w:w="95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28" w:before="28" w:line="100" w:lineRule="atLeast"/>
            </w:pPr>
            <w:r>
              <w:rPr>
                <w:sz w:val="18"/>
                <w:szCs w:val="18"/>
                <w:rFonts w:ascii="Arial" w:cs="Arial" w:hAnsi="Arial"/>
                <w:lang w:eastAsia="ru-RU"/>
              </w:rPr>
              <w:t> 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28" w:before="28" w:line="100" w:lineRule="atLeast"/>
            </w:pPr>
            <w:r>
              <w:rPr>
                <w:sz w:val="18"/>
                <w:szCs w:val="18"/>
                <w:rFonts w:ascii="Arial" w:cs="Arial" w:hAnsi="Arial"/>
                <w:lang w:eastAsia="ru-RU"/>
              </w:rPr>
              <w:t> 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28" w:before="28" w:line="100" w:lineRule="atLeast"/>
            </w:pPr>
            <w:r>
              <w:rPr>
                <w:sz w:val="18"/>
                <w:szCs w:val="18"/>
                <w:rFonts w:ascii="Arial" w:cs="Arial" w:hAnsi="Arial"/>
                <w:lang w:eastAsia="ru-RU"/>
              </w:rPr>
              <w:t> 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28" w:before="28" w:line="100" w:lineRule="atLeast"/>
            </w:pPr>
            <w:r>
              <w:rPr>
                <w:sz w:val="18"/>
                <w:szCs w:val="18"/>
                <w:rFonts w:ascii="Arial" w:cs="Arial" w:hAnsi="Arial"/>
                <w:lang w:eastAsia="ru-RU"/>
              </w:rPr>
              <w:t> </w:t>
            </w:r>
          </w:p>
        </w:tc>
        <w:tc>
          <w:tcPr>
            <w:tcBorders/>
            <w:shd w:fill="EDECE5"/>
            <w:tcW w:type="dxa" w:w="1428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28" w:before="28" w:line="100" w:lineRule="atLeast"/>
            </w:pPr>
            <w:r>
              <w:rPr>
                <w:sz w:val="18"/>
                <w:szCs w:val="18"/>
                <w:rFonts w:ascii="Arial" w:cs="Arial" w:hAnsi="Arial"/>
                <w:lang w:eastAsia="ru-RU"/>
              </w:rPr>
              <w:t> </w:t>
            </w:r>
          </w:p>
        </w:tc>
      </w:tr>
    </w:tbl>
    <w:p>
      <w:pPr>
        <w:pStyle w:val="style0"/>
        <w:tabs>
          <w:tab w:leader="none" w:pos="1020" w:val="left"/>
        </w:tabs>
      </w:pPr>
      <w:r>
        <w:rPr>
          <w:color w:val="222222"/>
          <w:sz w:val="18"/>
          <w:szCs w:val="18"/>
          <w:rFonts w:ascii="Arial" w:cs="Arial" w:hAnsi="Arial"/>
        </w:rPr>
      </w:r>
    </w:p>
    <w:p>
      <w:pPr>
        <w:pStyle w:val="style0"/>
        <w:jc w:val="both"/>
        <w:tabs>
          <w:tab w:leader="none" w:pos="1020" w:val="left"/>
        </w:tabs>
      </w:pPr>
      <w:r>
        <w:rPr>
          <w:sz w:val="28"/>
          <w:szCs w:val="28"/>
          <w:rFonts w:ascii="Times New Roman" w:cs="Times New Roman" w:hAnsi="Times New Roman"/>
        </w:rPr>
        <w:tab/>
        <w:t>За показателем  ВВП на душу населения украинцы в среднем трижды беднее общемирового уровня (около 9300$).</w:t>
        <w:br/>
        <w:t>Мировой экономический кризис  2009 г. намного сильнее повлиял на экономику Украины по сравнению с общемировым показателем - ВВП Украины сократился почти на 15 %, тогда как мировая экономика упала в среднем на 2,3%.</w:t>
      </w:r>
    </w:p>
    <w:p>
      <w:pPr>
        <w:pStyle w:val="style0"/>
        <w:jc w:val="both"/>
        <w:tabs>
          <w:tab w:leader="none" w:pos="1020" w:val="left"/>
        </w:tabs>
      </w:pPr>
      <w:r>
        <w:rPr>
          <w:sz w:val="28"/>
          <w:i/>
          <w:b/>
          <w:szCs w:val="28"/>
          <w:iCs/>
          <w:bCs/>
          <w:rFonts w:ascii="Times New Roman" w:cs="Times New Roman" w:hAnsi="Times New Roman"/>
        </w:rPr>
        <w:t>3. Динамика и структура активов банковской системы Украины</w:t>
      </w:r>
    </w:p>
    <w:p>
      <w:pPr>
        <w:pStyle w:val="style0"/>
        <w:jc w:val="both"/>
        <w:tabs>
          <w:tab w:leader="none" w:pos="1020" w:val="left"/>
        </w:tabs>
      </w:pPr>
      <w:r>
        <w:rPr>
          <w:sz w:val="28"/>
          <w:szCs w:val="28"/>
          <w:rFonts w:ascii="Times New Roman" w:cs="Times New Roman" w:hAnsi="Times New Roman"/>
        </w:rPr>
        <w:pict>
          <v:rect id="shape_2345778387" style="position:absolute;margin-left:0pt;margin-top:0pt;width:433.4pt;height:252.7pt">
            <w10:wrap w10:type="none"/>
            <v:fill color2="black" detectmouseclick="t"/>
            <v:stroke color="#000023" joinstyle="round"/>
          </v:rect>
        </w:pict>
      </w:r>
    </w:p>
    <w:p>
      <w:pPr>
        <w:pStyle w:val="style0"/>
      </w:pPr>
      <w:r>
        <w:rPr>
          <w:sz w:val="28"/>
          <w:i/>
          <w:szCs w:val="28"/>
          <w:iCs/>
          <w:rFonts w:ascii="Times New Roman" w:cs="Times New Roman" w:hAnsi="Times New Roman"/>
        </w:rPr>
        <w:t>Диаграмма 4.</w:t>
      </w:r>
      <w:r>
        <w:rPr>
          <w:sz w:val="28"/>
          <w:b/>
          <w:szCs w:val="28"/>
          <w:bCs/>
          <w:rFonts w:ascii="Times New Roman" w:cs="Times New Roman" w:hAnsi="Times New Roman"/>
        </w:rPr>
        <w:t xml:space="preserve"> Динамика и структура активов украинских  банков (2008-2012 г.г.).</w:t>
      </w:r>
    </w:p>
    <w:p>
      <w:pPr>
        <w:pStyle w:val="style0"/>
        <w:ind w:firstLine="708" w:left="0" w:right="0"/>
      </w:pPr>
      <w:r>
        <w:rPr>
          <w:sz w:val="28"/>
          <w:szCs w:val="28"/>
          <w:rFonts w:ascii="Times New Roman" w:cs="Times New Roman" w:hAnsi="Times New Roman"/>
        </w:rPr>
        <w:t>Данные свидетельствуют о восьмикратном увеличении за последние пять лет просроченной задолженности банков, которая в общей структуре активов на 01.01.2012 г. составляет 7,6 %. Кроме этого общий размер активов за рассматриваемый период увеличился на 17 %, размер выданных кредитов – на 12 %.</w:t>
      </w:r>
    </w:p>
    <w:p>
      <w:pPr>
        <w:pStyle w:val="style0"/>
        <w:ind w:firstLine="708" w:left="0" w:right="0"/>
      </w:pPr>
      <w:r>
        <w:rPr>
          <w:sz w:val="28"/>
          <w:i/>
          <w:b/>
          <w:szCs w:val="28"/>
          <w:iCs/>
          <w:bCs/>
          <w:rFonts w:ascii="Times New Roman" w:cs="Times New Roman" w:hAnsi="Times New Roman"/>
        </w:rPr>
      </w:r>
    </w:p>
    <w:p>
      <w:pPr>
        <w:pStyle w:val="style0"/>
        <w:ind w:firstLine="708" w:left="0" w:right="0"/>
      </w:pPr>
      <w:r>
        <w:rPr>
          <w:sz w:val="28"/>
          <w:i/>
          <w:b/>
          <w:szCs w:val="28"/>
          <w:iCs/>
          <w:bCs/>
          <w:rFonts w:ascii="Times New Roman" w:cs="Times New Roman" w:hAnsi="Times New Roman"/>
        </w:rPr>
      </w:r>
    </w:p>
    <w:p>
      <w:pPr>
        <w:pStyle w:val="style0"/>
        <w:ind w:firstLine="708" w:left="0" w:right="0"/>
      </w:pPr>
      <w:r>
        <w:rPr>
          <w:sz w:val="28"/>
          <w:i/>
          <w:b/>
          <w:szCs w:val="28"/>
          <w:iCs/>
          <w:bCs/>
          <w:rFonts w:ascii="Times New Roman" w:cs="Times New Roman" w:hAnsi="Times New Roman"/>
        </w:rPr>
      </w:r>
    </w:p>
    <w:p>
      <w:pPr>
        <w:pStyle w:val="style0"/>
        <w:ind w:firstLine="708" w:left="0" w:right="0"/>
      </w:pPr>
      <w:r>
        <w:rPr>
          <w:sz w:val="28"/>
          <w:i/>
          <w:b/>
          <w:szCs w:val="28"/>
          <w:iCs/>
          <w:bCs/>
          <w:rFonts w:ascii="Times New Roman" w:cs="Times New Roman" w:hAnsi="Times New Roman"/>
        </w:rPr>
      </w:r>
    </w:p>
    <w:p>
      <w:pPr>
        <w:pStyle w:val="style0"/>
        <w:ind w:firstLine="708" w:left="0" w:right="0"/>
      </w:pPr>
      <w:r>
        <w:rPr>
          <w:sz w:val="28"/>
          <w:i/>
          <w:b/>
          <w:szCs w:val="28"/>
          <w:iCs/>
          <w:bCs/>
          <w:rFonts w:ascii="Times New Roman" w:cs="Times New Roman" w:hAnsi="Times New Roman"/>
        </w:rPr>
      </w:r>
    </w:p>
    <w:p>
      <w:pPr>
        <w:pStyle w:val="style0"/>
        <w:ind w:firstLine="708" w:left="0" w:right="0"/>
      </w:pPr>
      <w:r>
        <w:rPr>
          <w:sz w:val="28"/>
          <w:i/>
          <w:b/>
          <w:szCs w:val="28"/>
          <w:iCs/>
          <w:bCs/>
          <w:rFonts w:ascii="Times New Roman" w:cs="Times New Roman" w:hAnsi="Times New Roman"/>
        </w:rPr>
      </w:r>
    </w:p>
    <w:p>
      <w:pPr>
        <w:pStyle w:val="style0"/>
        <w:ind w:firstLine="708" w:left="0" w:right="0"/>
      </w:pPr>
      <w:r>
        <w:rPr>
          <w:sz w:val="28"/>
          <w:i/>
          <w:b/>
          <w:szCs w:val="28"/>
          <w:iCs/>
          <w:bCs/>
          <w:rFonts w:ascii="Times New Roman" w:cs="Times New Roman" w:hAnsi="Times New Roman"/>
        </w:rPr>
        <w:t>4. Рентабельность активов и финансовый результат</w:t>
      </w:r>
    </w:p>
    <w:p>
      <w:pPr>
        <w:pStyle w:val="style0"/>
        <w:ind w:firstLine="708" w:left="0" w:right="0"/>
      </w:pPr>
      <w:r>
        <w:rPr>
          <w:sz w:val="28"/>
          <w:i/>
          <w:b/>
          <w:szCs w:val="28"/>
          <w:iCs/>
          <w:bCs/>
          <w:rFonts w:ascii="Times New Roman" w:cs="Times New Roman" w:hAnsi="Times New Roman"/>
        </w:rPr>
        <w:pict>
          <v:rect id="shape_2345778388" style="position:absolute;margin-left:0pt;margin-top:0pt;width:433.4pt;height:224.95pt">
            <w10:wrap w10:type="none"/>
            <v:fill color2="black" detectmouseclick="t"/>
            <v:stroke color="#000023" joinstyle="round"/>
          </v:rect>
        </w:pict>
      </w:r>
    </w:p>
    <w:p>
      <w:pPr>
        <w:pStyle w:val="style0"/>
      </w:pPr>
      <w:r>
        <w:rPr>
          <w:sz w:val="28"/>
          <w:i/>
          <w:szCs w:val="28"/>
          <w:iCs/>
          <w:rFonts w:ascii="Times New Roman" w:cs="Times New Roman" w:hAnsi="Times New Roman"/>
        </w:rPr>
        <w:t>Диаграмма 5.</w:t>
      </w:r>
      <w:r>
        <w:rPr>
          <w:sz w:val="28"/>
          <w:b/>
          <w:szCs w:val="28"/>
          <w:bCs/>
          <w:rFonts w:ascii="Times New Roman" w:cs="Times New Roman" w:hAnsi="Times New Roman"/>
        </w:rPr>
        <w:t xml:space="preserve"> Динамика рентабельности активов украинских  банков, % (2008-2012 г.г.).</w:t>
      </w:r>
    </w:p>
    <w:p>
      <w:pPr>
        <w:pStyle w:val="style0"/>
        <w:jc w:val="both"/>
        <w:ind w:firstLine="708" w:left="0" w:right="0"/>
      </w:pPr>
      <w:r>
        <w:rPr>
          <w:sz w:val="28"/>
          <w:szCs w:val="28"/>
          <w:rFonts w:ascii="Times New Roman" w:cs="Times New Roman" w:hAnsi="Times New Roman"/>
        </w:rPr>
        <w:t xml:space="preserve">С 2010 года украинские банки функционируют в условиях отрицательной рентабельности активов. На протяжении последних трех лет ситуация постепенно улучшается – на 01.03.12 рентабельность активов достигла положительного значения (0,71 %). </w:t>
      </w:r>
    </w:p>
    <w:p>
      <w:pPr>
        <w:pStyle w:val="style0"/>
      </w:pPr>
      <w:r>
        <w:rPr>
          <w:sz w:val="28"/>
          <w:b/>
          <w:szCs w:val="28"/>
          <w:bCs/>
          <w:rFonts w:ascii="Times New Roman" w:cs="Times New Roman" w:hAnsi="Times New Roman"/>
        </w:rPr>
        <w:pict>
          <v:rect id="shape_2345778389" style="position:absolute;margin-left:0pt;margin-top:0pt;width:433.4pt;height:252.7pt">
            <w10:wrap w10:type="none"/>
            <v:fill color2="black" detectmouseclick="t"/>
            <v:stroke color="#000023" joinstyle="round"/>
          </v:rect>
        </w:pict>
      </w:r>
    </w:p>
    <w:p>
      <w:pPr>
        <w:pStyle w:val="style0"/>
      </w:pPr>
      <w:r>
        <w:rPr>
          <w:sz w:val="28"/>
          <w:i/>
          <w:szCs w:val="28"/>
          <w:iCs/>
          <w:rFonts w:ascii="Times New Roman" w:cs="Times New Roman" w:hAnsi="Times New Roman"/>
        </w:rPr>
        <w:t>Диаграмма 6.</w:t>
      </w:r>
      <w:r>
        <w:rPr>
          <w:sz w:val="28"/>
          <w:b/>
          <w:szCs w:val="28"/>
          <w:bCs/>
          <w:rFonts w:ascii="Times New Roman" w:cs="Times New Roman" w:hAnsi="Times New Roman"/>
        </w:rPr>
        <w:t xml:space="preserve"> Динамика финансового результата украинских  банков (2008-2012 г.г.).</w:t>
      </w:r>
    </w:p>
    <w:p>
      <w:pPr>
        <w:pStyle w:val="style0"/>
        <w:jc w:val="both"/>
        <w:tabs>
          <w:tab w:leader="none" w:pos="1020" w:val="left"/>
        </w:tabs>
      </w:pPr>
      <w:r>
        <w:rPr>
          <w:sz w:val="28"/>
          <w:i/>
          <w:b/>
          <w:szCs w:val="28"/>
          <w:iCs/>
          <w:bCs/>
          <w:rFonts w:ascii="Times New Roman" w:cs="Times New Roman" w:hAnsi="Times New Roman"/>
        </w:rPr>
        <w:t>5. Динамика и структура пассивов банковской системы Украины</w:t>
      </w:r>
    </w:p>
    <w:p>
      <w:pPr>
        <w:pStyle w:val="style0"/>
        <w:tabs>
          <w:tab w:leader="none" w:pos="1020" w:val="left"/>
        </w:tabs>
      </w:pPr>
      <w:r>
        <w:rPr>
          <w:sz w:val="28"/>
          <w:szCs w:val="28"/>
          <w:rFonts w:ascii="Times New Roman" w:cs="Times New Roman" w:hAnsi="Times New Roman"/>
        </w:rPr>
        <w:pict>
          <v:rect id="shape_2345778390" style="position:absolute;margin-left:0pt;margin-top:0pt;width:433.4pt;height:252.7pt">
            <w10:wrap w10:type="none"/>
            <v:fill color2="black" detectmouseclick="t"/>
            <v:stroke color="#000023" joinstyle="round"/>
          </v:rect>
        </w:pict>
      </w:r>
    </w:p>
    <w:p>
      <w:pPr>
        <w:pStyle w:val="style0"/>
        <w:jc w:val="center"/>
      </w:pPr>
      <w:r>
        <w:rPr>
          <w:sz w:val="28"/>
          <w:i/>
          <w:szCs w:val="28"/>
          <w:iCs/>
          <w:rFonts w:ascii="Times New Roman" w:cs="Times New Roman" w:hAnsi="Times New Roman"/>
        </w:rPr>
        <w:t>Диаграмма 7.</w:t>
      </w:r>
      <w:r>
        <w:rPr>
          <w:sz w:val="28"/>
          <w:b/>
          <w:szCs w:val="28"/>
          <w:bCs/>
          <w:rFonts w:ascii="Times New Roman" w:cs="Times New Roman" w:hAnsi="Times New Roman"/>
        </w:rPr>
        <w:t xml:space="preserve"> Динамика и структура пассивов украинских  банков   (2008-2012 г.г.).</w:t>
      </w:r>
    </w:p>
    <w:p>
      <w:pPr>
        <w:pStyle w:val="style0"/>
        <w:jc w:val="both"/>
        <w:tabs>
          <w:tab w:leader="none" w:pos="1020" w:val="left"/>
        </w:tabs>
      </w:pPr>
      <w:r>
        <w:rPr>
          <w:sz w:val="28"/>
          <w:szCs w:val="28"/>
          <w:rFonts w:ascii="Times New Roman" w:cs="Times New Roman" w:hAnsi="Times New Roman"/>
        </w:rPr>
        <w:tab/>
        <w:t>По сравнению с началом 2008 г. (докризисный уровень) уровень обязательств увеличился на 13 %, собственный капитал банков - на 46 %.</w:t>
      </w:r>
    </w:p>
    <w:p>
      <w:pPr>
        <w:pStyle w:val="style0"/>
        <w:jc w:val="both"/>
        <w:tabs>
          <w:tab w:leader="none" w:pos="1020" w:val="left"/>
        </w:tabs>
      </w:pPr>
      <w:r>
        <w:rPr>
          <w:sz w:val="28"/>
          <w:szCs w:val="28"/>
          <w:rFonts w:ascii="Times New Roman" w:cs="Times New Roman" w:hAnsi="Times New Roman"/>
        </w:rPr>
        <w:tab/>
        <w:t xml:space="preserve">При этом удельный вес собственного капитала в структуре пассивов банков увеличился за рассматриваемый период на 25 % (с 11,5 до 14,4%), что свидетельствует о планомерном выполнению требований НБУ по увеличению капитализации  банковской системы. </w:t>
      </w:r>
    </w:p>
    <w:p>
      <w:pPr>
        <w:pStyle w:val="style0"/>
        <w:jc w:val="both"/>
        <w:tabs>
          <w:tab w:leader="none" w:pos="1020" w:val="left"/>
        </w:tabs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tabs>
          <w:tab w:leader="none" w:pos="1020" w:val="left"/>
        </w:tabs>
      </w:pPr>
      <w:r>
        <w:rPr>
          <w:sz w:val="28"/>
          <w:szCs w:val="28"/>
          <w:rFonts w:ascii="Times New Roman" w:cs="Times New Roman" w:hAnsi="Times New Roman"/>
        </w:rPr>
        <w:pict>
          <v:rect id="shape_2345778391" style="position:absolute;margin-left:0pt;margin-top:0pt;width:414.7pt;height:164.2pt">
            <w10:wrap w10:type="none"/>
            <v:fill color2="black" detectmouseclick="t"/>
            <v:stroke color="#000023" joinstyle="round"/>
          </v:rect>
        </w:pict>
      </w:r>
    </w:p>
    <w:p>
      <w:pPr>
        <w:pStyle w:val="style0"/>
        <w:jc w:val="both"/>
      </w:pPr>
      <w:r>
        <w:rPr>
          <w:sz w:val="28"/>
          <w:i/>
          <w:szCs w:val="28"/>
          <w:iCs/>
          <w:rFonts w:ascii="Times New Roman" w:cs="Times New Roman" w:hAnsi="Times New Roman"/>
        </w:rPr>
        <w:t>Диаграмма 8.</w:t>
      </w:r>
      <w:r>
        <w:rPr>
          <w:sz w:val="28"/>
          <w:b/>
          <w:szCs w:val="28"/>
          <w:bCs/>
          <w:rFonts w:ascii="Times New Roman" w:cs="Times New Roman" w:hAnsi="Times New Roman"/>
        </w:rPr>
        <w:t xml:space="preserve"> Структура обязательств украинских банков на 01.01.2008 г.</w:t>
      </w:r>
    </w:p>
    <w:p>
      <w:pPr>
        <w:pStyle w:val="style0"/>
        <w:tabs>
          <w:tab w:leader="none" w:pos="1425" w:val="left"/>
        </w:tabs>
      </w:pPr>
      <w:r>
        <w:rPr>
          <w:sz w:val="28"/>
          <w:szCs w:val="28"/>
          <w:rFonts w:ascii="Times New Roman" w:cs="Times New Roman" w:hAnsi="Times New Roman"/>
        </w:rPr>
        <w:pict>
          <v:rect id="shape_2345778392" style="position:absolute;margin-left:0pt;margin-top:0pt;width:425.95pt;height:197.2pt">
            <w10:wrap w10:type="none"/>
            <v:fill color2="black" detectmouseclick="t"/>
            <v:stroke color="#000023" joinstyle="round"/>
          </v:rect>
        </w:pict>
      </w:r>
    </w:p>
    <w:p>
      <w:pPr>
        <w:pStyle w:val="style0"/>
        <w:jc w:val="both"/>
      </w:pPr>
      <w:r>
        <w:rPr>
          <w:sz w:val="28"/>
          <w:szCs w:val="28"/>
          <w:rFonts w:ascii="Times New Roman" w:cs="Times New Roman" w:hAnsi="Times New Roman"/>
        </w:rPr>
        <w:tab/>
      </w:r>
      <w:r>
        <w:rPr>
          <w:sz w:val="28"/>
          <w:i/>
          <w:szCs w:val="28"/>
          <w:iCs/>
          <w:rFonts w:ascii="Times New Roman" w:cs="Times New Roman" w:hAnsi="Times New Roman"/>
        </w:rPr>
        <w:t>Диаграмма 7.</w:t>
      </w:r>
      <w:r>
        <w:rPr>
          <w:sz w:val="28"/>
          <w:b/>
          <w:szCs w:val="28"/>
          <w:bCs/>
          <w:rFonts w:ascii="Times New Roman" w:cs="Times New Roman" w:hAnsi="Times New Roman"/>
        </w:rPr>
        <w:t xml:space="preserve"> Структура обязательств украинских банков на 01.01.2012 г. </w:t>
      </w:r>
    </w:p>
    <w:p>
      <w:pPr>
        <w:pStyle w:val="style0"/>
        <w:jc w:val="both"/>
        <w:tabs>
          <w:tab w:leader="none" w:pos="1425" w:val="left"/>
        </w:tabs>
      </w:pPr>
      <w:r>
        <w:rPr>
          <w:sz w:val="28"/>
          <w:szCs w:val="28"/>
          <w:rFonts w:ascii="Times New Roman" w:cs="Times New Roman" w:hAnsi="Times New Roman"/>
        </w:rPr>
        <w:tab/>
        <w:t>Данные диаграмм 7 и 8 свидетельствуют об увеличении за последние пять лет средств физических лиц в структуре обязательств банков Украины на 7 млрд. дол. (с 31 до 38 млрд. дол. ) или на 23 %. В то же время темп роста привлеченных средств юридических лиц значительно отставал  - составил    всего лишь 9,5 %.</w:t>
      </w:r>
    </w:p>
    <w:p>
      <w:pPr>
        <w:pStyle w:val="style0"/>
        <w:tabs>
          <w:tab w:leader="none" w:pos="1425" w:val="left"/>
        </w:tabs>
      </w:pPr>
      <w:r>
        <w:rPr>
          <w:sz w:val="28"/>
          <w:i/>
          <w:b/>
          <w:szCs w:val="28"/>
          <w:iCs/>
          <w:bCs/>
          <w:rFonts w:ascii="Times New Roman" w:cs="Times New Roman" w:hAnsi="Times New Roman"/>
        </w:rPr>
        <w:t xml:space="preserve">6. Адекватность регулятивного капитала </w:t>
      </w:r>
    </w:p>
    <w:p>
      <w:pPr>
        <w:pStyle w:val="style0"/>
        <w:tabs>
          <w:tab w:leader="none" w:pos="1425" w:val="left"/>
        </w:tabs>
      </w:pPr>
      <w:r>
        <w:rPr>
          <w:sz w:val="28"/>
          <w:szCs w:val="28"/>
          <w:rFonts w:ascii="Times New Roman" w:cs="Times New Roman" w:hAnsi="Times New Roman"/>
        </w:rPr>
        <w:pict>
          <v:rect id="shape_2345778393" style="position:absolute;margin-left:0pt;margin-top:0pt;width:398.95pt;height:209.2pt">
            <w10:wrap w10:type="none"/>
            <v:fill color2="black" detectmouseclick="t"/>
            <v:stroke color="#000023" joinstyle="round"/>
          </v:rect>
        </w:pict>
      </w:r>
    </w:p>
    <w:p>
      <w:pPr>
        <w:pStyle w:val="style0"/>
        <w:jc w:val="both"/>
        <w:tabs>
          <w:tab w:leader="none" w:pos="1425" w:val="left"/>
        </w:tabs>
      </w:pPr>
      <w:r>
        <w:rPr>
          <w:sz w:val="28"/>
          <w:szCs w:val="28"/>
          <w:rFonts w:ascii="Times New Roman" w:cs="Times New Roman" w:hAnsi="Times New Roman"/>
        </w:rPr>
        <w:tab/>
      </w:r>
      <w:r>
        <w:rPr>
          <w:sz w:val="28"/>
          <w:i/>
          <w:szCs w:val="28"/>
          <w:iCs/>
          <w:rFonts w:ascii="Times New Roman" w:cs="Times New Roman" w:hAnsi="Times New Roman"/>
        </w:rPr>
        <w:t>Диаграмма 8.</w:t>
      </w:r>
      <w:r>
        <w:rPr>
          <w:sz w:val="28"/>
          <w:b/>
          <w:szCs w:val="28"/>
          <w:bCs/>
          <w:rFonts w:ascii="Times New Roman" w:cs="Times New Roman" w:hAnsi="Times New Roman"/>
        </w:rPr>
        <w:t xml:space="preserve"> Динамика норматива адекватности регулятивного капитала (Н2).</w:t>
      </w:r>
    </w:p>
    <w:p>
      <w:pPr>
        <w:pStyle w:val="style0"/>
        <w:jc w:val="both"/>
        <w:tabs>
          <w:tab w:leader="none" w:pos="7155" w:val="left"/>
        </w:tabs>
      </w:pPr>
      <w:r>
        <w:rPr>
          <w:sz w:val="28"/>
          <w:szCs w:val="28"/>
          <w:rFonts w:ascii="Times New Roman" w:cs="Times New Roman" w:hAnsi="Times New Roman"/>
        </w:rPr>
        <w:t xml:space="preserve">Данные свидетельствуют о более чем достаточном уровне капитализации украинской банковской системы, учитывая, что минимальное значение норматива достаточности (адекватности) регулятивного капитала, согласно требованиям НБУ, составляет 10%. </w:t>
      </w:r>
    </w:p>
    <w:p>
      <w:pPr>
        <w:pStyle w:val="style0"/>
        <w:jc w:val="both"/>
        <w:tabs>
          <w:tab w:leader="none" w:pos="7155" w:val="left"/>
        </w:tabs>
      </w:pPr>
      <w:r>
        <w:rPr>
          <w:sz w:val="28"/>
          <w:i/>
          <w:b/>
          <w:szCs w:val="28"/>
          <w:iCs/>
          <w:bCs/>
          <w:rFonts w:ascii="Times New Roman" w:cs="Times New Roman" w:hAnsi="Times New Roman"/>
        </w:rPr>
        <w:t>7. Оценка состояния внешнеэкономического сектора Украины</w:t>
      </w:r>
    </w:p>
    <w:tbl>
      <w:tblPr>
        <w:tblBorders/>
        <w:jc w:val="left"/>
        <w:tblInd w:type="dxa" w:w="-88"/>
      </w:tblPr>
      <w:tblGrid>
        <w:gridCol w:w="3785"/>
        <w:gridCol w:w="1420"/>
        <w:gridCol w:w="1420"/>
        <w:gridCol w:w="1420"/>
        <w:gridCol w:w="1"/>
      </w:tblGrid>
      <w:tr>
        <w:trPr>
          <w:cantSplit w:val="off"/>
        </w:trPr>
        <w:tc>
          <w:tcPr>
            <w:tcBorders/>
            <w:gridSpan w:val="2"/>
            <w:shd w:fill="D1E1C4"/>
            <w:tcW w:type="dxa" w:w="37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eastAsia="ru-RU"/>
              </w:rPr>
              <w:t>Основные внешнеэкономические показатели</w:t>
            </w:r>
          </w:p>
        </w:tc>
        <w:tc>
          <w:tcPr>
            <w:tcBorders/>
            <w:shd w:fill="D1E1C4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</w:r>
          </w:p>
        </w:tc>
        <w:tc>
          <w:tcPr>
            <w:tcBorders/>
            <w:shd w:fill="D1E1C4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</w:r>
          </w:p>
        </w:tc>
        <w:tc>
          <w:tcPr>
            <w:tcBorders/>
            <w:shd w:fill="D1E1C4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</w:r>
          </w:p>
        </w:tc>
        <w:tc>
          <w:tcPr>
            <w:tcBorders/>
            <w:shd w:fill="D1E1C4"/>
            <w:tcW w:type="dxa" w:w="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</w:r>
          </w:p>
        </w:tc>
      </w:tr>
      <w:tr>
        <w:trPr>
          <w:cantSplit w:val="off"/>
        </w:trPr>
        <w:tc>
          <w:tcPr>
            <w:tcBorders/>
            <w:shd w:fill="D1E1C4"/>
            <w:tcW w:type="dxa" w:w="2833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</w:r>
          </w:p>
        </w:tc>
        <w:tc>
          <w:tcPr>
            <w:tcBorders/>
            <w:shd w:fill="D1E1C4"/>
            <w:tcW w:type="dxa" w:w="95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28" w:before="28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 </w:t>
            </w:r>
          </w:p>
        </w:tc>
        <w:tc>
          <w:tcPr>
            <w:tcBorders/>
            <w:shd w:fill="D1E1C4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28" w:before="28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eastAsia="ru-RU"/>
              </w:rPr>
              <w:t>2008</w:t>
            </w:r>
          </w:p>
        </w:tc>
        <w:tc>
          <w:tcPr>
            <w:tcBorders/>
            <w:shd w:fill="D1E1C4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28" w:before="28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eastAsia="ru-RU"/>
              </w:rPr>
              <w:t>2009</w:t>
            </w:r>
          </w:p>
        </w:tc>
        <w:tc>
          <w:tcPr>
            <w:tcBorders/>
            <w:shd w:fill="D1E1C4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28" w:before="28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eastAsia="ru-RU"/>
              </w:rPr>
              <w:t>2010</w:t>
            </w:r>
          </w:p>
        </w:tc>
        <w:tc>
          <w:tcPr>
            <w:tcBorders/>
            <w:shd w:fill="D1E1C4"/>
            <w:tcW w:type="dxa" w:w="1428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28" w:before="28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  <w:lang w:eastAsia="ru-RU"/>
              </w:rPr>
              <w:t>2011</w:t>
            </w:r>
          </w:p>
        </w:tc>
      </w:tr>
      <w:tr>
        <w:trPr>
          <w:cantSplit w:val="off"/>
        </w:trPr>
        <w:tc>
          <w:tcPr>
            <w:tcBorders/>
            <w:gridSpan w:val="2"/>
            <w:shd w:fill="EDECE5"/>
            <w:tcW w:type="dxa" w:w="37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Прямой государственный долг,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 xml:space="preserve"> </w:t>
            </w: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% ВВП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13,8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23,1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29,5</w:t>
            </w:r>
          </w:p>
        </w:tc>
        <w:tc>
          <w:tcPr>
            <w:tcBorders/>
            <w:shd w:fill="EDECE5"/>
            <w:tcW w:type="dxa" w:w="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30,6</w:t>
            </w:r>
          </w:p>
        </w:tc>
      </w:tr>
      <w:tr>
        <w:trPr>
          <w:cantSplit w:val="off"/>
        </w:trPr>
        <w:tc>
          <w:tcPr>
            <w:tcBorders/>
            <w:shd w:fill="EDECE5"/>
            <w:tcW w:type="dxa" w:w="2833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</w:r>
          </w:p>
        </w:tc>
        <w:tc>
          <w:tcPr>
            <w:tcBorders/>
            <w:shd w:fill="EDECE5"/>
            <w:tcW w:type="dxa" w:w="95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 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 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 </w:t>
            </w:r>
          </w:p>
        </w:tc>
        <w:tc>
          <w:tcPr>
            <w:tcBorders/>
            <w:shd w:fill="EDECE5"/>
            <w:tcW w:type="dxa" w:w="1428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 </w:t>
            </w:r>
          </w:p>
        </w:tc>
      </w:tr>
      <w:tr>
        <w:trPr>
          <w:cantSplit w:val="off"/>
        </w:trPr>
        <w:tc>
          <w:tcPr>
            <w:tcBorders/>
            <w:gridSpan w:val="2"/>
            <w:shd w:fill="EDECE5"/>
            <w:tcW w:type="dxa" w:w="37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Експорт товаров и услуг, USD млрд.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85,6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54,3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69,0</w:t>
            </w:r>
          </w:p>
        </w:tc>
        <w:tc>
          <w:tcPr>
            <w:tcBorders/>
            <w:shd w:fill="EDECE5"/>
            <w:tcW w:type="dxa" w:w="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69,4</w:t>
            </w:r>
          </w:p>
        </w:tc>
      </w:tr>
      <w:tr>
        <w:trPr>
          <w:cantSplit w:val="off"/>
        </w:trPr>
        <w:tc>
          <w:tcPr>
            <w:tcBorders/>
            <w:gridSpan w:val="2"/>
            <w:shd w:fill="EDECE5"/>
            <w:tcW w:type="dxa" w:w="37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Експорт товаров и услуг, % ВВП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47,6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46,2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49,9</w:t>
            </w:r>
          </w:p>
        </w:tc>
        <w:tc>
          <w:tcPr>
            <w:tcBorders/>
            <w:shd w:fill="EDECE5"/>
            <w:tcW w:type="dxa" w:w="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54,4</w:t>
            </w:r>
          </w:p>
        </w:tc>
      </w:tr>
      <w:tr>
        <w:trPr>
          <w:cantSplit w:val="off"/>
        </w:trPr>
        <w:tc>
          <w:tcPr>
            <w:tcBorders/>
            <w:gridSpan w:val="2"/>
            <w:shd w:fill="EDECE5"/>
            <w:tcW w:type="dxa" w:w="37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Импорт товаров и услуг, USD млрд.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100,0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56,3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72,7</w:t>
            </w:r>
          </w:p>
        </w:tc>
        <w:tc>
          <w:tcPr>
            <w:tcBorders/>
            <w:shd w:fill="EDECE5"/>
            <w:tcW w:type="dxa" w:w="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83,2</w:t>
            </w:r>
          </w:p>
        </w:tc>
      </w:tr>
      <w:tr>
        <w:trPr>
          <w:cantSplit w:val="off"/>
        </w:trPr>
        <w:tc>
          <w:tcPr>
            <w:tcBorders/>
            <w:gridSpan w:val="2"/>
            <w:shd w:fill="EDECE5"/>
            <w:tcW w:type="dxa" w:w="37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Импорт товаров и услуг % ВВП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55,5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47,9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52,6</w:t>
            </w:r>
          </w:p>
        </w:tc>
        <w:tc>
          <w:tcPr>
            <w:tcBorders/>
            <w:shd w:fill="EDECE5"/>
            <w:tcW w:type="dxa" w:w="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69,5</w:t>
            </w:r>
          </w:p>
        </w:tc>
      </w:tr>
      <w:tr>
        <w:trPr>
          <w:cantSplit w:val="off"/>
        </w:trPr>
        <w:tc>
          <w:tcPr>
            <w:tcBorders/>
            <w:shd w:fill="EDECE5"/>
            <w:tcW w:type="dxa" w:w="2833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</w:r>
          </w:p>
        </w:tc>
        <w:tc>
          <w:tcPr>
            <w:tcBorders/>
            <w:shd w:fill="EDECE5"/>
            <w:tcW w:type="dxa" w:w="95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 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 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 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 </w:t>
            </w:r>
          </w:p>
        </w:tc>
        <w:tc>
          <w:tcPr>
            <w:tcBorders/>
            <w:shd w:fill="EDECE5"/>
            <w:tcW w:type="dxa" w:w="1428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 </w:t>
            </w:r>
          </w:p>
        </w:tc>
      </w:tr>
      <w:tr>
        <w:trPr>
          <w:cantSplit w:val="off"/>
        </w:trPr>
        <w:tc>
          <w:tcPr>
            <w:tcBorders/>
            <w:gridSpan w:val="2"/>
            <w:shd w:fill="EDECE5"/>
            <w:tcW w:type="dxa" w:w="37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Сальдо внешней торговли, USD млрд.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-14,4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-2,0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-3,7</w:t>
            </w:r>
          </w:p>
        </w:tc>
        <w:tc>
          <w:tcPr>
            <w:tcBorders/>
            <w:shd w:fill="EDECE5"/>
            <w:tcW w:type="dxa" w:w="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-13,8</w:t>
            </w:r>
          </w:p>
        </w:tc>
      </w:tr>
      <w:tr>
        <w:trPr>
          <w:cantSplit w:val="off"/>
        </w:trPr>
        <w:tc>
          <w:tcPr>
            <w:tcBorders/>
            <w:gridSpan w:val="2"/>
            <w:shd w:fill="EDECE5"/>
            <w:tcW w:type="dxa" w:w="37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Сальдо текущего счета платежного баланса, USD млрд.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-12,8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-1,7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-2,6</w:t>
            </w:r>
          </w:p>
        </w:tc>
        <w:tc>
          <w:tcPr>
            <w:tcBorders/>
            <w:shd w:fill="EDECE5"/>
            <w:tcW w:type="dxa" w:w="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-9</w:t>
            </w:r>
          </w:p>
        </w:tc>
      </w:tr>
      <w:tr>
        <w:trPr>
          <w:cantSplit w:val="off"/>
        </w:trPr>
        <w:tc>
          <w:tcPr>
            <w:tcBorders/>
            <w:gridSpan w:val="2"/>
            <w:shd w:fill="EDECE5"/>
            <w:tcW w:type="dxa" w:w="37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Сальдо текущего счета платежного баланса, % ВВП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-7,1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-1,5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-1,9</w:t>
            </w:r>
          </w:p>
        </w:tc>
        <w:tc>
          <w:tcPr>
            <w:tcBorders/>
            <w:shd w:fill="EDECE5"/>
            <w:tcW w:type="dxa" w:w="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-3,1</w:t>
            </w:r>
          </w:p>
        </w:tc>
      </w:tr>
      <w:tr>
        <w:trPr>
          <w:cantSplit w:val="off"/>
        </w:trPr>
        <w:tc>
          <w:tcPr>
            <w:tcBorders/>
            <w:gridSpan w:val="2"/>
            <w:shd w:fill="EDECE5"/>
            <w:tcW w:type="dxa" w:w="37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Сальдо финансового счета, USD млрд.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13,3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-4,3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10,9</w:t>
            </w:r>
          </w:p>
        </w:tc>
        <w:tc>
          <w:tcPr>
            <w:tcBorders/>
            <w:shd w:fill="EDECE5"/>
            <w:tcW w:type="dxa" w:w="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6,6</w:t>
            </w:r>
          </w:p>
        </w:tc>
      </w:tr>
      <w:tr>
        <w:trPr>
          <w:cantSplit w:val="off"/>
        </w:trPr>
        <w:tc>
          <w:tcPr>
            <w:tcBorders/>
            <w:gridSpan w:val="2"/>
            <w:shd w:fill="EDECE5"/>
            <w:tcW w:type="dxa" w:w="37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Сальдо финансового счета, % ВВП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7,4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-3,6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7,9</w:t>
            </w:r>
          </w:p>
        </w:tc>
        <w:tc>
          <w:tcPr>
            <w:tcBorders/>
            <w:shd w:fill="EDECE5"/>
            <w:tcW w:type="dxa" w:w="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6,9</w:t>
            </w:r>
          </w:p>
        </w:tc>
      </w:tr>
      <w:tr>
        <w:trPr>
          <w:cantSplit w:val="off"/>
        </w:trPr>
        <w:tc>
          <w:tcPr>
            <w:tcBorders/>
            <w:gridSpan w:val="2"/>
            <w:shd w:fill="EDECE5"/>
            <w:tcW w:type="dxa" w:w="37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Прямые иностранные инвестиции, USD млрд.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9,9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4,7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5,7</w:t>
            </w:r>
          </w:p>
        </w:tc>
        <w:tc>
          <w:tcPr>
            <w:tcBorders/>
            <w:shd w:fill="EDECE5"/>
            <w:tcW w:type="dxa" w:w="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7,0</w:t>
            </w:r>
          </w:p>
        </w:tc>
      </w:tr>
      <w:tr>
        <w:trPr>
          <w:cantSplit w:val="off"/>
        </w:trPr>
        <w:tc>
          <w:tcPr>
            <w:tcBorders/>
            <w:gridSpan w:val="2"/>
            <w:shd w:fill="EDECE5"/>
            <w:tcW w:type="dxa" w:w="37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Международные резервы НБУ, USD млрд., на конец года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31,5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26,5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34,6</w:t>
            </w:r>
          </w:p>
        </w:tc>
        <w:tc>
          <w:tcPr>
            <w:tcBorders/>
            <w:shd w:fill="EDECE5"/>
            <w:tcW w:type="dxa" w:w="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sz w:val="28"/>
                <w:szCs w:val="28"/>
                <w:rFonts w:ascii="Times New Roman" w:cs="Times New Roman" w:hAnsi="Times New Roman"/>
                <w:lang w:eastAsia="ru-RU"/>
              </w:rPr>
              <w:t>31,8</w:t>
            </w:r>
          </w:p>
        </w:tc>
      </w:tr>
      <w:tr>
        <w:trPr>
          <w:cantSplit w:val="off"/>
        </w:trPr>
        <w:tc>
          <w:tcPr>
            <w:tcBorders/>
            <w:shd w:fill="EDECE5"/>
            <w:tcW w:type="dxa" w:w="2833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hAnsi="Times New Roman"/>
                <w:lang w:eastAsia="ru-RU"/>
              </w:rPr>
            </w:r>
          </w:p>
        </w:tc>
        <w:tc>
          <w:tcPr>
            <w:tcBorders/>
            <w:shd w:fill="EDECE5"/>
            <w:tcW w:type="dxa" w:w="95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rFonts w:ascii="Times New Roman" w:cs="Times New Roman" w:hAnsi="Times New Roman"/>
                <w:lang w:eastAsia="ru-RU"/>
              </w:rPr>
              <w:t> 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rFonts w:ascii="Times New Roman" w:cs="Times New Roman" w:hAnsi="Times New Roman"/>
                <w:lang w:eastAsia="ru-RU"/>
              </w:rPr>
              <w:t> 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rFonts w:ascii="Times New Roman" w:cs="Times New Roman" w:hAnsi="Times New Roman"/>
                <w:lang w:eastAsia="ru-RU"/>
              </w:rPr>
              <w:t> </w:t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rFonts w:ascii="Times New Roman" w:cs="Times New Roman" w:hAnsi="Times New Roman"/>
                <w:lang w:eastAsia="ru-RU"/>
              </w:rPr>
              <w:t> </w:t>
            </w:r>
          </w:p>
        </w:tc>
        <w:tc>
          <w:tcPr>
            <w:tcBorders/>
            <w:shd w:fill="EDECE5"/>
            <w:tcW w:type="dxa" w:w="1428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0" w:before="0" w:line="100" w:lineRule="atLeast"/>
            </w:pPr>
            <w:r>
              <w:rPr>
                <w:rFonts w:ascii="Times New Roman" w:cs="Times New Roman" w:hAnsi="Times New Roman"/>
                <w:lang w:eastAsia="ru-RU"/>
              </w:rPr>
              <w:t> </w:t>
            </w:r>
          </w:p>
        </w:tc>
      </w:tr>
      <w:tr>
        <w:trPr>
          <w:cantSplit w:val="off"/>
        </w:trPr>
        <w:tc>
          <w:tcPr>
            <w:tcBorders/>
            <w:gridSpan w:val="2"/>
            <w:shd w:fill="EDECE5"/>
            <w:tcW w:type="dxa" w:w="3785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spacing w:after="28" w:before="28" w:line="100" w:lineRule="atLeast"/>
            </w:pPr>
            <w:r>
              <w:rPr>
                <w:sz w:val="18"/>
                <w:szCs w:val="18"/>
                <w:rFonts w:ascii="Arial" w:cs="Arial" w:hAnsi="Arial"/>
                <w:lang w:eastAsia="ru-RU"/>
              </w:rPr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28" w:before="28" w:line="100" w:lineRule="atLeast"/>
            </w:pPr>
            <w:r>
              <w:rPr>
                <w:sz w:val="18"/>
                <w:szCs w:val="18"/>
                <w:rFonts w:ascii="Arial" w:cs="Arial" w:hAnsi="Arial"/>
                <w:lang w:eastAsia="ru-RU"/>
              </w:rPr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28" w:before="28" w:line="100" w:lineRule="atLeast"/>
            </w:pPr>
            <w:r>
              <w:rPr>
                <w:sz w:val="18"/>
                <w:szCs w:val="18"/>
                <w:rFonts w:ascii="Arial" w:cs="Arial" w:hAnsi="Arial"/>
                <w:lang w:eastAsia="ru-RU"/>
              </w:rPr>
            </w:r>
          </w:p>
        </w:tc>
        <w:tc>
          <w:tcPr>
            <w:tcBorders/>
            <w:shd w:fill="EDECE5"/>
            <w:tcW w:type="dxa" w:w="1420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28" w:before="28" w:line="100" w:lineRule="atLeast"/>
            </w:pPr>
            <w:r>
              <w:rPr>
                <w:sz w:val="18"/>
                <w:szCs w:val="18"/>
                <w:rFonts w:ascii="Arial" w:cs="Arial" w:hAnsi="Arial"/>
                <w:lang w:eastAsia="ru-RU"/>
              </w:rPr>
            </w:r>
          </w:p>
        </w:tc>
        <w:tc>
          <w:tcPr>
            <w:tcBorders/>
            <w:shd w:fill="EDECE5"/>
            <w:tcW w:type="dxa" w:w="1"/>
            <w:tcMar>
              <w:top w:type="dxa" w:w="45"/>
              <w:left w:type="dxa" w:w="45"/>
              <w:bottom w:type="dxa" w:w="45"/>
              <w:right w:type="dxa" w:w="45"/>
            </w:tcMar>
          </w:tcPr>
          <w:p>
            <w:pPr>
              <w:pStyle w:val="style0"/>
              <w:jc w:val="right"/>
              <w:spacing w:after="28" w:before="28" w:line="100" w:lineRule="atLeast"/>
            </w:pPr>
            <w:r>
              <w:rPr>
                <w:sz w:val="18"/>
                <w:szCs w:val="18"/>
                <w:rFonts w:ascii="Arial" w:cs="Arial" w:hAnsi="Arial"/>
                <w:lang w:eastAsia="ru-RU"/>
              </w:rPr>
            </w:r>
          </w:p>
        </w:tc>
      </w:tr>
    </w:tbl>
    <w:p>
      <w:pPr>
        <w:pStyle w:val="style0"/>
        <w:jc w:val="both"/>
        <w:tabs>
          <w:tab w:leader="none" w:pos="7155" w:val="left"/>
        </w:tabs>
      </w:pPr>
      <w:r>
        <w:rPr>
          <w:sz w:val="28"/>
          <w:szCs w:val="28"/>
          <w:rFonts w:ascii="Times New Roman" w:cs="Times New Roman" w:hAnsi="Times New Roman"/>
        </w:rPr>
        <w:tab/>
      </w:r>
    </w:p>
    <w:p>
      <w:pPr>
        <w:pStyle w:val="style0"/>
        <w:jc w:val="both"/>
        <w:tabs>
          <w:tab w:leader="none" w:pos="7155" w:val="left"/>
        </w:tabs>
      </w:pPr>
      <w:r>
        <w:rPr>
          <w:sz w:val="28"/>
          <w:szCs w:val="28"/>
          <w:rFonts w:ascii="Times New Roman" w:cs="Times New Roman" w:hAnsi="Times New Roman"/>
        </w:rPr>
        <w:t>Дефицит Платежного баланса Украины в 2011 г. составил 2,5 млрд.дол. и был полностью профинансирован за счет резервных активов НБУ, уровень которых на 01.01.2012 года составил 31,8 млрд.дол., что гарантирует финансирование импорта в течении 3,5 месяцев.</w:t>
      </w:r>
    </w:p>
    <w:p>
      <w:pPr>
        <w:pStyle w:val="style0"/>
        <w:jc w:val="both"/>
        <w:tabs>
          <w:tab w:leader="none" w:pos="7155" w:val="left"/>
        </w:tabs>
      </w:pPr>
      <w:r>
        <w:rPr>
          <w:sz w:val="28"/>
          <w:i/>
          <w:b/>
          <w:szCs w:val="28"/>
          <w:iCs/>
          <w:bCs/>
          <w:rFonts w:ascii="Times New Roman" w:cs="Times New Roman" w:hAnsi="Times New Roman"/>
        </w:rPr>
        <w:t>8. Динамика учетной ставки НБУ</w:t>
      </w:r>
    </w:p>
    <w:tbl>
      <w:tblPr>
        <w:tblBorders>
          <w:top w:color="4E6D5E" w:space="0" w:sz="2" w:val="double"/>
          <w:left w:color="4E6D5E" w:space="0" w:sz="2" w:val="double"/>
          <w:bottom w:color="4E6D5E" w:space="0" w:sz="2" w:val="double"/>
          <w:right w:color="4E6D5E" w:space="0" w:sz="2" w:val="double"/>
        </w:tblBorders>
        <w:jc w:val="center"/>
      </w:tblPr>
      <w:tblGrid>
        <w:gridCol w:w="3405"/>
        <w:gridCol w:w="2278"/>
      </w:tblGrid>
      <w:tr>
        <w:trPr>
          <w:cantSplit w:val="off"/>
        </w:trPr>
        <w:tc>
          <w:tcPr>
            <w:tcBorders>
              <w:top w:color="4E6D5E" w:space="0" w:sz="2" w:val="double"/>
              <w:left w:color="4E6D5E" w:space="0" w:sz="2" w:val="double"/>
              <w:bottom w:color="4E6D5E" w:space="0" w:sz="2" w:val="double"/>
              <w:right w:color="4E6D5E" w:space="0" w:sz="2" w:val="double"/>
            </w:tcBorders>
            <w:shd w:fill="FEFEFE"/>
            <w:tcW w:type="dxa" w:w="3405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jc w:val="center"/>
              <w:spacing w:after="28" w:before="28"/>
            </w:pPr>
            <w:r>
              <w:rPr>
                <w:color w:val="000000"/>
                <w:sz w:val="28"/>
                <w:b/>
                <w:szCs w:val="28"/>
                <w:bCs/>
                <w:rFonts w:ascii="Times New Roman" w:cs="Times New Roman" w:hAnsi="Times New Roman"/>
              </w:rPr>
              <w:t>Период</w:t>
            </w:r>
          </w:p>
        </w:tc>
        <w:tc>
          <w:tcPr>
            <w:tcBorders>
              <w:top w:color="4E6D5E" w:space="0" w:sz="2" w:val="double"/>
              <w:left w:color="4E6D5E" w:space="0" w:sz="2" w:val="double"/>
              <w:bottom w:color="4E6D5E" w:space="0" w:sz="2" w:val="double"/>
              <w:right w:color="4E6D5E" w:space="0" w:sz="2" w:val="double"/>
            </w:tcBorders>
            <w:shd w:fill="FEFEFE"/>
            <w:tcW w:type="dxa" w:w="2278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jc w:val="center"/>
              <w:spacing w:after="28" w:before="28"/>
            </w:pPr>
            <w:r>
              <w:rPr>
                <w:color w:val="000000"/>
                <w:sz w:val="28"/>
                <w:b/>
                <w:szCs w:val="28"/>
                <w:bCs/>
                <w:rFonts w:ascii="Times New Roman" w:cs="Times New Roman" w:hAnsi="Times New Roman"/>
              </w:rPr>
              <w:t xml:space="preserve">% </w:t>
            </w:r>
            <w:r>
              <w:rPr>
                <w:color w:val="000000"/>
                <w:sz w:val="28"/>
                <w:b/>
                <w:szCs w:val="28"/>
                <w:bCs/>
                <w:rFonts w:ascii="Times New Roman" w:cs="Times New Roman" w:hAnsi="Times New Roman"/>
              </w:rPr>
              <w:t>годовых</w:t>
            </w:r>
          </w:p>
        </w:tc>
      </w:tr>
      <w:tr>
        <w:trPr>
          <w:cantSplit w:val="off"/>
        </w:trPr>
        <w:tc>
          <w:tcPr>
            <w:tcBorders>
              <w:top w:color="4E6D5E" w:space="0" w:sz="2" w:val="double"/>
              <w:left w:color="4E6D5E" w:space="0" w:sz="2" w:val="double"/>
              <w:bottom w:color="4E6D5E" w:space="0" w:sz="2" w:val="double"/>
              <w:right w:color="4E6D5E" w:space="0" w:sz="2" w:val="double"/>
            </w:tcBorders>
            <w:shd w:fill="FEFEFE"/>
            <w:tcW w:type="dxa" w:w="3405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jc w:val="center"/>
              <w:spacing w:after="28" w:before="28"/>
            </w:pPr>
            <w:r>
              <w:rPr>
                <w:color w:val="000000"/>
                <w:sz w:val="28"/>
                <w:b/>
                <w:szCs w:val="28"/>
                <w:bCs/>
                <w:rFonts w:ascii="Times New Roman" w:cs="Times New Roman" w:hAnsi="Times New Roman"/>
              </w:rPr>
              <w:t>201</w:t>
            </w:r>
            <w:r>
              <w:rPr>
                <w:color w:val="000000"/>
                <w:sz w:val="28"/>
                <w:b/>
                <w:szCs w:val="28"/>
                <w:bCs/>
                <w:rFonts w:ascii="Times New Roman" w:cs="Times New Roman" w:hAnsi="Times New Roman"/>
                <w:lang w:val="en-US"/>
              </w:rPr>
              <w:t>2</w:t>
            </w:r>
          </w:p>
        </w:tc>
        <w:tc>
          <w:tcPr>
            <w:tcBorders>
              <w:top w:color="4E6D5E" w:space="0" w:sz="2" w:val="double"/>
              <w:left w:color="4E6D5E" w:space="0" w:sz="2" w:val="double"/>
              <w:bottom w:color="4E6D5E" w:space="0" w:sz="2" w:val="double"/>
              <w:right w:color="4E6D5E" w:space="0" w:sz="2" w:val="double"/>
            </w:tcBorders>
            <w:shd w:fill="FEFEFE"/>
            <w:tcW w:type="dxa" w:w="2278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jc w:val="center"/>
              <w:spacing w:after="28" w:before="28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4E6D5E" w:space="0" w:sz="2" w:val="double"/>
              <w:left w:color="4E6D5E" w:space="0" w:sz="2" w:val="double"/>
              <w:bottom w:color="4E6D5E" w:space="0" w:sz="2" w:val="double"/>
              <w:right w:color="4E6D5E" w:space="0" w:sz="2" w:val="double"/>
            </w:tcBorders>
            <w:shd w:fill="FEFEFE"/>
            <w:tcW w:type="dxa" w:w="3405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jc w:val="center"/>
              <w:spacing w:after="28" w:before="28"/>
            </w:pPr>
            <w:hyperlink r:id="rId2">
              <w:r>
                <w:rPr>
                  <w:sz w:val="28"/>
                  <w:szCs w:val="28"/>
                  <w:rStyle w:val="style19"/>
                  <w:rFonts w:ascii="Times New Roman" w:cs="Times New Roman" w:hAnsi="Times New Roman"/>
                </w:rPr>
                <w:t>с</w:t>
              </w:r>
            </w:hyperlink>
            <w:r>
              <w:rPr>
                <w:sz w:val="28"/>
                <w:u w:val="none"/>
                <w:szCs w:val="28"/>
                <w:rStyle w:val="style19"/>
                <w:rFonts w:ascii="Times New Roman" w:cs="Times New Roman" w:hAnsi="Times New Roman"/>
              </w:rPr>
              <w:t xml:space="preserve"> </w:t>
            </w:r>
            <w:r>
              <w:rPr>
                <w:sz w:val="28"/>
                <w:u w:val="none"/>
                <w:szCs w:val="28"/>
                <w:rStyle w:val="style19"/>
                <w:rFonts w:ascii="Times New Roman" w:cs="Times New Roman" w:hAnsi="Times New Roman"/>
                <w:lang w:val="en-US"/>
              </w:rPr>
              <w:t>23</w:t>
            </w:r>
            <w:r>
              <w:rPr>
                <w:sz w:val="28"/>
                <w:u w:val="none"/>
                <w:szCs w:val="28"/>
                <w:rStyle w:val="style19"/>
                <w:rFonts w:ascii="Times New Roman" w:cs="Times New Roman" w:hAnsi="Times New Roman"/>
              </w:rPr>
              <w:t>.0</w:t>
            </w:r>
            <w:r>
              <w:rPr>
                <w:sz w:val="28"/>
                <w:u w:val="none"/>
                <w:szCs w:val="28"/>
                <w:rStyle w:val="style19"/>
                <w:rFonts w:ascii="Times New Roman" w:cs="Times New Roman" w:hAnsi="Times New Roman"/>
                <w:lang w:val="en-US"/>
              </w:rPr>
              <w:t>3</w:t>
            </w:r>
          </w:p>
        </w:tc>
        <w:tc>
          <w:tcPr>
            <w:tcBorders>
              <w:top w:color="4E6D5E" w:space="0" w:sz="2" w:val="double"/>
              <w:left w:color="4E6D5E" w:space="0" w:sz="2" w:val="double"/>
              <w:bottom w:color="4E6D5E" w:space="0" w:sz="2" w:val="double"/>
              <w:right w:color="4E6D5E" w:space="0" w:sz="2" w:val="double"/>
            </w:tcBorders>
            <w:shd w:fill="FEFEFE"/>
            <w:tcW w:type="dxa" w:w="2278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jc w:val="center"/>
              <w:spacing w:after="28" w:before="28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  <w:t>7.5</w:t>
            </w:r>
          </w:p>
        </w:tc>
      </w:tr>
      <w:tr>
        <w:trPr>
          <w:cantSplit w:val="off"/>
        </w:trPr>
        <w:tc>
          <w:tcPr>
            <w:tcBorders>
              <w:top w:color="4E6D5E" w:space="0" w:sz="2" w:val="double"/>
              <w:left w:color="4E6D5E" w:space="0" w:sz="2" w:val="double"/>
              <w:bottom w:color="4E6D5E" w:space="0" w:sz="2" w:val="double"/>
              <w:right w:color="4E6D5E" w:space="0" w:sz="2" w:val="double"/>
            </w:tcBorders>
            <w:shd w:fill="FEFEFE"/>
            <w:tcW w:type="dxa" w:w="3405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jc w:val="center"/>
              <w:spacing w:after="28" w:before="28"/>
            </w:pPr>
            <w:r>
              <w:rPr>
                <w:color w:val="000000"/>
                <w:sz w:val="28"/>
                <w:b/>
                <w:szCs w:val="28"/>
                <w:bCs/>
                <w:rFonts w:ascii="Times New Roman" w:cs="Times New Roman" w:hAnsi="Times New Roman"/>
              </w:rPr>
              <w:t>2010</w:t>
            </w:r>
          </w:p>
        </w:tc>
        <w:tc>
          <w:tcPr>
            <w:tcBorders>
              <w:top w:color="4E6D5E" w:space="0" w:sz="2" w:val="double"/>
              <w:left w:color="4E6D5E" w:space="0" w:sz="2" w:val="double"/>
              <w:bottom w:color="4E6D5E" w:space="0" w:sz="2" w:val="double"/>
              <w:right w:color="4E6D5E" w:space="0" w:sz="2" w:val="double"/>
            </w:tcBorders>
            <w:shd w:fill="FEFEFE"/>
            <w:tcW w:type="dxa" w:w="2278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jc w:val="center"/>
              <w:spacing w:after="28" w:before="28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4E6D5E" w:space="0" w:sz="2" w:val="double"/>
              <w:left w:color="4E6D5E" w:space="0" w:sz="2" w:val="double"/>
              <w:bottom w:color="4E6D5E" w:space="0" w:sz="2" w:val="double"/>
              <w:right w:color="4E6D5E" w:space="0" w:sz="2" w:val="double"/>
            </w:tcBorders>
            <w:shd w:fill="FEFEFE"/>
            <w:tcW w:type="dxa" w:w="3405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jc w:val="center"/>
              <w:spacing w:after="28" w:before="28"/>
            </w:pPr>
            <w:hyperlink r:id="rId3">
              <w:r>
                <w:rPr>
                  <w:sz w:val="28"/>
                  <w:szCs w:val="28"/>
                  <w:rStyle w:val="style19"/>
                  <w:rFonts w:ascii="Times New Roman" w:cs="Times New Roman" w:hAnsi="Times New Roman"/>
                </w:rPr>
                <w:t xml:space="preserve">с </w:t>
              </w:r>
            </w:hyperlink>
            <w:r>
              <w:rPr>
                <w:sz w:val="28"/>
                <w:u w:val="none"/>
                <w:szCs w:val="28"/>
                <w:rStyle w:val="style19"/>
                <w:rFonts w:ascii="Times New Roman" w:cs="Times New Roman" w:hAnsi="Times New Roman"/>
              </w:rPr>
              <w:t>10.08</w:t>
            </w:r>
          </w:p>
        </w:tc>
        <w:tc>
          <w:tcPr>
            <w:tcBorders>
              <w:top w:color="4E6D5E" w:space="0" w:sz="2" w:val="double"/>
              <w:left w:color="4E6D5E" w:space="0" w:sz="2" w:val="double"/>
              <w:bottom w:color="4E6D5E" w:space="0" w:sz="2" w:val="double"/>
              <w:right w:color="4E6D5E" w:space="0" w:sz="2" w:val="double"/>
            </w:tcBorders>
            <w:shd w:fill="FEFEFE"/>
            <w:tcW w:type="dxa" w:w="2278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jc w:val="center"/>
              <w:spacing w:after="28" w:before="28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  <w:t>7.75</w:t>
            </w:r>
          </w:p>
        </w:tc>
      </w:tr>
      <w:tr>
        <w:trPr>
          <w:cantSplit w:val="off"/>
        </w:trPr>
        <w:tc>
          <w:tcPr>
            <w:tcBorders>
              <w:top w:color="4E6D5E" w:space="0" w:sz="2" w:val="double"/>
              <w:left w:color="4E6D5E" w:space="0" w:sz="2" w:val="double"/>
              <w:bottom w:color="4E6D5E" w:space="0" w:sz="2" w:val="double"/>
              <w:right w:color="4E6D5E" w:space="0" w:sz="2" w:val="double"/>
            </w:tcBorders>
            <w:shd w:fill="FEFEFE"/>
            <w:tcW w:type="dxa" w:w="3405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jc w:val="center"/>
              <w:spacing w:after="28" w:before="28"/>
            </w:pPr>
            <w:hyperlink r:id="rId4">
              <w:r>
                <w:rPr>
                  <w:sz w:val="28"/>
                  <w:u w:val="none"/>
                  <w:szCs w:val="28"/>
                  <w:rStyle w:val="style19"/>
                  <w:rFonts w:ascii="Times New Roman" w:cs="Times New Roman" w:hAnsi="Times New Roman"/>
                </w:rPr>
                <w:t>с 08.07</w:t>
              </w:r>
            </w:hyperlink>
          </w:p>
        </w:tc>
        <w:tc>
          <w:tcPr>
            <w:tcBorders>
              <w:top w:color="4E6D5E" w:space="0" w:sz="2" w:val="double"/>
              <w:left w:color="4E6D5E" w:space="0" w:sz="2" w:val="double"/>
              <w:bottom w:color="4E6D5E" w:space="0" w:sz="2" w:val="double"/>
              <w:right w:color="4E6D5E" w:space="0" w:sz="2" w:val="double"/>
            </w:tcBorders>
            <w:shd w:fill="FEFEFE"/>
            <w:tcW w:type="dxa" w:w="2278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jc w:val="center"/>
              <w:spacing w:after="28" w:before="28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  <w:t>8.5</w:t>
            </w:r>
          </w:p>
        </w:tc>
      </w:tr>
      <w:tr>
        <w:trPr>
          <w:cantSplit w:val="off"/>
        </w:trPr>
        <w:tc>
          <w:tcPr>
            <w:tcBorders>
              <w:top w:color="4E6D5E" w:space="0" w:sz="2" w:val="double"/>
              <w:left w:color="4E6D5E" w:space="0" w:sz="2" w:val="double"/>
              <w:bottom w:color="4E6D5E" w:space="0" w:sz="2" w:val="double"/>
              <w:right w:color="4E6D5E" w:space="0" w:sz="2" w:val="double"/>
            </w:tcBorders>
            <w:shd w:fill="FEFEFE"/>
            <w:tcW w:type="dxa" w:w="3405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jc w:val="center"/>
              <w:spacing w:after="28" w:before="28"/>
            </w:pPr>
            <w:hyperlink r:id="rId5">
              <w:r>
                <w:rPr>
                  <w:sz w:val="28"/>
                  <w:szCs w:val="28"/>
                  <w:rStyle w:val="style19"/>
                  <w:rFonts w:ascii="Times New Roman" w:cs="Times New Roman" w:hAnsi="Times New Roman"/>
                </w:rPr>
                <w:t xml:space="preserve">с </w:t>
              </w:r>
            </w:hyperlink>
            <w:r>
              <w:rPr>
                <w:sz w:val="28"/>
                <w:u w:val="none"/>
                <w:szCs w:val="28"/>
                <w:rStyle w:val="style19"/>
                <w:rFonts w:ascii="Times New Roman" w:cs="Times New Roman" w:hAnsi="Times New Roman"/>
              </w:rPr>
              <w:t>08.06</w:t>
            </w:r>
          </w:p>
        </w:tc>
        <w:tc>
          <w:tcPr>
            <w:tcBorders>
              <w:top w:color="4E6D5E" w:space="0" w:sz="2" w:val="double"/>
              <w:left w:color="4E6D5E" w:space="0" w:sz="2" w:val="double"/>
              <w:bottom w:color="4E6D5E" w:space="0" w:sz="2" w:val="double"/>
              <w:right w:color="4E6D5E" w:space="0" w:sz="2" w:val="double"/>
            </w:tcBorders>
            <w:shd w:fill="FEFEFE"/>
            <w:tcW w:type="dxa" w:w="2278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jc w:val="center"/>
              <w:spacing w:after="28" w:before="28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  <w:t>9.5</w:t>
            </w:r>
          </w:p>
        </w:tc>
      </w:tr>
      <w:tr>
        <w:trPr>
          <w:cantSplit w:val="off"/>
        </w:trPr>
        <w:tc>
          <w:tcPr>
            <w:tcBorders>
              <w:top w:color="4E6D5E" w:space="0" w:sz="2" w:val="double"/>
              <w:left w:color="4E6D5E" w:space="0" w:sz="2" w:val="double"/>
              <w:bottom w:color="4E6D5E" w:space="0" w:sz="2" w:val="double"/>
              <w:right w:color="4E6D5E" w:space="0" w:sz="2" w:val="double"/>
            </w:tcBorders>
            <w:shd w:fill="FEFEFE"/>
            <w:tcW w:type="dxa" w:w="3405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jc w:val="center"/>
              <w:spacing w:after="28" w:before="28"/>
            </w:pPr>
            <w:r>
              <w:rPr>
                <w:color w:val="000000"/>
                <w:sz w:val="28"/>
                <w:b/>
                <w:szCs w:val="28"/>
                <w:bCs/>
                <w:rFonts w:ascii="Times New Roman" w:cs="Times New Roman" w:hAnsi="Times New Roman"/>
              </w:rPr>
              <w:t>2009</w:t>
            </w:r>
          </w:p>
        </w:tc>
        <w:tc>
          <w:tcPr>
            <w:tcBorders>
              <w:top w:color="4E6D5E" w:space="0" w:sz="2" w:val="double"/>
              <w:left w:color="4E6D5E" w:space="0" w:sz="2" w:val="double"/>
              <w:bottom w:color="4E6D5E" w:space="0" w:sz="2" w:val="double"/>
              <w:right w:color="4E6D5E" w:space="0" w:sz="2" w:val="double"/>
            </w:tcBorders>
            <w:shd w:fill="FEFEFE"/>
            <w:tcW w:type="dxa" w:w="2278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jc w:val="center"/>
              <w:spacing w:after="28" w:before="28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4E6D5E" w:space="0" w:sz="2" w:val="double"/>
              <w:left w:color="4E6D5E" w:space="0" w:sz="2" w:val="double"/>
              <w:bottom w:color="4E6D5E" w:space="0" w:sz="2" w:val="double"/>
              <w:right w:color="4E6D5E" w:space="0" w:sz="2" w:val="double"/>
            </w:tcBorders>
            <w:shd w:fill="FEFEFE"/>
            <w:tcW w:type="dxa" w:w="3405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jc w:val="center"/>
              <w:spacing w:after="28" w:before="28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  <w:t>с</w:t>
            </w: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  <w:t xml:space="preserve"> 12.08</w:t>
            </w:r>
          </w:p>
        </w:tc>
        <w:tc>
          <w:tcPr>
            <w:tcBorders>
              <w:top w:color="4E6D5E" w:space="0" w:sz="2" w:val="double"/>
              <w:left w:color="4E6D5E" w:space="0" w:sz="2" w:val="double"/>
              <w:bottom w:color="4E6D5E" w:space="0" w:sz="2" w:val="double"/>
              <w:right w:color="4E6D5E" w:space="0" w:sz="2" w:val="double"/>
            </w:tcBorders>
            <w:shd w:fill="FEFEFE"/>
            <w:tcW w:type="dxa" w:w="2278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jc w:val="center"/>
              <w:spacing w:after="28" w:before="28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  <w:t>10.25</w:t>
            </w:r>
          </w:p>
        </w:tc>
      </w:tr>
      <w:tr>
        <w:trPr>
          <w:cantSplit w:val="off"/>
        </w:trPr>
        <w:tc>
          <w:tcPr>
            <w:tcBorders>
              <w:top w:color="4E6D5E" w:space="0" w:sz="2" w:val="double"/>
              <w:left w:color="4E6D5E" w:space="0" w:sz="2" w:val="double"/>
              <w:bottom w:color="4E6D5E" w:space="0" w:sz="2" w:val="double"/>
              <w:right w:color="4E6D5E" w:space="0" w:sz="2" w:val="double"/>
            </w:tcBorders>
            <w:shd w:fill="FEFEFE"/>
            <w:tcW w:type="dxa" w:w="3405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jc w:val="center"/>
              <w:spacing w:after="28" w:before="28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  <w:t>с</w:t>
            </w: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  <w:t xml:space="preserve"> 15.06</w:t>
            </w:r>
          </w:p>
        </w:tc>
        <w:tc>
          <w:tcPr>
            <w:tcBorders>
              <w:top w:color="4E6D5E" w:space="0" w:sz="2" w:val="double"/>
              <w:left w:color="4E6D5E" w:space="0" w:sz="2" w:val="double"/>
              <w:bottom w:color="4E6D5E" w:space="0" w:sz="2" w:val="double"/>
              <w:right w:color="4E6D5E" w:space="0" w:sz="2" w:val="double"/>
            </w:tcBorders>
            <w:shd w:fill="FEFEFE"/>
            <w:tcW w:type="dxa" w:w="2278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jc w:val="center"/>
              <w:spacing w:after="28" w:before="28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  <w:t>11.0</w:t>
            </w:r>
          </w:p>
        </w:tc>
      </w:tr>
      <w:tr>
        <w:trPr>
          <w:cantSplit w:val="off"/>
        </w:trPr>
        <w:tc>
          <w:tcPr>
            <w:tcBorders>
              <w:top w:color="4E6D5E" w:space="0" w:sz="2" w:val="double"/>
              <w:left w:color="4E6D5E" w:space="0" w:sz="2" w:val="double"/>
              <w:bottom w:color="4E6D5E" w:space="0" w:sz="2" w:val="double"/>
              <w:right w:color="4E6D5E" w:space="0" w:sz="2" w:val="double"/>
            </w:tcBorders>
            <w:shd w:fill="FEFEFE"/>
            <w:tcW w:type="dxa" w:w="3405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jc w:val="center"/>
              <w:spacing w:after="28" w:before="28"/>
            </w:pPr>
            <w:r>
              <w:rPr>
                <w:color w:val="000000"/>
                <w:sz w:val="28"/>
                <w:b/>
                <w:szCs w:val="28"/>
                <w:bCs/>
                <w:rFonts w:ascii="Times New Roman" w:cs="Times New Roman" w:hAnsi="Times New Roman"/>
              </w:rPr>
              <w:t>2008</w:t>
            </w:r>
          </w:p>
        </w:tc>
        <w:tc>
          <w:tcPr>
            <w:tcBorders>
              <w:top w:color="4E6D5E" w:space="0" w:sz="2" w:val="double"/>
              <w:left w:color="4E6D5E" w:space="0" w:sz="2" w:val="double"/>
              <w:bottom w:color="4E6D5E" w:space="0" w:sz="2" w:val="double"/>
              <w:right w:color="4E6D5E" w:space="0" w:sz="2" w:val="double"/>
            </w:tcBorders>
            <w:shd w:fill="FEFEFE"/>
            <w:tcW w:type="dxa" w:w="2278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jc w:val="center"/>
              <w:spacing w:after="28" w:before="28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4E6D5E" w:space="0" w:sz="2" w:val="double"/>
              <w:left w:color="4E6D5E" w:space="0" w:sz="2" w:val="double"/>
              <w:bottom w:color="4E6D5E" w:space="0" w:sz="2" w:val="double"/>
              <w:right w:color="4E6D5E" w:space="0" w:sz="2" w:val="double"/>
            </w:tcBorders>
            <w:shd w:fill="FEFEFE"/>
            <w:tcW w:type="dxa" w:w="3405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jc w:val="center"/>
              <w:spacing w:after="28" w:before="28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  <w:t xml:space="preserve">с </w:t>
            </w: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  <w:t>30.04</w:t>
            </w:r>
          </w:p>
        </w:tc>
        <w:tc>
          <w:tcPr>
            <w:tcBorders>
              <w:top w:color="4E6D5E" w:space="0" w:sz="2" w:val="double"/>
              <w:left w:color="4E6D5E" w:space="0" w:sz="2" w:val="double"/>
              <w:bottom w:color="4E6D5E" w:space="0" w:sz="2" w:val="double"/>
              <w:right w:color="4E6D5E" w:space="0" w:sz="2" w:val="double"/>
            </w:tcBorders>
            <w:shd w:fill="FEFEFE"/>
            <w:tcW w:type="dxa" w:w="2278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jc w:val="center"/>
              <w:spacing w:after="28" w:before="28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  <w:t>12.0</w:t>
            </w:r>
          </w:p>
        </w:tc>
      </w:tr>
      <w:tr>
        <w:trPr>
          <w:cantSplit w:val="off"/>
        </w:trPr>
        <w:tc>
          <w:tcPr>
            <w:tcBorders>
              <w:top w:color="4E6D5E" w:space="0" w:sz="2" w:val="double"/>
              <w:left w:color="4E6D5E" w:space="0" w:sz="2" w:val="double"/>
              <w:bottom w:color="4E6D5E" w:space="0" w:sz="2" w:val="double"/>
              <w:right w:color="4E6D5E" w:space="0" w:sz="2" w:val="double"/>
            </w:tcBorders>
            <w:shd w:fill="FEFEFE"/>
            <w:tcW w:type="dxa" w:w="3405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jc w:val="center"/>
              <w:spacing w:after="28" w:before="28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  <w:t>с</w:t>
            </w: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  <w:t xml:space="preserve"> 01.01</w:t>
            </w:r>
          </w:p>
        </w:tc>
        <w:tc>
          <w:tcPr>
            <w:tcBorders>
              <w:top w:color="4E6D5E" w:space="0" w:sz="2" w:val="double"/>
              <w:left w:color="4E6D5E" w:space="0" w:sz="2" w:val="double"/>
              <w:bottom w:color="4E6D5E" w:space="0" w:sz="2" w:val="double"/>
              <w:right w:color="4E6D5E" w:space="0" w:sz="2" w:val="double"/>
            </w:tcBorders>
            <w:shd w:fill="FEFEFE"/>
            <w:tcW w:type="dxa" w:w="2278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jc w:val="center"/>
              <w:spacing w:after="28" w:before="28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  <w:t>10.0</w:t>
            </w:r>
          </w:p>
        </w:tc>
      </w:tr>
      <w:tr>
        <w:trPr>
          <w:cantSplit w:val="off"/>
        </w:trPr>
        <w:tc>
          <w:tcPr>
            <w:tcBorders>
              <w:top w:color="4E6D5E" w:space="0" w:sz="2" w:val="double"/>
              <w:left w:color="4E6D5E" w:space="0" w:sz="2" w:val="double"/>
              <w:bottom w:color="4E6D5E" w:space="0" w:sz="2" w:val="double"/>
              <w:right w:color="4E6D5E" w:space="0" w:sz="2" w:val="double"/>
            </w:tcBorders>
            <w:shd w:fill="FEFEFE"/>
            <w:tcW w:type="dxa" w:w="3405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jc w:val="center"/>
              <w:spacing w:after="28" w:before="28"/>
            </w:pPr>
            <w:r>
              <w:rPr>
                <w:color w:val="000000"/>
                <w:sz w:val="28"/>
                <w:b/>
                <w:szCs w:val="28"/>
                <w:bCs/>
                <w:rFonts w:ascii="Times New Roman" w:cs="Times New Roman" w:hAnsi="Times New Roman"/>
              </w:rPr>
              <w:t>2007</w:t>
            </w:r>
          </w:p>
        </w:tc>
        <w:tc>
          <w:tcPr>
            <w:tcBorders>
              <w:top w:color="4E6D5E" w:space="0" w:sz="2" w:val="double"/>
              <w:left w:color="4E6D5E" w:space="0" w:sz="2" w:val="double"/>
              <w:bottom w:color="4E6D5E" w:space="0" w:sz="2" w:val="double"/>
              <w:right w:color="4E6D5E" w:space="0" w:sz="2" w:val="double"/>
            </w:tcBorders>
            <w:shd w:fill="FEFEFE"/>
            <w:tcW w:type="dxa" w:w="2278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jc w:val="center"/>
              <w:spacing w:after="28" w:before="28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  <w:t> </w:t>
            </w:r>
          </w:p>
        </w:tc>
      </w:tr>
      <w:tr>
        <w:trPr>
          <w:cantSplit w:val="off"/>
        </w:trPr>
        <w:tc>
          <w:tcPr>
            <w:tcBorders>
              <w:top w:color="4E6D5E" w:space="0" w:sz="2" w:val="double"/>
              <w:left w:color="4E6D5E" w:space="0" w:sz="2" w:val="double"/>
              <w:bottom w:color="4E6D5E" w:space="0" w:sz="2" w:val="double"/>
              <w:right w:color="4E6D5E" w:space="0" w:sz="2" w:val="double"/>
            </w:tcBorders>
            <w:shd w:fill="FEFEFE"/>
            <w:tcW w:type="dxa" w:w="3405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jc w:val="center"/>
              <w:spacing w:after="28" w:before="28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  <w:t>с</w:t>
            </w: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  <w:t xml:space="preserve"> 01.06</w:t>
            </w:r>
          </w:p>
        </w:tc>
        <w:tc>
          <w:tcPr>
            <w:tcBorders>
              <w:top w:color="4E6D5E" w:space="0" w:sz="2" w:val="double"/>
              <w:left w:color="4E6D5E" w:space="0" w:sz="2" w:val="double"/>
              <w:bottom w:color="4E6D5E" w:space="0" w:sz="2" w:val="double"/>
              <w:right w:color="4E6D5E" w:space="0" w:sz="2" w:val="double"/>
            </w:tcBorders>
            <w:shd w:fill="FEFEFE"/>
            <w:tcW w:type="dxa" w:w="2278"/>
            <w:tcMar>
              <w:top w:type="dxa" w:w="30"/>
              <w:left w:type="dxa" w:w="30"/>
              <w:bottom w:type="dxa" w:w="30"/>
              <w:right w:type="dxa" w:w="30"/>
            </w:tcMar>
          </w:tcPr>
          <w:p>
            <w:pPr>
              <w:pStyle w:val="style0"/>
              <w:jc w:val="center"/>
              <w:spacing w:after="28" w:before="28"/>
            </w:pPr>
            <w:r>
              <w:rPr>
                <w:color w:val="000000"/>
                <w:sz w:val="28"/>
                <w:szCs w:val="28"/>
                <w:rFonts w:ascii="Times New Roman" w:cs="Times New Roman" w:hAnsi="Times New Roman"/>
              </w:rPr>
              <w:t>8.0</w:t>
            </w:r>
          </w:p>
        </w:tc>
      </w:tr>
    </w:tbl>
    <w:p>
      <w:pPr>
        <w:pStyle w:val="style0"/>
        <w:jc w:val="both"/>
        <w:tabs>
          <w:tab w:leader="none" w:pos="7155" w:val="left"/>
        </w:tabs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jc w:val="both"/>
        <w:tabs>
          <w:tab w:leader="none" w:pos="7155" w:val="left"/>
        </w:tabs>
      </w:pPr>
      <w:r>
        <w:rPr>
          <w:sz w:val="28"/>
          <w:szCs w:val="28"/>
          <w:rFonts w:ascii="Times New Roman" w:cs="Times New Roman" w:hAnsi="Times New Roman"/>
        </w:rPr>
        <w:t>Данные таблицы свидетельствуют о том, что, начиная с кризисного 2008 г., НБУ планомерно (6 раз) снижал уровень учетной ставки с целью поддержки ликвидности финансового рынка Украины.</w:t>
      </w:r>
    </w:p>
    <w:p>
      <w:pPr>
        <w:pStyle w:val="style0"/>
        <w:jc w:val="both"/>
        <w:tabs>
          <w:tab w:leader="none" w:pos="7155" w:val="left"/>
        </w:tabs>
      </w:pPr>
      <w:r>
        <w:rPr>
          <w:sz w:val="28"/>
          <w:i/>
          <w:b/>
          <w:szCs w:val="28"/>
          <w:iCs/>
          <w:bCs/>
          <w:rFonts w:ascii="Times New Roman" w:cs="Times New Roman" w:hAnsi="Times New Roman"/>
        </w:rPr>
      </w:r>
    </w:p>
    <w:p>
      <w:pPr>
        <w:pStyle w:val="style0"/>
        <w:jc w:val="both"/>
        <w:tabs>
          <w:tab w:leader="none" w:pos="7155" w:val="left"/>
        </w:tabs>
      </w:pPr>
      <w:r>
        <w:rPr>
          <w:sz w:val="28"/>
          <w:i/>
          <w:b/>
          <w:szCs w:val="28"/>
          <w:iCs/>
          <w:bCs/>
          <w:rFonts w:ascii="Times New Roman" w:cs="Times New Roman" w:hAnsi="Times New Roman"/>
        </w:rPr>
      </w:r>
    </w:p>
    <w:p>
      <w:pPr>
        <w:pStyle w:val="style0"/>
        <w:jc w:val="both"/>
        <w:tabs>
          <w:tab w:leader="none" w:pos="7155" w:val="left"/>
        </w:tabs>
      </w:pPr>
      <w:r>
        <w:rPr>
          <w:sz w:val="28"/>
          <w:i/>
          <w:b/>
          <w:szCs w:val="28"/>
          <w:iCs/>
          <w:bCs/>
          <w:rFonts w:ascii="Times New Roman" w:cs="Times New Roman" w:hAnsi="Times New Roman"/>
        </w:rPr>
      </w:r>
    </w:p>
    <w:p>
      <w:pPr>
        <w:pStyle w:val="style0"/>
        <w:spacing w:after="0" w:before="0" w:line="100" w:lineRule="atLeast"/>
      </w:pPr>
      <w:r>
        <w:rPr>
          <w:sz w:val="32"/>
          <w:b/>
          <w:szCs w:val="32"/>
          <w:bCs/>
          <w:rFonts w:ascii="Times New Roman" w:cs="Times New Roman" w:hAnsi="Times New Roman"/>
        </w:rPr>
      </w:r>
    </w:p>
    <w:p>
      <w:pPr>
        <w:pStyle w:val="style0"/>
        <w:jc w:val="center"/>
        <w:ind w:firstLine="708" w:left="0" w:right="0"/>
        <w:spacing w:after="0" w:before="0" w:line="100" w:lineRule="atLeast"/>
      </w:pPr>
      <w:r>
        <w:rPr>
          <w:sz w:val="32"/>
          <w:b/>
          <w:szCs w:val="32"/>
          <w:bCs/>
          <w:rFonts w:ascii="Times New Roman" w:cs="Times New Roman" w:hAnsi="Times New Roman"/>
        </w:rPr>
      </w:r>
    </w:p>
    <w:p>
      <w:pPr>
        <w:pStyle w:val="style0"/>
        <w:jc w:val="center"/>
        <w:ind w:firstLine="708" w:left="0" w:right="0"/>
        <w:spacing w:after="0" w:before="0" w:line="100" w:lineRule="atLeast"/>
      </w:pPr>
      <w:r>
        <w:rPr>
          <w:sz w:val="32"/>
          <w:b/>
          <w:szCs w:val="32"/>
          <w:bCs/>
          <w:rFonts w:ascii="Times New Roman" w:cs="Times New Roman" w:hAnsi="Times New Roman"/>
        </w:rPr>
        <w:t>АНАЛИЗ ТЕКУЩИХ ПОСТКРИЗИСНЫХ ТЕНДЕНЦИЙ РАЗВИТИЯ ФИНАНСОВОГО РЫНКА УКРАИНЫ</w:t>
      </w:r>
    </w:p>
    <w:p>
      <w:pPr>
        <w:pStyle w:val="style0"/>
        <w:jc w:val="center"/>
        <w:ind w:firstLine="708" w:left="0" w:right="0"/>
        <w:spacing w:after="0" w:before="0"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</w:rPr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30"/>
          <w:szCs w:val="30"/>
          <w:rFonts w:ascii="Times New Roman" w:cs="Times New Roman" w:hAnsi="Times New Roman"/>
        </w:rPr>
        <w:t xml:space="preserve">В 2011 году банковская система Украины закрепила позитивные тенденции, однако следует отметить, что это только начало </w:t>
      </w:r>
      <w:r>
        <w:rPr>
          <w:sz w:val="30"/>
          <w:szCs w:val="30"/>
          <w:rFonts w:ascii="Times New Roman" w:cs="Times New Roman" w:hAnsi="Times New Roman"/>
          <w:lang w:eastAsia="ru-RU"/>
        </w:rPr>
        <w:t>устойчивого процесса выхода из кризиса.</w:t>
      </w:r>
      <w:r>
        <w:rPr>
          <w:sz w:val="30"/>
          <w:szCs w:val="30"/>
          <w:rFonts w:ascii="Times New Roman" w:cs="Times New Roman" w:hAnsi="Times New Roman"/>
        </w:rPr>
        <w:t xml:space="preserve"> </w:t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30"/>
          <w:szCs w:val="30"/>
          <w:rFonts w:ascii="Times New Roman" w:cs="Times New Roman" w:hAnsi="Times New Roman"/>
          <w:lang w:eastAsia="ru-RU"/>
        </w:rPr>
        <w:t xml:space="preserve">Об этом говорит тот факт, что общие активы украинских банков за 2011 год выросли на 11% (составили 167 млрд.дол. на 01.04.2012), общий объем кредитных операций увеличился на 9% (до 103 млрд.дол. на 01.03.2012). </w:t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30"/>
          <w:szCs w:val="30"/>
          <w:rFonts w:ascii="Times New Roman" w:cs="Times New Roman" w:hAnsi="Times New Roman"/>
          <w:lang w:eastAsia="ru-RU"/>
        </w:rPr>
        <w:t xml:space="preserve">При этом такое увеличение объема кредитования было достигнуто, в первую очередь, за счет кредитов экономике, которые выросли на 14%. И этот рост, что особенно важно, был в основном за счет кредитов в национальной валюте (для сравнения - темп прироста активов банков Еврозоны составил всего 4,2%). </w:t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30"/>
          <w:szCs w:val="30"/>
          <w:rFonts w:ascii="Times New Roman" w:cs="Times New Roman" w:hAnsi="Times New Roman"/>
          <w:lang w:eastAsia="ru-RU"/>
        </w:rPr>
        <w:t xml:space="preserve">В течение прошедших 12 месяцев </w:t>
      </w:r>
      <w:r>
        <w:rPr>
          <w:sz w:val="30"/>
          <w:b/>
          <w:szCs w:val="30"/>
          <w:bCs/>
          <w:rFonts w:ascii="Times New Roman" w:cs="Times New Roman" w:hAnsi="Times New Roman"/>
          <w:lang w:eastAsia="ru-RU"/>
        </w:rPr>
        <w:t>улучшилось качество банковских активов</w:t>
      </w:r>
      <w:r>
        <w:rPr>
          <w:sz w:val="30"/>
          <w:szCs w:val="30"/>
          <w:rFonts w:ascii="Times New Roman" w:cs="Times New Roman" w:hAnsi="Times New Roman"/>
          <w:lang w:eastAsia="ru-RU"/>
        </w:rPr>
        <w:t xml:space="preserve">. Доля негативно классифицированных активных операций в их общем объеме сократилась с 15,4 до 14,6%. Объем просроченных кредитов сократился почти на 7% (до 10,2 млрд.дол. на 01.03.2012). </w:t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30"/>
          <w:szCs w:val="30"/>
          <w:rFonts w:ascii="Times New Roman" w:cs="Times New Roman" w:hAnsi="Times New Roman"/>
          <w:lang w:eastAsia="ru-RU"/>
        </w:rPr>
        <w:t xml:space="preserve">При этом </w:t>
      </w:r>
      <w:r>
        <w:rPr>
          <w:sz w:val="30"/>
          <w:b/>
          <w:szCs w:val="30"/>
          <w:bCs/>
          <w:rFonts w:ascii="Times New Roman" w:cs="Times New Roman" w:hAnsi="Times New Roman"/>
          <w:lang w:eastAsia="ru-RU"/>
        </w:rPr>
        <w:t>доля проблемных (сомнительных и безнадежных) потребительских кредитов</w:t>
      </w:r>
      <w:r>
        <w:rPr>
          <w:sz w:val="30"/>
          <w:szCs w:val="30"/>
          <w:rFonts w:ascii="Times New Roman" w:cs="Times New Roman" w:hAnsi="Times New Roman"/>
          <w:lang w:eastAsia="ru-RU"/>
        </w:rPr>
        <w:t xml:space="preserve"> в общем объеме таких кредитов составляет 22,6%. Это объясняет тот факт, что многие банки сегодня концентрируют свои усилия не на росте потребительского кредитования, а на возврате проблемной задолженности. Как показал докризисный опыт, рост объемов потребительского кредитования без надлежащей оценки рисков таких операций создает угрозу стабильности банковской системы и интересам вкладчиков и кредиторов банка. </w:t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30"/>
          <w:szCs w:val="30"/>
          <w:rFonts w:ascii="Times New Roman" w:cs="Times New Roman" w:hAnsi="Times New Roman"/>
          <w:lang w:eastAsia="ru-RU"/>
        </w:rPr>
        <w:t xml:space="preserve">Что касается </w:t>
      </w:r>
      <w:r>
        <w:rPr>
          <w:sz w:val="30"/>
          <w:b/>
          <w:szCs w:val="30"/>
          <w:bCs/>
          <w:rFonts w:ascii="Times New Roman" w:cs="Times New Roman" w:hAnsi="Times New Roman"/>
          <w:lang w:eastAsia="ru-RU"/>
        </w:rPr>
        <w:t>обязательств</w:t>
      </w:r>
      <w:r>
        <w:rPr>
          <w:sz w:val="30"/>
          <w:szCs w:val="30"/>
          <w:rFonts w:ascii="Times New Roman" w:cs="Times New Roman" w:hAnsi="Times New Roman"/>
          <w:lang w:eastAsia="ru-RU"/>
        </w:rPr>
        <w:t xml:space="preserve">, то их объем за 2011г. вырос почти на 12%. Это обусловлено как ростом средств физлиц – на 13%, объем которых превысил докризисный уровень (40,8 млрд.дол. на 01.04.2012, из них почти 70% – это вклады в гривне, что подтверждает доверие к национальной валюте), так и ростом средств субъектов хозяйствования – на 29% (до 21,8 млрд.грн. на 01.04.2012). </w:t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30"/>
          <w:szCs w:val="30"/>
          <w:rFonts w:ascii="Times New Roman" w:cs="Times New Roman" w:hAnsi="Times New Roman"/>
          <w:lang w:eastAsia="ru-RU"/>
        </w:rPr>
        <w:t xml:space="preserve">Таким образом, произошел положительный </w:t>
      </w:r>
      <w:r>
        <w:rPr>
          <w:sz w:val="30"/>
          <w:b/>
          <w:szCs w:val="30"/>
          <w:bCs/>
          <w:rFonts w:ascii="Times New Roman" w:cs="Times New Roman" w:hAnsi="Times New Roman"/>
          <w:lang w:eastAsia="ru-RU"/>
        </w:rPr>
        <w:t>сдвиг в формировании ресурсной базы банков в сторону национальной валюты</w:t>
      </w:r>
      <w:r>
        <w:rPr>
          <w:sz w:val="30"/>
          <w:szCs w:val="30"/>
          <w:rFonts w:ascii="Times New Roman" w:cs="Times New Roman" w:hAnsi="Times New Roman"/>
          <w:lang w:eastAsia="ru-RU"/>
        </w:rPr>
        <w:t xml:space="preserve"> (если обязательства банков в гривне выросли на 17%, то в валюте – всего на 7%). </w:t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30"/>
          <w:szCs w:val="30"/>
          <w:rFonts w:ascii="Times New Roman" w:cs="Times New Roman" w:hAnsi="Times New Roman"/>
          <w:lang w:eastAsia="ru-RU"/>
        </w:rPr>
        <w:t>Привлеченные банками средства населения – это мощный по объему и значимый по сути ресурс, который может направляться банками на кредитование</w:t>
      </w:r>
      <w:hyperlink r:id="rId6">
        <w:r>
          <w:rPr>
            <w:sz w:val="30"/>
            <w:szCs w:val="30"/>
            <w:rStyle w:val="style19"/>
            <w:rFonts w:ascii="Times New Roman" w:cs="Times New Roman" w:hAnsi="Times New Roman"/>
            <w:lang w:eastAsia="ru-RU"/>
          </w:rPr>
          <w:t xml:space="preserve"> экономики</w:t>
        </w:r>
      </w:hyperlink>
      <w:r>
        <w:rPr>
          <w:sz w:val="30"/>
          <w:szCs w:val="30"/>
          <w:rFonts w:ascii="Times New Roman" w:cs="Times New Roman" w:hAnsi="Times New Roman"/>
          <w:lang w:eastAsia="ru-RU"/>
        </w:rPr>
        <w:t xml:space="preserve"> и способствовать таким образом как дальнейшему экономическому росту страны в целом, так и повышению благосостояния ее граждан в частности.</w:t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30"/>
          <w:szCs w:val="30"/>
          <w:rFonts w:ascii="Times New Roman" w:cs="Times New Roman" w:hAnsi="Times New Roman"/>
          <w:lang w:eastAsia="ru-RU"/>
        </w:rPr>
        <w:t xml:space="preserve">Положительной тенденцией 2011 года является </w:t>
      </w:r>
      <w:r>
        <w:rPr>
          <w:sz w:val="30"/>
          <w:b/>
          <w:szCs w:val="30"/>
          <w:bCs/>
          <w:rFonts w:ascii="Times New Roman" w:cs="Times New Roman" w:hAnsi="Times New Roman"/>
          <w:lang w:eastAsia="ru-RU"/>
        </w:rPr>
        <w:t>рост уровня капитализации банковской системы.</w:t>
      </w:r>
      <w:r>
        <w:rPr>
          <w:sz w:val="30"/>
          <w:szCs w:val="30"/>
          <w:rFonts w:ascii="Times New Roman" w:cs="Times New Roman" w:hAnsi="Times New Roman"/>
          <w:lang w:eastAsia="ru-RU"/>
        </w:rPr>
        <w:t xml:space="preserve"> За год регулятивный капитал увеличился до 22,3 млрд. дол., а уставный – до 21,5 млрд. дол. (за 2011 год уставный капитал банков в Украине увеличился на 3,25 млрд. дол.). </w:t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16"/>
          <w:szCs w:val="16"/>
          <w:rFonts w:ascii="Times New Roman" w:cs="Times New Roman" w:hAnsi="Times New Roman"/>
          <w:lang w:eastAsia="ru-RU"/>
        </w:rPr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30"/>
          <w:szCs w:val="30"/>
          <w:rFonts w:ascii="Times New Roman" w:cs="Times New Roman" w:hAnsi="Times New Roman"/>
          <w:lang w:eastAsia="ru-RU"/>
        </w:rPr>
        <w:t xml:space="preserve">Вместе с тем следует отметить, что согласно отчету НБУ, </w:t>
      </w:r>
      <w:r>
        <w:rPr>
          <w:sz w:val="30"/>
          <w:b/>
          <w:szCs w:val="30"/>
          <w:bCs/>
          <w:rFonts w:ascii="Times New Roman" w:cs="Times New Roman" w:hAnsi="Times New Roman"/>
          <w:lang w:eastAsia="ru-RU"/>
        </w:rPr>
        <w:t>один из пяти украинских банков в настоящее время является убыточным</w:t>
      </w:r>
      <w:r>
        <w:rPr>
          <w:sz w:val="30"/>
          <w:szCs w:val="30"/>
          <w:rFonts w:ascii="Times New Roman" w:cs="Times New Roman" w:hAnsi="Times New Roman"/>
          <w:lang w:eastAsia="ru-RU"/>
        </w:rPr>
        <w:t xml:space="preserve">. По итогам 2011 года банковская система в целом имеет убыток в сумме 963 млн. дол., что было обусловлено необходимостью формирования значительных объемов резервов по проблемным кредитам вследствие кризиса. При этом топ-10 финансовых учреждений  показала чистый убыток 156,3 млн. дол. Стоит обратить внимание, что около </w:t>
      </w:r>
      <w:r>
        <w:rPr>
          <w:sz w:val="30"/>
          <w:b/>
          <w:szCs w:val="30"/>
          <w:bCs/>
          <w:rFonts w:ascii="Times New Roman" w:cs="Times New Roman" w:hAnsi="Times New Roman"/>
          <w:lang w:eastAsia="ru-RU"/>
        </w:rPr>
        <w:t xml:space="preserve">61% общего негативного результата банковской системы пришлось именно на крупнейшие учреждения. </w:t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30"/>
          <w:szCs w:val="30"/>
          <w:rFonts w:ascii="Times New Roman" w:cs="Times New Roman" w:hAnsi="Times New Roman"/>
          <w:lang w:eastAsia="ru-RU"/>
        </w:rPr>
        <w:t>Банковская система работает с отрицательным финансовым результатом уже третий год (с 2010 г.) - из-за падения объемов кредитования и сокращения кредитного портфеля. Данная тенденция обусловлена финансово-экономическим кризисом 2008-2009 годов, ведь именно по результатам 2009 года были сформированы максимальные убытки за последние 15 лет – 4,8 млрд. дол.</w:t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30"/>
          <w:szCs w:val="30"/>
          <w:rFonts w:ascii="Times New Roman" w:cs="Times New Roman" w:hAnsi="Times New Roman"/>
          <w:lang w:eastAsia="ru-RU"/>
        </w:rPr>
        <w:t xml:space="preserve">Вместе с тем финансово-кредитные </w:t>
      </w:r>
      <w:r>
        <w:rPr>
          <w:sz w:val="30"/>
          <w:b/>
          <w:szCs w:val="30"/>
          <w:bCs/>
          <w:rFonts w:ascii="Times New Roman" w:cs="Times New Roman" w:hAnsi="Times New Roman"/>
          <w:lang w:eastAsia="ru-RU"/>
        </w:rPr>
        <w:t>организации среднего и малого размера</w:t>
      </w:r>
      <w:r>
        <w:rPr>
          <w:sz w:val="30"/>
          <w:szCs w:val="30"/>
          <w:rFonts w:ascii="Times New Roman" w:cs="Times New Roman" w:hAnsi="Times New Roman"/>
          <w:lang w:eastAsia="ru-RU"/>
        </w:rPr>
        <w:t xml:space="preserve"> показали свои истинные преимущества.  Небольшие и средние банки с низким уровнем расходов, отсутствием крупных долгов перед иностранными инвесторами, пережили кризис с минимальными потерями. Важную роль сыграли гибкость условия и индивидуальный подход к каждому клиенту.</w:t>
      </w:r>
    </w:p>
    <w:p>
      <w:pPr>
        <w:pStyle w:val="style0"/>
        <w:jc w:val="both"/>
        <w:ind w:firstLine="708" w:left="0" w:right="0"/>
        <w:spacing w:after="0" w:before="0" w:line="100" w:lineRule="atLeast"/>
      </w:pPr>
      <w:r>
        <w:rPr>
          <w:sz w:val="30"/>
          <w:szCs w:val="30"/>
          <w:rFonts w:ascii="Times New Roman" w:cs="Times New Roman" w:hAnsi="Times New Roman"/>
          <w:lang w:eastAsia="ru-RU"/>
        </w:rPr>
        <w:t>Главная задача, стоящая перед банками Украины в текущем году – это закрепить те позитивные тенденции в банковской сфере, которые наметились в 2011 году, и укрепить доверие к ней. В первую очередь, необходимо активизировать процесс банковского кредитования, прежде всего реального сектора</w:t>
      </w:r>
      <w:hyperlink r:id="rId7">
        <w:r>
          <w:rPr>
            <w:sz w:val="30"/>
            <w:szCs w:val="30"/>
            <w:rStyle w:val="style19"/>
            <w:rFonts w:ascii="Times New Roman" w:cs="Times New Roman" w:hAnsi="Times New Roman"/>
            <w:lang w:eastAsia="ru-RU"/>
          </w:rPr>
          <w:t xml:space="preserve"> экономики</w:t>
        </w:r>
      </w:hyperlink>
      <w:r>
        <w:rPr>
          <w:sz w:val="30"/>
          <w:szCs w:val="30"/>
          <w:rFonts w:ascii="Times New Roman" w:cs="Times New Roman" w:hAnsi="Times New Roman"/>
          <w:lang w:eastAsia="ru-RU"/>
        </w:rPr>
        <w:t xml:space="preserve">. Вторая ключевая задача – уменьшить объем проблемной задолженности, которая образовалась в результате недавнего финансового кризиса. </w:t>
      </w:r>
    </w:p>
    <w:p>
      <w:pPr>
        <w:pStyle w:val="style0"/>
        <w:spacing w:after="0" w:before="0" w:line="100" w:lineRule="atLeast"/>
      </w:pPr>
      <w:r>
        <w:rPr>
          <w:sz w:val="28"/>
          <w:b/>
          <w:szCs w:val="28"/>
          <w:bCs/>
          <w:rFonts w:ascii="Times New Roman" w:cs="Times New Roman" w:hAnsi="Times New Roman"/>
          <w:lang w:eastAsia="ru-RU"/>
        </w:rPr>
      </w:r>
    </w:p>
    <w:p>
      <w:pPr>
        <w:pStyle w:val="style0"/>
        <w:jc w:val="both"/>
        <w:tabs>
          <w:tab w:leader="none" w:pos="7155" w:val="left"/>
        </w:tabs>
        <w:spacing w:after="200" w:before="0"/>
      </w:pPr>
      <w:r>
        <w:rPr>
          <w:sz w:val="28"/>
          <w:i/>
          <w:b/>
          <w:szCs w:val="28"/>
          <w:iCs/>
          <w:bCs/>
          <w:rFonts w:ascii="Times New Roman" w:cs="Times New Roman" w:hAnsi="Times New Roman"/>
        </w:rPr>
        <w:tab/>
        <w:pict>
          <v:rect id="shape_2345778394" style="position:absolute;margin-left:0pt;margin-top:0pt;width:0.7pt;height:0.7pt">
            <w10:wrap w10:type="none"/>
            <v:fill color2="black" detectmouseclick="t"/>
            <v:stroke color="#000023" joinstyle="round"/>
          </v:rect>
        </w:pict>
      </w:r>
    </w:p>
    <w:sectPr>
      <w:formProt w:val="off"/>
      <w:pgSz w:h="16837" w:w="11905"/>
      <w:textDirection w:val="lrTb"/>
      <w:pgNumType w:fmt="decimal"/>
      <w:type w:val="nextPage"/>
      <w:footerReference r:id="rId8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auto"/>
    <w:pitch w:val="default"/>
  </w:font>
</w:fonts>
</file>

<file path=word/footer1.xml><?xml version="1.0" encoding="utf-8"?>
<w:ftr xmlns:w="http://schemas.openxmlformats.org/wordprocessingml/2006/main">
  <w:p>
    <w:pPr>
      <w:pStyle w:val="style34"/>
    </w:pPr>
    <w:r>
      <w:fldChar w:fldCharType="begin"/>
    </w:r>
    <w:r>
      <w:rPr/>
      <w:fldChar w:fldCharType="begin"/>
    </w:r>
    <w:r>
      <w:instrText> PAGE </w:instrText>
    </w:r>
    <w:r>
      <w:fldChar w:fldCharType="separate"/>
    </w:r>
    <w:r>
      <w:t>11</w:t>
    </w:r>
    <w:r>
      <w:fldChar w:fldCharType="end"/>
    </w:r>
  </w:p>
</w:ftr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Calibri" w:eastAsia="Calibri" w:hAnsi="Calibri"/>
      <w:lang w:bidi="ar-SA" w:eastAsia="en-US" w:val="ru-RU"/>
    </w:rPr>
  </w:style>
  <w:style w:styleId="style1" w:type="paragraph">
    <w:name w:val="Заголовок 1"/>
    <w:basedOn w:val="style0"/>
    <w:next w:val="style27"/>
    <w:pPr>
      <w:spacing w:after="0" w:before="0" w:line="100" w:lineRule="atLeast"/>
    </w:pPr>
    <w:rPr>
      <w:sz w:val="48"/>
      <w:b/>
      <w:szCs w:val="48"/>
      <w:bCs/>
      <w:rFonts w:ascii="Times New Roman" w:cs="Times New Roman" w:eastAsia="Times New Roman" w:hAnsi="Times New Roman"/>
      <w:lang w:eastAsia="ru-RU"/>
    </w:rPr>
  </w:style>
  <w:style w:styleId="style15" w:type="character">
    <w:name w:val="ListLabel 1"/>
    <w:next w:val="style15"/>
    <w:rPr>
      <w:rFonts w:cs="Symbol"/>
    </w:rPr>
  </w:style>
  <w:style w:styleId="style16" w:type="character">
    <w:name w:val="Default Paragraph Font"/>
    <w:next w:val="style16"/>
    <w:rPr/>
  </w:style>
  <w:style w:styleId="style17" w:type="character">
    <w:name w:val="Heading 1 Char"/>
    <w:basedOn w:val="style16"/>
    <w:next w:val="style17"/>
    <w:rPr/>
  </w:style>
  <w:style w:styleId="style18" w:type="character">
    <w:name w:val="Выделение жирным"/>
    <w:basedOn w:val="style16"/>
    <w:next w:val="style18"/>
    <w:rPr>
      <w:b/>
      <w:bCs/>
    </w:rPr>
  </w:style>
  <w:style w:styleId="style19" w:type="character">
    <w:name w:val="Интернет-ссылка"/>
    <w:basedOn w:val="style16"/>
    <w:next w:val="style19"/>
    <w:rPr>
      <w:color w:val="00000A"/>
      <w:u w:val="single"/>
      <w:lang w:bidi="ru-RU" w:eastAsia="ru-RU" w:val="ru-RU"/>
    </w:rPr>
  </w:style>
  <w:style w:styleId="style20" w:type="character">
    <w:name w:val="Header Char"/>
    <w:basedOn w:val="style16"/>
    <w:next w:val="style20"/>
    <w:rPr/>
  </w:style>
  <w:style w:styleId="style21" w:type="character">
    <w:name w:val="Footer Char"/>
    <w:basedOn w:val="style16"/>
    <w:next w:val="style21"/>
    <w:rPr/>
  </w:style>
  <w:style w:styleId="style22" w:type="character">
    <w:name w:val="Balloon Text Char"/>
    <w:basedOn w:val="style16"/>
    <w:next w:val="style22"/>
    <w:rPr/>
  </w:style>
  <w:style w:styleId="style23" w:type="character">
    <w:name w:val="Выделение"/>
    <w:basedOn w:val="style16"/>
    <w:next w:val="style23"/>
    <w:rPr>
      <w:i/>
      <w:iCs/>
    </w:rPr>
  </w:style>
  <w:style w:styleId="style24" w:type="character">
    <w:name w:val="spelle"/>
    <w:basedOn w:val="style16"/>
    <w:next w:val="style24"/>
    <w:rPr/>
  </w:style>
  <w:style w:styleId="style25" w:type="character">
    <w:name w:val="grame"/>
    <w:basedOn w:val="style16"/>
    <w:next w:val="style25"/>
    <w:rPr/>
  </w:style>
  <w:style w:styleId="style26" w:type="paragraph">
    <w:name w:val="Заголовок"/>
    <w:basedOn w:val="style0"/>
    <w:next w:val="style27"/>
    <w:pPr>
      <w:keepNext/>
      <w:spacing w:after="120" w:before="240"/>
    </w:pPr>
    <w:rPr>
      <w:sz w:val="28"/>
      <w:szCs w:val="28"/>
      <w:rFonts w:ascii="Arial" w:cs="Tahoma" w:eastAsia="MS Mincho" w:hAnsi="Arial"/>
    </w:rPr>
  </w:style>
  <w:style w:styleId="style27" w:type="paragraph">
    <w:name w:val="Основной текст"/>
    <w:basedOn w:val="style0"/>
    <w:next w:val="style27"/>
    <w:pPr>
      <w:spacing w:after="120" w:before="0"/>
    </w:pPr>
    <w:rPr/>
  </w:style>
  <w:style w:styleId="style28" w:type="paragraph">
    <w:name w:val="Список"/>
    <w:basedOn w:val="style27"/>
    <w:next w:val="style28"/>
    <w:pPr/>
    <w:rPr>
      <w:rFonts w:ascii="Arial" w:cs="Tahoma" w:hAnsi="Arial"/>
    </w:rPr>
  </w:style>
  <w:style w:styleId="style29" w:type="paragraph">
    <w:name w:val="Название"/>
    <w:basedOn w:val="style0"/>
    <w:next w:val="style29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30" w:type="paragraph">
    <w:name w:val="Указатель"/>
    <w:basedOn w:val="style0"/>
    <w:next w:val="style30"/>
    <w:pPr>
      <w:suppressLineNumbers/>
    </w:pPr>
    <w:rPr>
      <w:rFonts w:ascii="Arial" w:cs="Tahoma" w:hAnsi="Arial"/>
    </w:rPr>
  </w:style>
  <w:style w:styleId="style31" w:type="paragraph">
    <w:name w:val="Normal (Web)"/>
    <w:basedOn w:val="style0"/>
    <w:next w:val="style31"/>
    <w:pPr/>
    <w:rPr/>
  </w:style>
  <w:style w:styleId="style32" w:type="paragraph">
    <w:name w:val="List Paragraph"/>
    <w:basedOn w:val="style0"/>
    <w:next w:val="style32"/>
    <w:pPr/>
    <w:rPr/>
  </w:style>
  <w:style w:styleId="style33" w:type="paragraph">
    <w:name w:val="Верхний колонтитул"/>
    <w:basedOn w:val="style0"/>
    <w:next w:val="style33"/>
    <w:pPr>
      <w:tabs>
        <w:tab w:leader="none" w:pos="4677" w:val="center"/>
        <w:tab w:leader="none" w:pos="9355" w:val="right"/>
      </w:tabs>
      <w:suppressLineNumbers/>
      <w:spacing w:after="0" w:before="0" w:line="100" w:lineRule="atLeast"/>
    </w:pPr>
    <w:rPr/>
  </w:style>
  <w:style w:styleId="style34" w:type="paragraph">
    <w:name w:val="Нижний колонтитул"/>
    <w:basedOn w:val="style0"/>
    <w:next w:val="style34"/>
    <w:pPr>
      <w:tabs>
        <w:tab w:leader="none" w:pos="4677" w:val="center"/>
        <w:tab w:leader="none" w:pos="9355" w:val="right"/>
      </w:tabs>
      <w:suppressLineNumbers/>
      <w:spacing w:after="0" w:before="0" w:line="100" w:lineRule="atLeast"/>
    </w:pPr>
    <w:rPr/>
  </w:style>
  <w:style w:styleId="style35" w:type="paragraph">
    <w:name w:val="Balloon Text"/>
    <w:basedOn w:val="style0"/>
    <w:next w:val="style35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ank.gov.ua/control/uk/publish/article?art_id=108684&amp;cat_id=55838" TargetMode="External"/><Relationship Id="rId3" Type="http://schemas.openxmlformats.org/officeDocument/2006/relationships/hyperlink" Target="http://www.bank.gov.ua/doccatalog/document?id=64162" TargetMode="External"/><Relationship Id="rId4" Type="http://schemas.openxmlformats.org/officeDocument/2006/relationships/hyperlink" Target="http://www.bank.gov.ua/doccatalog/document?id=64055" TargetMode="External"/><Relationship Id="rId5" Type="http://schemas.openxmlformats.org/officeDocument/2006/relationships/hyperlink" Target="http://www.bank.gov.ua/doccatalog/document?id=64047" TargetMode="External"/><Relationship Id="rId6" Type="http://schemas.openxmlformats.org/officeDocument/2006/relationships/hyperlink" Target="http://for-ua.com/economics/" TargetMode="External"/><Relationship Id="rId7" Type="http://schemas.openxmlformats.org/officeDocument/2006/relationships/hyperlink" Target="http://for-ua.com/economics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2012-04-24T15:12:00.00Z</dcterms:created>
  <dc:creator>skba14</dc:creator>
  <cp:lastModifiedBy>Ludmila</cp:lastModifiedBy>
  <cp:lastPrinted>2012-04-24T14:48:00.00Z</cp:lastPrinted>
  <dcterms:modified xsi:type="dcterms:W3CDTF">2012-04-24T15:12:00.00Z</dcterms:modified>
  <cp:revision>2</cp:revision>
  <dc:title> Оценка текущего состояния  финансового рынка Украины</dc:title>
</cp:coreProperties>
</file>