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77" w:rsidRDefault="00B143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2409190</wp:posOffset>
                </wp:positionH>
                <wp:positionV relativeFrom="paragraph">
                  <wp:posOffset>22860</wp:posOffset>
                </wp:positionV>
                <wp:extent cx="4632325" cy="1143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3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3FD" w:rsidRPr="00B143FD" w:rsidRDefault="00B143FD" w:rsidP="00B143FD">
                            <w:pPr>
                              <w:tabs>
                                <w:tab w:val="left" w:pos="7938"/>
                              </w:tabs>
                              <w:adjustRightInd w:val="0"/>
                              <w:ind w:right="17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Ответы, предоставленные 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Департамент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ом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денежно-кредитной политики Банка России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, на вопросы, 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поступившие в Оргкомитет от участников к 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встрече 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руководителей Банка России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с руководителями коммерческих банков 1-2 февраля 2018г. в ОПК «БОР»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9.7pt;margin-top:1.8pt;width:364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" stroked="f">
                <v:textbox>
                  <w:txbxContent>
                    <w:p w:rsidR="00B143FD" w:rsidRPr="00B143FD" w:rsidRDefault="00B143FD" w:rsidP="00B143FD">
                      <w:pPr>
                        <w:tabs>
                          <w:tab w:val="left" w:pos="7938"/>
                        </w:tabs>
                        <w:adjustRightInd w:val="0"/>
                        <w:ind w:right="17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B143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Ответы, предоставленные 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Департамент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ом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денежно-кредитной политики Банка России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, на вопросы, 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поступившие в Оргкомитет от участников к 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встрече 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руководителей Банка России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с руководителями коммерческих банков 1-2 февраля 2018г. в ОПК «БОР»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1A94A6" wp14:editId="4EC554C8">
            <wp:extent cx="1447800" cy="12039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FD" w:rsidRPr="00C408F0" w:rsidRDefault="00C408F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Вопрос: </w:t>
      </w:r>
      <w:bookmarkStart w:id="0" w:name="_GoBack"/>
      <w:bookmarkEnd w:id="0"/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>Кредитные организация просят рассмотреть следующие инициативы:</w:t>
      </w:r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>1. Возможность продления сроков предоставления бухгалтерской (финансовой) отчетности по активам II категории качества, переданным в Банк России в соответствии с Положением Банка России от 12.11.2007 № 312-П «О порядке предоставления Банком России кредитным организациям кредитов, обеспеченных активами или поручительствами» (далее – Положение № 312-П):</w:t>
      </w:r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>- годовой отчетности до 3 мая (в настоящее время – до 3 апреля);</w:t>
      </w:r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>- промежуточной квартальной отчетности до 62-го календарного дня после окончания отчетного квартала (в настоящее время – до 32-го календарного дня).</w:t>
      </w:r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>Продление сроков обусловлено необходимостью подготовки заемщиками документов (расшифровок, справок из налоговой службы и обслуживающих банков и т.д.), на основании анализа которых банк готовит расширенное профессиональное суждение о категории кредитного риска для предоставления в Банк России. Вышеуказанные документы возможны к подготовке только после окончания установленных законодательством сроков формирования отчетности. Внесение предлагаемых изменений позволит банкам предоставить в обеспечение по привлекаемым средствам дополнительный объём активов, в рамках Положения № 312-П, что положительно скажется на поддержании их ликвидности.</w:t>
      </w:r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>2. Возможность подписания писем уполномоченным лицом банка по доверенности при предоставлении в Банк России информации, указанной в подпунктах 1.4, 1.7 Приложения 5 к Положению № 312-П, а именно:</w:t>
      </w:r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>- сведения о наличии (отсутствии) у организации статуса субъекта малого предпринимательства;</w:t>
      </w:r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>- данные о не погашенных в срок кредитах, займах, полученных организацией; данные о просроченных платежах по выданным организацией векселям; данные о просроченной кредиторской задолженности длительностью свыше 3 месяцев; данные о величине чистых активов.</w:t>
      </w:r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 xml:space="preserve">В настоящее время указанные сведения должны подписываться единоличным исполнительным органом банка, или его заместителем или членом коллегиального исполнительного органа, что приводит к дополнительной нагрузке на руководство кредитных организаций и замедляет процесс предоставления информации в Банк России. </w:t>
      </w:r>
    </w:p>
    <w:p w:rsidR="00B143FD" w:rsidRDefault="00B143FD">
      <w:pPr>
        <w:rPr>
          <w:rFonts w:ascii="Times New Roman" w:hAnsi="Times New Roman" w:cs="Times New Roman"/>
          <w:b/>
          <w:sz w:val="26"/>
          <w:szCs w:val="26"/>
        </w:rPr>
      </w:pPr>
      <w:r w:rsidRPr="00B143FD">
        <w:rPr>
          <w:rFonts w:ascii="Times New Roman" w:hAnsi="Times New Roman" w:cs="Times New Roman"/>
          <w:b/>
          <w:sz w:val="26"/>
          <w:szCs w:val="26"/>
        </w:rPr>
        <w:lastRenderedPageBreak/>
        <w:t>Ответ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>По вопросу внесения изменений в Положение Банка России от 12.11.2007 № 312-П «О порядке предоставления Банком России кредитным организациям кредитов, обеспеченных активами или поручительствами» (далее - Положение № 312-П) в части изменения сроков представления бухгалтерской отчетности заемщиков по рефинансируемым кредитам, а также изменения порядка подписания информации об указанных заемщиках, направляемой кредитными организациями в Банк России, сообщаем, что в настоящее время внесение изменений в Положение № 312-П не представляется возможным в связи с большим количеством изменений, внесенных в данный нормативный акт.</w:t>
      </w:r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>В связи с данным обстоятельством, а также в рамках реинжиниринга кредитных операций в настоящее время Банк России проводит работу по замене Положения № 312-П Регламентом проведения</w:t>
      </w:r>
      <w:r w:rsidRPr="00B143FD">
        <w:rPr>
          <w:rFonts w:ascii="Times New Roman" w:hAnsi="Times New Roman" w:cs="Times New Roman"/>
          <w:sz w:val="26"/>
          <w:szCs w:val="26"/>
        </w:rPr>
        <w:t xml:space="preserve"> </w:t>
      </w:r>
      <w:r w:rsidRPr="00B143FD">
        <w:rPr>
          <w:rFonts w:ascii="Times New Roman" w:hAnsi="Times New Roman" w:cs="Times New Roman"/>
          <w:sz w:val="26"/>
          <w:szCs w:val="26"/>
        </w:rPr>
        <w:t>операций по предоставлению и погашению кредитов Банка России, обеспеченных ценными бумагами или правами требования по кредитным договорам (далее - Регламент).</w:t>
      </w:r>
    </w:p>
    <w:p w:rsidR="00B143FD" w:rsidRPr="00B143FD" w:rsidRDefault="00B143FD" w:rsidP="00B143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FD">
        <w:rPr>
          <w:rFonts w:ascii="Times New Roman" w:hAnsi="Times New Roman" w:cs="Times New Roman"/>
          <w:sz w:val="26"/>
          <w:szCs w:val="26"/>
        </w:rPr>
        <w:t>Регламент начнет применяться не ранее августа 2018 года. Соответственно, до начала применения Регламента будут продолжать применяться все нормы Положения № 312-П, включая требования к срокам предоставления бухгалтерской отчетности заемщиков и подписанию информации о заемщиках. При этом с учетом запроса кредитных организаций в процессе работы над Регламентом будет рассмотрена возможность и целесообразность изменения в Регламенте указанных требований, предусмотренных Положением № 312-П.</w:t>
      </w:r>
    </w:p>
    <w:sectPr w:rsidR="00B143FD" w:rsidRPr="00B1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FD"/>
    <w:rsid w:val="004A3D77"/>
    <w:rsid w:val="00B143FD"/>
    <w:rsid w:val="00C4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526A81"/>
  <w15:chartTrackingRefBased/>
  <w15:docId w15:val="{C8D0AF9F-5218-4942-BE2E-471C1E68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B143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43FD"/>
    <w:pPr>
      <w:widowControl w:val="0"/>
      <w:shd w:val="clear" w:color="auto" w:fill="FFFFFF"/>
      <w:spacing w:before="126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Елена</dc:creator>
  <cp:keywords/>
  <dc:description/>
  <cp:lastModifiedBy>Самохина Елена</cp:lastModifiedBy>
  <cp:revision>2</cp:revision>
  <dcterms:created xsi:type="dcterms:W3CDTF">2018-02-26T19:16:00Z</dcterms:created>
  <dcterms:modified xsi:type="dcterms:W3CDTF">2018-02-26T19:21:00Z</dcterms:modified>
</cp:coreProperties>
</file>