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807E" w14:textId="77777777" w:rsidR="00080378" w:rsidRPr="00080378" w:rsidRDefault="00F20DD8" w:rsidP="007C0617">
      <w:pPr>
        <w:jc w:val="center"/>
        <w:rPr>
          <w:rFonts w:cs="Times New Roman"/>
          <w:b/>
          <w:szCs w:val="24"/>
        </w:rPr>
      </w:pPr>
      <w:r w:rsidRPr="00080378">
        <w:rPr>
          <w:rFonts w:cs="Times New Roman"/>
          <w:b/>
          <w:szCs w:val="24"/>
        </w:rPr>
        <w:t>Комментарии и предложения, полученные в рамках оценки регулирующего воздействия</w:t>
      </w:r>
      <w:r w:rsidR="00080378" w:rsidRPr="00080378">
        <w:rPr>
          <w:rFonts w:cs="Times New Roman"/>
          <w:b/>
          <w:szCs w:val="24"/>
        </w:rPr>
        <w:t xml:space="preserve"> </w:t>
      </w:r>
    </w:p>
    <w:p w14:paraId="44A24BCC" w14:textId="77777777" w:rsidR="00D63602" w:rsidRPr="00D63602" w:rsidRDefault="00080378" w:rsidP="00D63602">
      <w:pPr>
        <w:jc w:val="center"/>
        <w:rPr>
          <w:rFonts w:cs="Times New Roman"/>
          <w:b/>
          <w:szCs w:val="24"/>
        </w:rPr>
      </w:pPr>
      <w:r w:rsidRPr="00080378">
        <w:rPr>
          <w:rFonts w:cs="Times New Roman"/>
          <w:b/>
          <w:szCs w:val="24"/>
        </w:rPr>
        <w:t xml:space="preserve">проекта </w:t>
      </w:r>
      <w:r w:rsidR="00D63602">
        <w:rPr>
          <w:rFonts w:cs="Times New Roman"/>
          <w:b/>
          <w:szCs w:val="24"/>
        </w:rPr>
        <w:t>указания</w:t>
      </w:r>
      <w:r w:rsidRPr="00080378">
        <w:rPr>
          <w:rFonts w:cs="Times New Roman"/>
          <w:b/>
          <w:szCs w:val="24"/>
        </w:rPr>
        <w:t xml:space="preserve"> Банка России «</w:t>
      </w:r>
      <w:r w:rsidR="00D63602" w:rsidRPr="00D63602">
        <w:rPr>
          <w:rFonts w:cs="Times New Roman"/>
          <w:b/>
          <w:szCs w:val="24"/>
        </w:rPr>
        <w:t>О внесении изменений в Положение Банка России</w:t>
      </w:r>
    </w:p>
    <w:p w14:paraId="2142ABC6" w14:textId="77777777" w:rsidR="009A0C51" w:rsidRDefault="00D63602" w:rsidP="007C0617">
      <w:pPr>
        <w:jc w:val="center"/>
        <w:rPr>
          <w:rFonts w:cs="Times New Roman"/>
          <w:b/>
          <w:szCs w:val="24"/>
        </w:rPr>
      </w:pPr>
      <w:r w:rsidRPr="00D63602">
        <w:rPr>
          <w:rFonts w:cs="Times New Roman"/>
          <w:b/>
          <w:szCs w:val="24"/>
        </w:rPr>
        <w:t>от 3 декабря 2015 года № 511-П «О порядке расчета кредитными организациями величины рыночного риска»</w:t>
      </w:r>
    </w:p>
    <w:p w14:paraId="15C49C88" w14:textId="77777777" w:rsidR="00922F8B" w:rsidRPr="006E14A8" w:rsidRDefault="00922F8B" w:rsidP="00922F8B">
      <w:pPr>
        <w:jc w:val="center"/>
        <w:rPr>
          <w:b/>
        </w:rPr>
      </w:pPr>
    </w:p>
    <w:p w14:paraId="32B5B977" w14:textId="77777777" w:rsidR="009A0C51" w:rsidRPr="007C0617" w:rsidRDefault="009A0C51" w:rsidP="007C0617"/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103"/>
        <w:gridCol w:w="1702"/>
        <w:gridCol w:w="6095"/>
      </w:tblGrid>
      <w:tr w:rsidR="00BF0620" w:rsidRPr="007C0617" w14:paraId="311E8951" w14:textId="77777777" w:rsidTr="006002F9">
        <w:trPr>
          <w:tblHeader/>
        </w:trPr>
        <w:tc>
          <w:tcPr>
            <w:tcW w:w="710" w:type="dxa"/>
          </w:tcPr>
          <w:p w14:paraId="0098DC95" w14:textId="77777777" w:rsidR="00BF0620" w:rsidRPr="007C0617" w:rsidRDefault="00BF0620" w:rsidP="00D5242C">
            <w:pPr>
              <w:spacing w:line="240" w:lineRule="auto"/>
              <w:jc w:val="center"/>
            </w:pPr>
            <w:bookmarkStart w:id="0" w:name="OLE_LINK1"/>
            <w:r w:rsidRPr="007C0617">
              <w:t>№ п/п</w:t>
            </w:r>
          </w:p>
        </w:tc>
        <w:tc>
          <w:tcPr>
            <w:tcW w:w="1275" w:type="dxa"/>
          </w:tcPr>
          <w:p w14:paraId="0352E526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Номер пункта в прежней редакции</w:t>
            </w:r>
          </w:p>
        </w:tc>
        <w:tc>
          <w:tcPr>
            <w:tcW w:w="5103" w:type="dxa"/>
          </w:tcPr>
          <w:p w14:paraId="1E2D8BF2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Содержание предложения или замечания</w:t>
            </w:r>
          </w:p>
        </w:tc>
        <w:tc>
          <w:tcPr>
            <w:tcW w:w="1702" w:type="dxa"/>
          </w:tcPr>
          <w:p w14:paraId="470EC3A4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Решение</w:t>
            </w:r>
          </w:p>
        </w:tc>
        <w:tc>
          <w:tcPr>
            <w:tcW w:w="6095" w:type="dxa"/>
          </w:tcPr>
          <w:p w14:paraId="1C7434E9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Пояснение</w:t>
            </w:r>
          </w:p>
        </w:tc>
      </w:tr>
      <w:tr w:rsidR="00BF0620" w:rsidRPr="007C0617" w14:paraId="01E66B25" w14:textId="77777777" w:rsidTr="006002F9">
        <w:trPr>
          <w:tblHeader/>
        </w:trPr>
        <w:tc>
          <w:tcPr>
            <w:tcW w:w="710" w:type="dxa"/>
          </w:tcPr>
          <w:p w14:paraId="7B86A484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1</w:t>
            </w:r>
          </w:p>
        </w:tc>
        <w:tc>
          <w:tcPr>
            <w:tcW w:w="1275" w:type="dxa"/>
          </w:tcPr>
          <w:p w14:paraId="77624FB7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2</w:t>
            </w:r>
          </w:p>
        </w:tc>
        <w:tc>
          <w:tcPr>
            <w:tcW w:w="5103" w:type="dxa"/>
          </w:tcPr>
          <w:p w14:paraId="119911C0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3</w:t>
            </w:r>
          </w:p>
        </w:tc>
        <w:tc>
          <w:tcPr>
            <w:tcW w:w="1702" w:type="dxa"/>
          </w:tcPr>
          <w:p w14:paraId="22DD907C" w14:textId="77777777" w:rsidR="00BF0620" w:rsidRPr="007C0617" w:rsidRDefault="00BF0620" w:rsidP="00D5242C">
            <w:pPr>
              <w:spacing w:line="240" w:lineRule="auto"/>
              <w:jc w:val="center"/>
            </w:pPr>
            <w:r w:rsidRPr="007C0617">
              <w:t>5</w:t>
            </w:r>
          </w:p>
        </w:tc>
        <w:tc>
          <w:tcPr>
            <w:tcW w:w="6095" w:type="dxa"/>
          </w:tcPr>
          <w:p w14:paraId="28FCB632" w14:textId="77777777" w:rsidR="00BF0620" w:rsidRPr="007C0617" w:rsidRDefault="00BF0620" w:rsidP="00D5242C">
            <w:pPr>
              <w:spacing w:line="240" w:lineRule="auto"/>
              <w:jc w:val="center"/>
            </w:pPr>
          </w:p>
        </w:tc>
      </w:tr>
      <w:tr w:rsidR="00BF0620" w:rsidRPr="007C0617" w14:paraId="2FB43000" w14:textId="77777777" w:rsidTr="006002F9">
        <w:tc>
          <w:tcPr>
            <w:tcW w:w="710" w:type="dxa"/>
            <w:shd w:val="clear" w:color="auto" w:fill="auto"/>
          </w:tcPr>
          <w:p w14:paraId="7FA908C9" w14:textId="27F904A5" w:rsidR="00BF0620" w:rsidRDefault="00BF0620" w:rsidP="004417D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2C2F685" w14:textId="77777777" w:rsidR="00BF0620" w:rsidRDefault="00BF0620" w:rsidP="004417D5">
            <w:pPr>
              <w:spacing w:line="240" w:lineRule="auto"/>
            </w:pPr>
            <w:r>
              <w:t>1.1</w:t>
            </w:r>
          </w:p>
        </w:tc>
        <w:tc>
          <w:tcPr>
            <w:tcW w:w="5103" w:type="dxa"/>
            <w:shd w:val="clear" w:color="auto" w:fill="auto"/>
          </w:tcPr>
          <w:p w14:paraId="5C77FB4C" w14:textId="77777777" w:rsidR="00BF0620" w:rsidRDefault="00BF0620" w:rsidP="004417D5">
            <w:pPr>
              <w:spacing w:line="240" w:lineRule="auto"/>
            </w:pPr>
            <w:r>
              <w:t>В соответствии с абзацем четвертым пункта 1.1 Проекта в расчет рыночного риска включаются ценные бумаги «переданные в доверительное управление или приобретенные доверительным управляющим в интересах кредитной организации для совершения сделок в целях совершения операций купли-продажи в краткосрочной перспективе».</w:t>
            </w:r>
          </w:p>
          <w:p w14:paraId="01F0682E" w14:textId="77777777" w:rsidR="00BF0620" w:rsidRDefault="00BF0620" w:rsidP="004417D5">
            <w:pPr>
              <w:spacing w:line="240" w:lineRule="auto"/>
            </w:pPr>
          </w:p>
          <w:p w14:paraId="7ED970D1" w14:textId="77777777" w:rsidR="00BF0620" w:rsidRPr="00850861" w:rsidRDefault="00BF0620" w:rsidP="004417D5">
            <w:pPr>
              <w:spacing w:line="240" w:lineRule="auto"/>
            </w:pPr>
            <w:r>
              <w:t>Должен ли банк при расчете обязательных нормативов исключать вложения в ценные бумаги, указанные в пункте 1.1 Проекта, из расчета кода 8823 (активы, переданные в доверительное управление)?</w:t>
            </w:r>
          </w:p>
        </w:tc>
        <w:tc>
          <w:tcPr>
            <w:tcW w:w="1702" w:type="dxa"/>
            <w:shd w:val="clear" w:color="auto" w:fill="auto"/>
          </w:tcPr>
          <w:p w14:paraId="3F646D5E" w14:textId="09BE1788" w:rsidR="00BF0620" w:rsidRPr="00813EEF" w:rsidRDefault="00BF0620" w:rsidP="004417D5">
            <w:pPr>
              <w:spacing w:line="240" w:lineRule="auto"/>
            </w:pPr>
            <w:r>
              <w:t>Вопрос в целях пояснения</w:t>
            </w:r>
          </w:p>
        </w:tc>
        <w:tc>
          <w:tcPr>
            <w:tcW w:w="6095" w:type="dxa"/>
            <w:shd w:val="clear" w:color="auto" w:fill="auto"/>
          </w:tcPr>
          <w:p w14:paraId="0AC481CC" w14:textId="6041D752" w:rsidR="00BF0620" w:rsidRDefault="00BF0620" w:rsidP="00125893">
            <w:pPr>
              <w:spacing w:line="240" w:lineRule="auto"/>
            </w:pPr>
            <w:r>
              <w:t>В соответствии с подпунктом 2.3.21 пункта 2.3 Инструкции Банка России № 180-И в</w:t>
            </w:r>
            <w:r w:rsidRPr="00A364C9">
              <w:t xml:space="preserve"> расчет активов, взвешенных по уровню риска, в части вложений в акции и долговые обязательства включаются только те вложения в акции и долговые обязательства, по которым не рассчитывается рыночный риск.</w:t>
            </w:r>
            <w:r>
              <w:t xml:space="preserve"> Вложения в ценные бумаги, подлежащие включению в расчет рыночного риска, в том числе с учетом изменений, вносимых проектом указания, в расчет кода 8823 не включаются. </w:t>
            </w:r>
          </w:p>
        </w:tc>
      </w:tr>
      <w:tr w:rsidR="00BF0620" w:rsidRPr="007C0617" w14:paraId="249DC293" w14:textId="77777777" w:rsidTr="006002F9">
        <w:tc>
          <w:tcPr>
            <w:tcW w:w="710" w:type="dxa"/>
            <w:shd w:val="clear" w:color="auto" w:fill="auto"/>
          </w:tcPr>
          <w:p w14:paraId="2EA22F04" w14:textId="3FD1F79C" w:rsidR="00BF0620" w:rsidRPr="00A364C9" w:rsidRDefault="00BF0620" w:rsidP="004417D5">
            <w:pPr>
              <w:spacing w:line="240" w:lineRule="auto"/>
              <w:jc w:val="center"/>
            </w:pPr>
            <w:r>
              <w:rPr>
                <w:lang w:val="en-US"/>
              </w:rPr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EF27D14" w14:textId="77777777" w:rsidR="00BF0620" w:rsidRDefault="00BF0620" w:rsidP="004417D5">
            <w:pPr>
              <w:spacing w:line="240" w:lineRule="auto"/>
            </w:pPr>
            <w:r>
              <w:t>1.1</w:t>
            </w:r>
          </w:p>
        </w:tc>
        <w:tc>
          <w:tcPr>
            <w:tcW w:w="5103" w:type="dxa"/>
            <w:shd w:val="clear" w:color="auto" w:fill="auto"/>
          </w:tcPr>
          <w:p w14:paraId="57B52CD3" w14:textId="46F3D783" w:rsidR="00BF0620" w:rsidRDefault="00BF0620" w:rsidP="004417D5">
            <w:pPr>
              <w:spacing w:line="240" w:lineRule="auto"/>
            </w:pPr>
            <w:proofErr w:type="gramStart"/>
            <w:r>
              <w:t xml:space="preserve">В абзаце 5 пункта 1.1 Проекта определено, что начиная с 01.01.2019 в расчет рыночного риска включаются ценные бумаги с учетом внебалансовых требований и обязательств по договорам купли-продажи ценных бумаг, по которым дата первоначального признания и прекращения признания ценных бумаг не </w:t>
            </w:r>
            <w:r>
              <w:lastRenderedPageBreak/>
              <w:t>наступила на дату расчета рыночного риска, и на которые не распространяется Положение Банка России от 04.07.2011 № 372-П «О</w:t>
            </w:r>
            <w:r w:rsidRPr="005B431E">
              <w:t xml:space="preserve"> порядке бухгалтерского</w:t>
            </w:r>
            <w:proofErr w:type="gramEnd"/>
            <w:r w:rsidRPr="005B431E">
              <w:t xml:space="preserve"> учета производных финансовых инструментов</w:t>
            </w:r>
            <w:r>
              <w:t>».</w:t>
            </w:r>
          </w:p>
          <w:p w14:paraId="5C857C35" w14:textId="64CD0085" w:rsidR="00BF0620" w:rsidRPr="00850861" w:rsidRDefault="00BF0620" w:rsidP="00BA024C">
            <w:pPr>
              <w:spacing w:line="240" w:lineRule="auto"/>
            </w:pPr>
            <w:r>
              <w:t xml:space="preserve">При этом в главе 2 «Порядок расчета величины процентного риска» и главе 3 «Порядок расчета величины фондового риска» нет указания, что соответствующие ценные бумаги включаются в расчет с учетом внебалансовых требований и обязательств по сделкам спот. Во избежание некорректного </w:t>
            </w:r>
            <w:proofErr w:type="spellStart"/>
            <w:r>
              <w:t>трактования</w:t>
            </w:r>
            <w:proofErr w:type="spellEnd"/>
            <w:r>
              <w:t xml:space="preserve"> порядка включения вышеуказанных ценных бумаг предлагаем дополнить пункты 2.1 и 3.1 соответствующими положениями.</w:t>
            </w:r>
          </w:p>
        </w:tc>
        <w:tc>
          <w:tcPr>
            <w:tcW w:w="1702" w:type="dxa"/>
            <w:shd w:val="clear" w:color="auto" w:fill="auto"/>
          </w:tcPr>
          <w:p w14:paraId="3FF4A48B" w14:textId="77777777" w:rsidR="00BF0620" w:rsidRDefault="00BF0620" w:rsidP="004417D5">
            <w:pPr>
              <w:spacing w:line="240" w:lineRule="auto"/>
            </w:pPr>
            <w:r>
              <w:lastRenderedPageBreak/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275936F3" w14:textId="2799E11C" w:rsidR="00BF0620" w:rsidRDefault="00BF0620" w:rsidP="00422405">
            <w:pPr>
              <w:spacing w:line="240" w:lineRule="auto"/>
            </w:pPr>
            <w:r>
              <w:t xml:space="preserve">В соответствии со структурой Положения Банка России № 511-П перечень активов и обязательств, формируемых в результате различных видов сделок, включаемых в расчет рыночного риска, устанавливается в пункте 1.1 Положения Банка России № 511-П. При этом в пунктах 2.1, 3.1 и 4.1 Положения Банка России № 511-П детализируются нормы, приведенные в пункте </w:t>
            </w:r>
            <w:r>
              <w:lastRenderedPageBreak/>
              <w:t>1.1, в части отдельных типов инструментов, включаемых в расчет конкретного вида рыночного риска, в связи с чем дублирование норм пункта 1.1 в пунктах 2.1, 3.1 и 4.1 избыточно.</w:t>
            </w:r>
          </w:p>
        </w:tc>
      </w:tr>
      <w:tr w:rsidR="00BF0620" w:rsidRPr="007C0617" w14:paraId="2952F863" w14:textId="77777777" w:rsidTr="006002F9">
        <w:tc>
          <w:tcPr>
            <w:tcW w:w="710" w:type="dxa"/>
            <w:shd w:val="clear" w:color="auto" w:fill="auto"/>
          </w:tcPr>
          <w:p w14:paraId="533E4104" w14:textId="7514E6BF" w:rsidR="00BF0620" w:rsidRPr="00C067F0" w:rsidRDefault="00BF0620" w:rsidP="00C40380">
            <w:pPr>
              <w:spacing w:line="240" w:lineRule="auto"/>
              <w:jc w:val="center"/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3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511876" w14:textId="77777777" w:rsidR="00BF0620" w:rsidRDefault="00BF0620" w:rsidP="00C40380">
            <w:pPr>
              <w:spacing w:line="240" w:lineRule="auto"/>
            </w:pPr>
            <w:r>
              <w:t>1.1, 1.24</w:t>
            </w:r>
          </w:p>
        </w:tc>
        <w:tc>
          <w:tcPr>
            <w:tcW w:w="5103" w:type="dxa"/>
            <w:shd w:val="clear" w:color="auto" w:fill="auto"/>
          </w:tcPr>
          <w:p w14:paraId="402430D2" w14:textId="77777777" w:rsidR="00BF0620" w:rsidRDefault="00BF0620" w:rsidP="00C40380">
            <w:pPr>
              <w:spacing w:line="240" w:lineRule="auto"/>
            </w:pPr>
            <w:r>
              <w:t>“Пункт 1.1. в абзаце пятом после слова «также» дополнить словами «внебалансовых требований и обязательств», дополнить словами «, и требований и обязательств по поставке товаров, включая драгоценные металлы (кроме золота), по договорам, по которым дата заключения договора не совпадает с датой его исполнения, на которые не распространяется Положение Банка России № 372-П»;”</w:t>
            </w:r>
          </w:p>
          <w:p w14:paraId="4771CCD8" w14:textId="77777777" w:rsidR="00BF0620" w:rsidRDefault="00BF0620" w:rsidP="00C40380">
            <w:pPr>
              <w:spacing w:line="240" w:lineRule="auto"/>
            </w:pPr>
          </w:p>
          <w:p w14:paraId="73CC4B2A" w14:textId="77777777" w:rsidR="00BF0620" w:rsidRDefault="00BF0620" w:rsidP="00C40380">
            <w:pPr>
              <w:spacing w:line="240" w:lineRule="auto"/>
            </w:pPr>
            <w:r>
              <w:t xml:space="preserve">Просим уточнить, что из данного пункта исключаются контракты предоплаты </w:t>
            </w:r>
            <w:r>
              <w:lastRenderedPageBreak/>
              <w:t>физической поставки сырья с мгновенной передачей права собственности – «</w:t>
            </w:r>
            <w:proofErr w:type="spellStart"/>
            <w:r>
              <w:t>flash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» (за исключением случаев, когда имело место неисполнение контрагентом своих обязательств, т.е. событие дефолта, и права собственности на актив перешли Банку), т.к. по таким контрактам отсутствует рыночный риск.</w:t>
            </w:r>
          </w:p>
          <w:p w14:paraId="7F6C7C25" w14:textId="77777777" w:rsidR="00BF0620" w:rsidRDefault="00BF0620" w:rsidP="00C40380">
            <w:pPr>
              <w:spacing w:line="240" w:lineRule="auto"/>
            </w:pPr>
            <w:r>
              <w:t>Контракт предоплаты физической поставки сырья с мгновенной передачей права собственности – «</w:t>
            </w:r>
            <w:proofErr w:type="spellStart"/>
            <w:r>
              <w:t>flash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» – это контракт, предполагающий 3 основных этапа: </w:t>
            </w:r>
          </w:p>
          <w:p w14:paraId="7FE39B3D" w14:textId="77777777" w:rsidR="00BF0620" w:rsidRDefault="00BF0620" w:rsidP="00C40380">
            <w:pPr>
              <w:spacing w:line="240" w:lineRule="auto"/>
            </w:pPr>
            <w:r>
              <w:t xml:space="preserve">1. Банк </w:t>
            </w:r>
            <w:proofErr w:type="spellStart"/>
            <w:r>
              <w:t>предоплачивает</w:t>
            </w:r>
            <w:proofErr w:type="spellEnd"/>
            <w:r>
              <w:t xml:space="preserve"> будущую физическую поставку сырья контрагентом-поставщиком конечному покупателю без получения права собственности на сырье. Таким образом Банк берет на себя кредитный риск контрагента. </w:t>
            </w:r>
          </w:p>
          <w:p w14:paraId="59C7607B" w14:textId="77777777" w:rsidR="00BF0620" w:rsidRDefault="00BF0620" w:rsidP="00C40380">
            <w:pPr>
              <w:spacing w:line="240" w:lineRule="auto"/>
            </w:pPr>
            <w:r>
              <w:t xml:space="preserve">2. В момент физической поставки сырья Банк осуществляет мгновенную передачу права собственности от контрагента-поставщика сырья конечному покупателю. Таким образом Банк не берет на себя рыночный риск изменения цены сырьевого товара ни в какой момент времени в течение срока исполнения контракта. </w:t>
            </w:r>
          </w:p>
          <w:p w14:paraId="50CD291F" w14:textId="77777777" w:rsidR="00BF0620" w:rsidRDefault="00BF0620" w:rsidP="00C40380">
            <w:pPr>
              <w:spacing w:line="240" w:lineRule="auto"/>
            </w:pPr>
            <w:r>
              <w:t xml:space="preserve">3. Конечный покупатель оплачивает получение товара Банку, который, в свою очередь, погашает задолженность поставщика по </w:t>
            </w:r>
            <w:r>
              <w:lastRenderedPageBreak/>
              <w:t xml:space="preserve">предоплате из стоимости поставленного товара. </w:t>
            </w:r>
          </w:p>
          <w:p w14:paraId="69AF6D51" w14:textId="77777777" w:rsidR="00BF0620" w:rsidRPr="00850861" w:rsidRDefault="00BF0620" w:rsidP="00C40380">
            <w:pPr>
              <w:spacing w:line="240" w:lineRule="auto"/>
            </w:pPr>
            <w:r>
              <w:t>Исходя из условий контракта «</w:t>
            </w:r>
            <w:proofErr w:type="spellStart"/>
            <w:r>
              <w:t>flash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», считаем необходимым уточнить в тексте Положения 511-П исключение данного типа контракта из расчета рыночного риска.</w:t>
            </w:r>
          </w:p>
        </w:tc>
        <w:tc>
          <w:tcPr>
            <w:tcW w:w="1702" w:type="dxa"/>
            <w:shd w:val="clear" w:color="auto" w:fill="auto"/>
          </w:tcPr>
          <w:p w14:paraId="7AAC37D6" w14:textId="14F68DD0" w:rsidR="00BF0620" w:rsidRDefault="00BF0620" w:rsidP="00C95805">
            <w:pPr>
              <w:spacing w:line="240" w:lineRule="auto"/>
            </w:pPr>
            <w:r>
              <w:lastRenderedPageBreak/>
              <w:t xml:space="preserve">Не принимается </w:t>
            </w:r>
          </w:p>
        </w:tc>
        <w:tc>
          <w:tcPr>
            <w:tcW w:w="6095" w:type="dxa"/>
            <w:shd w:val="clear" w:color="auto" w:fill="auto"/>
          </w:tcPr>
          <w:p w14:paraId="3BE7090C" w14:textId="319A015C" w:rsidR="00BF0620" w:rsidRDefault="00BF0620" w:rsidP="00757190">
            <w:pPr>
              <w:spacing w:line="240" w:lineRule="auto"/>
            </w:pPr>
            <w:r>
              <w:t xml:space="preserve">В соответствии с пунктом 1.1 и абзацем первым пункта 1.4 Положения Банка России № 511-П в расчет товарного риска включаются позиции по товарным активам, обращающимся на организованном рынке, а также позиции, зависящие от изменения их стоимости, отражаемые на балансовых и внебалансовых счетах, в том числе сделки спот, предусматривающие куплю – продажу указанных активов и предполагающие передачу права собственности на товарный актив, что отличается от описанных кредитной организацией сделок. С учетом  информации, дополнительно предоставленной банком и свидетельствующей о том, что товарная позиция у банка по рассматриваемым в </w:t>
            </w:r>
            <w:r>
              <w:lastRenderedPageBreak/>
              <w:t xml:space="preserve">вопросе сделкам отсутствует, внесение изменений в проект не требуется. </w:t>
            </w:r>
          </w:p>
        </w:tc>
      </w:tr>
      <w:tr w:rsidR="00BF0620" w:rsidRPr="007C0617" w14:paraId="15E3C868" w14:textId="77777777" w:rsidTr="006002F9">
        <w:tc>
          <w:tcPr>
            <w:tcW w:w="710" w:type="dxa"/>
            <w:shd w:val="clear" w:color="auto" w:fill="auto"/>
          </w:tcPr>
          <w:p w14:paraId="6F0FBE6F" w14:textId="3DE52DBD" w:rsidR="00BF0620" w:rsidRDefault="00BF0620" w:rsidP="00C4038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A09ABAC" w14:textId="77777777" w:rsidR="00BF0620" w:rsidRDefault="00BF0620" w:rsidP="00C40380">
            <w:pPr>
              <w:spacing w:line="240" w:lineRule="auto"/>
            </w:pPr>
            <w:r>
              <w:t>1.1, 1.24</w:t>
            </w:r>
          </w:p>
        </w:tc>
        <w:tc>
          <w:tcPr>
            <w:tcW w:w="5103" w:type="dxa"/>
            <w:shd w:val="clear" w:color="auto" w:fill="auto"/>
          </w:tcPr>
          <w:p w14:paraId="700BCF5B" w14:textId="77777777" w:rsidR="00BF0620" w:rsidRPr="00EA10DC" w:rsidRDefault="00BF0620" w:rsidP="00C40380">
            <w:pPr>
              <w:spacing w:line="240" w:lineRule="auto"/>
            </w:pPr>
            <w:r w:rsidRPr="00EA10DC">
              <w:t xml:space="preserve">Проект вносит изменения в пункт 4.1 Положения Банка России № 511-П, а именно указывает, что товарный риск рассчитывается, в том числе по </w:t>
            </w:r>
            <w:proofErr w:type="spellStart"/>
            <w:r w:rsidRPr="00EA10DC">
              <w:t>внебалансовым</w:t>
            </w:r>
            <w:proofErr w:type="spellEnd"/>
            <w:r w:rsidRPr="00EA10DC">
              <w:t xml:space="preserve"> требованиям и обязательствам по поставке товаров по договорам, по которым дата заключения договора не совпадает с датой его исполнения, на которые не распространяется Положение Банка России от 04.07.2011 № 372-П «О порядке бухгалтерского учета производных финансовых инструментов».</w:t>
            </w:r>
          </w:p>
          <w:p w14:paraId="101EC927" w14:textId="77777777" w:rsidR="00BF0620" w:rsidRPr="00EA10DC" w:rsidRDefault="00BF0620" w:rsidP="00C40380">
            <w:pPr>
              <w:spacing w:line="240" w:lineRule="auto"/>
            </w:pPr>
            <w:r w:rsidRPr="00EA10DC">
              <w:t>При этом среди договоров, по которым дата заключения договора не совпадает с датой его исполнения, присутствуют договоры, расчеты по которым осуществляются по цене, рассчитываемой на определенную договором дату, а также договоры с отсутствующей датой расчетов. Данные договоры не несут товарный риск в связи с отсутствием зафиксированной в договоре цены или даты расчета.</w:t>
            </w:r>
          </w:p>
          <w:p w14:paraId="081790A6" w14:textId="77777777" w:rsidR="00BF0620" w:rsidRPr="00850861" w:rsidRDefault="00BF0620" w:rsidP="00C40380">
            <w:pPr>
              <w:spacing w:line="240" w:lineRule="auto"/>
            </w:pPr>
            <w:r w:rsidRPr="00EA10DC">
              <w:t xml:space="preserve">Предлагаем уточнить пункт 4.1 следующим образом: исключить из договоров, по которым </w:t>
            </w:r>
            <w:r w:rsidRPr="00EA10DC">
              <w:lastRenderedPageBreak/>
              <w:t>рассчитывается товарный риск, договоры, расчеты по которым осуществляются по цене, рассчитываемой на определенную договором дату, а также договоры с финансовыми инструментами в иностранной валюте или драгоценных металлах, с отсутствующей датой расчетов.</w:t>
            </w:r>
          </w:p>
        </w:tc>
        <w:tc>
          <w:tcPr>
            <w:tcW w:w="1702" w:type="dxa"/>
            <w:shd w:val="clear" w:color="auto" w:fill="auto"/>
          </w:tcPr>
          <w:p w14:paraId="3A39EF6D" w14:textId="48A41E48" w:rsidR="00BF0620" w:rsidRDefault="00BF0620" w:rsidP="00C40380">
            <w:pPr>
              <w:spacing w:line="240" w:lineRule="auto"/>
            </w:pPr>
            <w:r>
              <w:lastRenderedPageBreak/>
              <w:t>Принимается</w:t>
            </w:r>
          </w:p>
        </w:tc>
        <w:tc>
          <w:tcPr>
            <w:tcW w:w="6095" w:type="dxa"/>
            <w:shd w:val="clear" w:color="auto" w:fill="auto"/>
          </w:tcPr>
          <w:p w14:paraId="5BA2F6D2" w14:textId="38E02230" w:rsidR="00BF0620" w:rsidRDefault="00BF0620" w:rsidP="004738C6">
            <w:pPr>
              <w:spacing w:line="240" w:lineRule="auto"/>
            </w:pPr>
            <w:r>
              <w:t>Пункт 1.2 проекта указания дополнен нормой об исключении из расчета рыночного риска внебалансовых требований и обязательств по поставочным ПФИ или иным сделкам купли-продажи, расчеты и поставка активов по которым будут осуществляться по цене, которая будет определена на установленную договором дату, и (или) по которым отсутствует дата расчетов. Изменение пункта 4.1 Положения № 511-П при этом излишне (аналогично пояснению к пункту 2 настоящей таблицы).</w:t>
            </w:r>
          </w:p>
        </w:tc>
      </w:tr>
      <w:tr w:rsidR="00BF0620" w:rsidRPr="007C0617" w14:paraId="79D195FD" w14:textId="77777777" w:rsidTr="006002F9">
        <w:tc>
          <w:tcPr>
            <w:tcW w:w="710" w:type="dxa"/>
            <w:shd w:val="clear" w:color="auto" w:fill="auto"/>
          </w:tcPr>
          <w:p w14:paraId="5E8C09C2" w14:textId="1C188B59" w:rsidR="00BF0620" w:rsidRPr="00ED2C32" w:rsidRDefault="00BF0620" w:rsidP="00C40380">
            <w:pPr>
              <w:spacing w:line="240" w:lineRule="auto"/>
              <w:jc w:val="center"/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5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D5F385C" w14:textId="77777777" w:rsidR="00BF0620" w:rsidRDefault="00BF0620" w:rsidP="00220370">
            <w:pPr>
              <w:spacing w:line="240" w:lineRule="auto"/>
              <w:jc w:val="left"/>
            </w:pPr>
            <w:r>
              <w:t>1.7</w:t>
            </w:r>
          </w:p>
        </w:tc>
        <w:tc>
          <w:tcPr>
            <w:tcW w:w="5103" w:type="dxa"/>
            <w:shd w:val="clear" w:color="auto" w:fill="auto"/>
          </w:tcPr>
          <w:p w14:paraId="0901F5F2" w14:textId="77777777" w:rsidR="00BF0620" w:rsidRPr="00C26C3A" w:rsidRDefault="00BF0620" w:rsidP="00C40380">
            <w:pPr>
              <w:spacing w:line="240" w:lineRule="auto"/>
            </w:pPr>
            <w:r w:rsidRPr="00C26C3A">
              <w:t>Предлагается дополнить Проект указания нормами, конкретизирующими порядок определения величины дополнительного оценочного снижения справедливой стоимости, обусловленное низкой активностью и низкой ликвидностью рынка.</w:t>
            </w:r>
          </w:p>
          <w:p w14:paraId="2B44F432" w14:textId="710745D6" w:rsidR="00BF0620" w:rsidRPr="00C26C3A" w:rsidRDefault="00BF0620" w:rsidP="00C40380">
            <w:pPr>
              <w:spacing w:line="240" w:lineRule="auto"/>
            </w:pPr>
            <w:r w:rsidRPr="00C26C3A">
              <w:t>В частности, в случае возникновения дополнительного оценочного снижения справедливой стоимости товаров, обращающихся на организованном рынке, характеризующемся низкой активностью и низкой ликвидностью, которые приняты в залог по размещенным средствам (например, в качестве обеспечения по кредитам), банк обязан, в соответствии с требованиями п</w:t>
            </w:r>
            <w:r>
              <w:t>ункта</w:t>
            </w:r>
            <w:r w:rsidRPr="00C26C3A">
              <w:t xml:space="preserve"> 1.8, корректировать величину остатков, числящихся на соответствующих балансовых счетах, относящихся к результатам их переоценки, и включаемых в расчет финансового результата банка, определяемого в соответствии с подпунктом 2.1.7 и (или) </w:t>
            </w:r>
            <w:r w:rsidRPr="00C26C3A">
              <w:lastRenderedPageBreak/>
              <w:t>2.1.8, и (или) 2.2.7, и (или) 2.2.8 пункта 2 и (или) подпунктом 3.1.6 и (или) 3.1.7 пункта 3 Положения Банка России N 395-П (далее – корректировка капитала).</w:t>
            </w:r>
          </w:p>
          <w:p w14:paraId="0F58ED3F" w14:textId="67D74054" w:rsidR="00BF0620" w:rsidRPr="00C26C3A" w:rsidRDefault="00BF0620" w:rsidP="00757190">
            <w:pPr>
              <w:spacing w:line="240" w:lineRule="auto"/>
            </w:pPr>
            <w:r w:rsidRPr="00C26C3A">
              <w:t xml:space="preserve">Однако существует особенность осуществления корректировки капитала банка на величину дополнительного оценочного снижения справедливой стоимости товаров, обращающихся на организованном рынке, принятых в залог. В частности, в случае, если величина принятого в залог товара превышает созданный по размещенным средствам резерв, в обеспечение которых он принят, то в расчет товарного риска включается величина, не превышающая величину резерва. Допустим, в отношении рассматриваемого товара возникло дополнительное оценочное снижение, и, в соответствии с внутренней методикой банка, определена его величина, на которую должен быть скорректирован капитал банка. Далее, соблюдая принцип пропорциональности, необходимо осуществить соответствующую корректировку справедливой стоимости товара, включаемого в расчет товарного риска. В результате проведенной корректировки величина справедливой стоимости товара по-прежнему превышает созданный по размещенным средствам резерв, в обеспечение </w:t>
            </w:r>
            <w:r w:rsidRPr="00C26C3A">
              <w:lastRenderedPageBreak/>
              <w:t>которых он принят. Таким образом, величина товарного риска будет такой же, как до возникновения дополнительного оценочного снижения справедливой стоимости товара. Обобщая вышеизложенное и исходя из принципа пропорциональности, корректировка капитала на величину дополнительного оценочного снижения справедливой стоимости товара, не может быть осуществлена. Рассмотренный пример не является исключительным в деятельности банков, при этом действующее Положение №511-П не предполагает возможность отсутствия корректировки капитала банка. В данной связи предлагаю конкретизировать механизм применения дополнительного оценочного снижения.</w:t>
            </w:r>
          </w:p>
        </w:tc>
        <w:tc>
          <w:tcPr>
            <w:tcW w:w="1702" w:type="dxa"/>
            <w:shd w:val="clear" w:color="auto" w:fill="auto"/>
          </w:tcPr>
          <w:p w14:paraId="7438B6D2" w14:textId="01D16A7B" w:rsidR="00BF0620" w:rsidRDefault="00BF0620" w:rsidP="00C40380">
            <w:pPr>
              <w:spacing w:line="240" w:lineRule="auto"/>
            </w:pPr>
            <w:r>
              <w:lastRenderedPageBreak/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3ECA815D" w14:textId="267FCE4C" w:rsidR="00BF0620" w:rsidRDefault="00BF0620" w:rsidP="002D21D6">
            <w:pPr>
              <w:spacing w:line="240" w:lineRule="auto"/>
            </w:pPr>
            <w:r>
              <w:t>Данная тема не является предметом проекта указания и будет рассмотрена дополнительно.</w:t>
            </w:r>
          </w:p>
        </w:tc>
      </w:tr>
      <w:tr w:rsidR="00BF0620" w:rsidRPr="007C0617" w14:paraId="6B8B2B3E" w14:textId="77777777" w:rsidTr="006002F9">
        <w:trPr>
          <w:trHeight w:val="818"/>
        </w:trPr>
        <w:tc>
          <w:tcPr>
            <w:tcW w:w="710" w:type="dxa"/>
            <w:shd w:val="clear" w:color="auto" w:fill="auto"/>
          </w:tcPr>
          <w:p w14:paraId="7873F681" w14:textId="74A68715" w:rsidR="00BF0620" w:rsidRPr="00A02581" w:rsidRDefault="00BF0620" w:rsidP="004417D5">
            <w:pPr>
              <w:spacing w:line="240" w:lineRule="auto"/>
              <w:jc w:val="center"/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6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3C4ACC6" w14:textId="77777777" w:rsidR="00BF0620" w:rsidRDefault="00BF0620" w:rsidP="004417D5">
            <w:pPr>
              <w:spacing w:line="240" w:lineRule="auto"/>
            </w:pPr>
            <w:r>
              <w:t>1.12</w:t>
            </w:r>
          </w:p>
        </w:tc>
        <w:tc>
          <w:tcPr>
            <w:tcW w:w="5103" w:type="dxa"/>
            <w:shd w:val="clear" w:color="auto" w:fill="auto"/>
          </w:tcPr>
          <w:p w14:paraId="7B24EFC8" w14:textId="77777777" w:rsidR="00BF0620" w:rsidRPr="00885228" w:rsidRDefault="00BF0620" w:rsidP="004417D5">
            <w:pPr>
              <w:spacing w:line="240" w:lineRule="auto"/>
            </w:pPr>
            <w:r w:rsidRPr="00885228">
              <w:t>Пункт 1.12 Проекта указывает, что в расчет специального процентного риска не включаются позиции по ценным бумагам, являющимся инструментами секьюритизации или инструментами повторной секьюритизации, в части, обеспеченной иными рисковыми позициями, определенными в соответствии с пунктом 1 Положения Банка России «О порядке расчета банками величины риска по сделкам секьюритизации».</w:t>
            </w:r>
          </w:p>
          <w:p w14:paraId="530FD347" w14:textId="77777777" w:rsidR="00BF0620" w:rsidRPr="00885228" w:rsidRDefault="00BF0620" w:rsidP="004417D5">
            <w:pPr>
              <w:spacing w:line="240" w:lineRule="auto"/>
            </w:pPr>
            <w:r w:rsidRPr="00885228">
              <w:t xml:space="preserve">Предлагаем уточнить понятие «иных рисковых </w:t>
            </w:r>
            <w:r w:rsidRPr="00885228">
              <w:lastRenderedPageBreak/>
              <w:t>позиций», так как в пункте 1 ранее размещенного Проекта Положения Банка России «О порядке расчета банками величины риска по сделкам секьюритизации» данное понятие отсутствовало.</w:t>
            </w:r>
          </w:p>
        </w:tc>
        <w:tc>
          <w:tcPr>
            <w:tcW w:w="1702" w:type="dxa"/>
            <w:shd w:val="clear" w:color="auto" w:fill="auto"/>
          </w:tcPr>
          <w:p w14:paraId="4121BB87" w14:textId="755F3B3F" w:rsidR="00BF0620" w:rsidRDefault="00BF0620" w:rsidP="00247276">
            <w:pPr>
              <w:spacing w:line="240" w:lineRule="auto"/>
            </w:pPr>
            <w:r>
              <w:lastRenderedPageBreak/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4623EEC1" w14:textId="3100BE03" w:rsidR="00BF0620" w:rsidRDefault="00BF0620" w:rsidP="00FB3BBD">
            <w:pPr>
              <w:spacing w:line="240" w:lineRule="auto"/>
            </w:pPr>
            <w:r>
              <w:t xml:space="preserve">Словосочетание «иные рисковые позиции» используется в абзаце седьмом пункта 1.2 проекта </w:t>
            </w:r>
            <w:r w:rsidRPr="00885228">
              <w:t>Положения Банка России «О порядке расчета банками величины риска по сделкам секьюритизации»</w:t>
            </w:r>
            <w:r>
              <w:t xml:space="preserve"> (нормы пункта 1.12 проекта указания, предусматривающие исключение двойного счета риска в  определенных условиях, являются симметричными указанному выше абзацу). Ссылка на пункт 1 указанного Положения приведена в связи с тем, что в нем указаны возможные виды рисковых позиций.</w:t>
            </w:r>
          </w:p>
        </w:tc>
      </w:tr>
      <w:tr w:rsidR="00BF0620" w:rsidRPr="007C0617" w14:paraId="1073F6D2" w14:textId="77777777" w:rsidTr="006002F9">
        <w:tc>
          <w:tcPr>
            <w:tcW w:w="710" w:type="dxa"/>
          </w:tcPr>
          <w:p w14:paraId="5506CE27" w14:textId="77777777" w:rsidR="00BF0620" w:rsidRPr="000F31B4" w:rsidRDefault="00BF0620" w:rsidP="000A4BC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>
              <w:rPr>
                <w:lang w:val="en-US"/>
              </w:rPr>
              <w:instrText xml:space="preserve"> SEQ RowNum \* MERGEFORMAT </w:instrText>
            </w:r>
            <w:r>
              <w:rPr>
                <w:lang w:val="en-US"/>
              </w:rPr>
              <w:fldChar w:fldCharType="separate"/>
            </w:r>
            <w:r w:rsidR="00E20A86">
              <w:rPr>
                <w:noProof/>
                <w:lang w:val="en-US"/>
              </w:rPr>
              <w:t>7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011F85EA" w14:textId="77777777" w:rsidR="00BF0620" w:rsidRPr="0017563F" w:rsidRDefault="00BF0620" w:rsidP="0017563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1.14</w:t>
            </w:r>
            <w:r>
              <w:t>, 1.15,</w:t>
            </w:r>
            <w:r>
              <w:rPr>
                <w:lang w:val="en-US"/>
              </w:rPr>
              <w:t xml:space="preserve"> 1.16</w:t>
            </w:r>
          </w:p>
        </w:tc>
        <w:tc>
          <w:tcPr>
            <w:tcW w:w="5103" w:type="dxa"/>
          </w:tcPr>
          <w:p w14:paraId="31610A05" w14:textId="442E493C" w:rsidR="00BF0620" w:rsidRDefault="00BF0620" w:rsidP="00C57E98">
            <w:pPr>
              <w:spacing w:line="240" w:lineRule="auto"/>
            </w:pPr>
            <w:r>
              <w:t>Проектом указания предполагается отнесение основного количества ценных бумаг в категорию «среднего риска» в целях расчета специального процентного риска с одновременным отказом от использования кредитных рейтингов международных рейтинговых агентств, установленных на дату фиксации рейтингов. Указанные изменения могут привести к увеличению величины рыночного риска и величины капитала, требуемого на его покрытие. Увеличение потребности банков в капитале может привести к необходимости сокращения торгового портфеля банками, что окажет негативное влияни</w:t>
            </w:r>
            <w:r w:rsidR="000D254A">
              <w:t>е</w:t>
            </w:r>
            <w:r>
              <w:t xml:space="preserve"> н</w:t>
            </w:r>
            <w:r w:rsidR="000D254A">
              <w:t>а</w:t>
            </w:r>
            <w:r>
              <w:t xml:space="preserve"> фондовый рынок.</w:t>
            </w:r>
          </w:p>
          <w:p w14:paraId="72CA3B81" w14:textId="77777777" w:rsidR="00BF0620" w:rsidRDefault="00BF0620" w:rsidP="00C57E98">
            <w:pPr>
              <w:spacing w:line="240" w:lineRule="auto"/>
            </w:pPr>
            <w:r>
              <w:t>С учетом изложенного предлагается:</w:t>
            </w:r>
          </w:p>
          <w:p w14:paraId="5359B976" w14:textId="77777777" w:rsidR="00BF0620" w:rsidRDefault="00BF0620" w:rsidP="009A4E7D">
            <w:pPr>
              <w:spacing w:line="240" w:lineRule="auto"/>
            </w:pPr>
            <w:r>
              <w:t>- сохранить действие абзацев 10 и 11 подпункта 2.4.2 пункта 2.4 Положения Банка России от 03.12.2015 № 511-П «О</w:t>
            </w:r>
            <w:r w:rsidRPr="009A4E7D">
              <w:t xml:space="preserve"> порядке расчета кредитными организациями величины рыночного риска</w:t>
            </w:r>
            <w:r>
              <w:t>» (далее – Положение Банка России № 511-П) при условии отмены действия норм о фиксации рейтингов;</w:t>
            </w:r>
          </w:p>
          <w:p w14:paraId="342CD430" w14:textId="77777777" w:rsidR="00BF0620" w:rsidRDefault="00BF0620" w:rsidP="009A4E7D">
            <w:pPr>
              <w:spacing w:line="240" w:lineRule="auto"/>
            </w:pPr>
            <w:r>
              <w:lastRenderedPageBreak/>
              <w:t>- не объединять в целях расчета специального рыночного риска в категории бумаг со средним риском эмитентов с инвестиционным рейтингом с прочими эмитентами;</w:t>
            </w:r>
          </w:p>
          <w:p w14:paraId="36D4F3A1" w14:textId="77777777" w:rsidR="00BF0620" w:rsidRPr="00353EB2" w:rsidRDefault="00BF0620" w:rsidP="009A4E7D">
            <w:pPr>
              <w:spacing w:line="240" w:lineRule="auto"/>
            </w:pPr>
            <w:r>
              <w:t>- использовать рейтинги национальных кредитных рейтинговых агентств с целью классификации ценных бумаг по категориям специального процентного риска, в том числе, в целях классификации в категорию «низкий риск».</w:t>
            </w:r>
            <w:bookmarkStart w:id="1" w:name="_GoBack"/>
            <w:bookmarkEnd w:id="1"/>
          </w:p>
        </w:tc>
        <w:tc>
          <w:tcPr>
            <w:tcW w:w="1702" w:type="dxa"/>
          </w:tcPr>
          <w:p w14:paraId="50B799EC" w14:textId="77777777" w:rsidR="00BF0620" w:rsidRPr="007C0617" w:rsidRDefault="00BF0620" w:rsidP="00D5242C">
            <w:pPr>
              <w:spacing w:line="240" w:lineRule="auto"/>
            </w:pPr>
            <w:r>
              <w:lastRenderedPageBreak/>
              <w:t>Не принимается</w:t>
            </w:r>
          </w:p>
        </w:tc>
        <w:tc>
          <w:tcPr>
            <w:tcW w:w="6095" w:type="dxa"/>
          </w:tcPr>
          <w:p w14:paraId="2E98C1EF" w14:textId="16CBF3A3" w:rsidR="00BF0620" w:rsidRPr="004C5C21" w:rsidRDefault="00BF0620" w:rsidP="0075023B">
            <w:pPr>
              <w:spacing w:line="240" w:lineRule="auto"/>
            </w:pPr>
            <w:r w:rsidRPr="004C5C21">
              <w:t xml:space="preserve">В соответствии с информацией Банка России от 19.01.2015 «О датах рейтингов кредитоспособности при применении нормативных актов Банка России» даты рейтингов для кредитных организаций установлены по состоянию на 01.03.2014, для иных организаций – по состоянию на 01.12.2014, в настоящее время указанные оценки не являются актуальными и не отражают реальный кредитный риск по ценным бумагам, кроме того, значительное число ценных бумаг было эмитировано после фиксированных дат рейтинга. В связи с этим, а также в целях устранения асимметрии в оценке кредитного и рыночного риска проект указания реализует в отношении рыночного риска аналог упрощенного стандартизированного подхода Базеля </w:t>
            </w:r>
            <w:r w:rsidRPr="00767C47">
              <w:t>II</w:t>
            </w:r>
            <w:r w:rsidRPr="004C5C21">
              <w:t xml:space="preserve"> к расчету кредитного риска. </w:t>
            </w:r>
          </w:p>
          <w:p w14:paraId="0D37B23E" w14:textId="77777777" w:rsidR="00BF0620" w:rsidRDefault="00BF0620" w:rsidP="005D09FA">
            <w:pPr>
              <w:spacing w:line="240" w:lineRule="auto"/>
            </w:pPr>
            <w:r w:rsidRPr="004C5C21">
              <w:t>Дополнительно отмечаем, что использование рейтингов национальных рейтинговых агентств возможно только в случае их соответствия требованиям к рейтинговым агентствам, установленным Базелем II. Требования Базеля II к национальным рейтинговым агентствам в настоящее время не реализованы в нормативных актах Банка России.</w:t>
            </w:r>
          </w:p>
          <w:p w14:paraId="2CBDA0CF" w14:textId="77777777" w:rsidR="00BF0620" w:rsidRDefault="00BF0620" w:rsidP="00767C47">
            <w:pPr>
              <w:spacing w:line="240" w:lineRule="auto"/>
            </w:pPr>
            <w:r>
              <w:t xml:space="preserve">С целью анализа количественного влияния отказа от </w:t>
            </w:r>
            <w:r>
              <w:lastRenderedPageBreak/>
              <w:t>использования рейтингов кредитоспособности, присвоенных международными кредитными рейтинговыми агентствами, в целях классификации долговых ценных бумаг (за исключением инструментов секьюритизации и инструментов повторной секьюритизации) по группам специального процентного риска были запрошены оценочные данные об изменении значений нормативов достаточности капитала в случае вступления проекта указания</w:t>
            </w:r>
            <w:r w:rsidRPr="00F968C0">
              <w:t xml:space="preserve"> </w:t>
            </w:r>
            <w:r>
              <w:t>в силу от кредитных организаций и банковских ассоциаций, в рамках ОРВ сообщивших о потенциальном негативном влиянии данного изменения на фактическую величину нормативов достаточности капитала.</w:t>
            </w:r>
          </w:p>
          <w:p w14:paraId="3554C770" w14:textId="372F5180" w:rsidR="00BF0620" w:rsidRPr="004C5C21" w:rsidRDefault="00423CDE" w:rsidP="006002F9">
            <w:pPr>
              <w:spacing w:line="240" w:lineRule="auto"/>
            </w:pPr>
            <w:r>
              <w:t>По итогам проведенного анализа</w:t>
            </w:r>
            <w:r w:rsidR="00BF0620" w:rsidRPr="00A92516">
              <w:t xml:space="preserve"> влияние вносимых проектом указания изменений на фактические значения нормативов достаточности капитала, по мнению ДБР, не может рассматриваться как существенное и препятствующее вступлению проекта указания в силу.</w:t>
            </w:r>
          </w:p>
        </w:tc>
      </w:tr>
      <w:tr w:rsidR="00BF0620" w:rsidRPr="007C0617" w14:paraId="59E659EA" w14:textId="77777777" w:rsidTr="006002F9">
        <w:tc>
          <w:tcPr>
            <w:tcW w:w="710" w:type="dxa"/>
            <w:shd w:val="clear" w:color="auto" w:fill="auto"/>
          </w:tcPr>
          <w:p w14:paraId="4BD095AE" w14:textId="339921D9" w:rsidR="00BF0620" w:rsidRPr="00850861" w:rsidRDefault="00BF0620" w:rsidP="0088622A">
            <w:pPr>
              <w:spacing w:line="240" w:lineRule="auto"/>
              <w:jc w:val="center"/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8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C0B0151" w14:textId="77777777" w:rsidR="00BF0620" w:rsidRPr="005716AF" w:rsidRDefault="00BF0620" w:rsidP="00091762">
            <w:pPr>
              <w:spacing w:line="240" w:lineRule="auto"/>
            </w:pPr>
            <w:r>
              <w:t>1.15</w:t>
            </w:r>
          </w:p>
        </w:tc>
        <w:tc>
          <w:tcPr>
            <w:tcW w:w="5103" w:type="dxa"/>
            <w:shd w:val="clear" w:color="auto" w:fill="auto"/>
          </w:tcPr>
          <w:p w14:paraId="6D3E3061" w14:textId="77777777" w:rsidR="00BF0620" w:rsidRPr="007C0617" w:rsidRDefault="00BF0620" w:rsidP="00307343">
            <w:pPr>
              <w:spacing w:line="240" w:lineRule="auto"/>
            </w:pPr>
            <w:r w:rsidRPr="0010434F">
              <w:t>Необходимо исключить «и восьмом» поскольку восьмым абзацем будет являться абз</w:t>
            </w:r>
            <w:r>
              <w:t>ац</w:t>
            </w:r>
            <w:r w:rsidRPr="0010434F">
              <w:t xml:space="preserve"> 2 п</w:t>
            </w:r>
            <w:r>
              <w:t>ункта</w:t>
            </w:r>
            <w:r w:rsidRPr="0010434F">
              <w:t xml:space="preserve"> 1.15 Проекта, условия которого относятся к ценным бумагам, эмитированным банками.</w:t>
            </w:r>
          </w:p>
        </w:tc>
        <w:tc>
          <w:tcPr>
            <w:tcW w:w="1702" w:type="dxa"/>
            <w:shd w:val="clear" w:color="auto" w:fill="auto"/>
          </w:tcPr>
          <w:p w14:paraId="261D7ED6" w14:textId="77777777" w:rsidR="00BF0620" w:rsidRPr="007C0617" w:rsidRDefault="00BF0620" w:rsidP="00D5242C">
            <w:pPr>
              <w:spacing w:line="240" w:lineRule="auto"/>
            </w:pPr>
            <w:r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5497AD76" w14:textId="457A68A0" w:rsidR="00BF0620" w:rsidRPr="00A570CE" w:rsidRDefault="00BF0620" w:rsidP="00525FA3">
            <w:pPr>
              <w:spacing w:line="240" w:lineRule="auto"/>
            </w:pPr>
            <w:r>
              <w:t xml:space="preserve">Нормы, устанавливаемые абзацем вторым пункта 1.15 проекта указания, распространяются, в том числе, на ценные бумаги юридических лиц (за исключением банков), полностью обеспеченные гарантией (банковской гарантией), поручительством </w:t>
            </w:r>
            <w:r w:rsidRPr="007B53C0">
              <w:t xml:space="preserve">банка, созданного по законодательству страны, имеющей </w:t>
            </w:r>
            <w:proofErr w:type="spellStart"/>
            <w:r w:rsidRPr="007B53C0">
              <w:t>страновые</w:t>
            </w:r>
            <w:proofErr w:type="spellEnd"/>
            <w:r w:rsidRPr="007B53C0">
              <w:t xml:space="preserve"> оценки «3», «4», «5», «6»</w:t>
            </w:r>
            <w:r>
              <w:t xml:space="preserve">. Таким образом, исключение ссылки на абзац восьмой  подпункта 2.4.3 пункта 2.4 Положения Банка России № 511-П из абзаца третьего пункта 1.15 проекта указания не может быть </w:t>
            </w:r>
            <w:r>
              <w:lastRenderedPageBreak/>
              <w:t>принято, поскольку приведет к дублированию норм в отношении указанных выше ценных бумаг.</w:t>
            </w:r>
          </w:p>
        </w:tc>
      </w:tr>
      <w:tr w:rsidR="00BF0620" w:rsidRPr="007C0617" w14:paraId="30FA1FB7" w14:textId="77777777" w:rsidTr="006002F9">
        <w:tc>
          <w:tcPr>
            <w:tcW w:w="710" w:type="dxa"/>
            <w:shd w:val="clear" w:color="auto" w:fill="auto"/>
          </w:tcPr>
          <w:p w14:paraId="75143BDF" w14:textId="14B446FE" w:rsidR="00BF0620" w:rsidRPr="001A415B" w:rsidRDefault="00BF0620" w:rsidP="004417D5">
            <w:pPr>
              <w:spacing w:line="240" w:lineRule="auto"/>
              <w:jc w:val="center"/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9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449E05C" w14:textId="77777777" w:rsidR="00BF0620" w:rsidRDefault="00BF0620" w:rsidP="004417D5">
            <w:pPr>
              <w:spacing w:line="240" w:lineRule="auto"/>
            </w:pPr>
            <w:r>
              <w:t>1.15, 1.16</w:t>
            </w:r>
          </w:p>
        </w:tc>
        <w:tc>
          <w:tcPr>
            <w:tcW w:w="5103" w:type="dxa"/>
            <w:shd w:val="clear" w:color="auto" w:fill="auto"/>
          </w:tcPr>
          <w:p w14:paraId="4130F71F" w14:textId="77777777" w:rsidR="00BF0620" w:rsidRDefault="00BF0620" w:rsidP="004417D5">
            <w:pPr>
              <w:spacing w:line="240" w:lineRule="auto"/>
            </w:pPr>
            <w:r>
              <w:t xml:space="preserve">Проектом предусматривается, что ценные бумаги прочих юридических лиц при расчете специального процентного риска относятся к среднему или высокому риску в зависимости от того, включены ли они в расчет показателя </w:t>
            </w:r>
            <w:proofErr w:type="spellStart"/>
            <w:r>
              <w:t>ПКi</w:t>
            </w:r>
            <w:proofErr w:type="spellEnd"/>
            <w:r>
              <w:t xml:space="preserve"> в соответствии с Инструкцией Банка России </w:t>
            </w:r>
            <w:r w:rsidRPr="0044754B">
              <w:t>от 28.06.2017</w:t>
            </w:r>
            <w:r>
              <w:t xml:space="preserve"> №180-И «</w:t>
            </w:r>
            <w:r w:rsidRPr="0044754B">
              <w:t>Об обязательных нормативах банков</w:t>
            </w:r>
            <w:r>
              <w:t>» или нет.</w:t>
            </w:r>
          </w:p>
          <w:p w14:paraId="0E8547F7" w14:textId="77777777" w:rsidR="00BF0620" w:rsidRDefault="00BF0620" w:rsidP="004417D5">
            <w:pPr>
              <w:spacing w:line="240" w:lineRule="auto"/>
            </w:pPr>
            <w:r>
              <w:t xml:space="preserve">В соответствии с абзацем вторым пункта 1.16 Проекта при расчете специального процентного риска к ценным бумагам с высоким риском относятся «ценные бумаги, при расчете кредитного риска по которым применяется показатель </w:t>
            </w:r>
            <w:proofErr w:type="spellStart"/>
            <w:r>
              <w:t>ПКi</w:t>
            </w:r>
            <w:proofErr w:type="spellEnd"/>
            <w:r>
              <w:t xml:space="preserve"> в соответствии с Инструкцией Банка России № 180-И».</w:t>
            </w:r>
          </w:p>
          <w:p w14:paraId="2A269132" w14:textId="77777777" w:rsidR="00BF0620" w:rsidRDefault="00BF0620" w:rsidP="004417D5">
            <w:pPr>
              <w:spacing w:line="240" w:lineRule="auto"/>
            </w:pPr>
            <w:r>
              <w:t xml:space="preserve">Согласно Инструкции Банка России №180-И ценные бумаги, по которым рассчитывается рыночный риск, не включаются в расчет показателя </w:t>
            </w:r>
            <w:proofErr w:type="spellStart"/>
            <w:r>
              <w:t>ПКi</w:t>
            </w:r>
            <w:proofErr w:type="spellEnd"/>
            <w:r>
              <w:t>.</w:t>
            </w:r>
          </w:p>
          <w:p w14:paraId="249CE310" w14:textId="77777777" w:rsidR="00BF0620" w:rsidRDefault="00BF0620" w:rsidP="004417D5">
            <w:pPr>
              <w:spacing w:line="240" w:lineRule="auto"/>
            </w:pPr>
          </w:p>
          <w:p w14:paraId="31BFA39F" w14:textId="77777777" w:rsidR="00BF0620" w:rsidRDefault="00BF0620" w:rsidP="004417D5">
            <w:pPr>
              <w:spacing w:line="240" w:lineRule="auto"/>
            </w:pPr>
            <w:r>
              <w:t>Абзац 4 пункта 1.15 п</w:t>
            </w:r>
            <w:r w:rsidRPr="0010434F">
              <w:t>редлага</w:t>
            </w:r>
            <w:r>
              <w:t>ется</w:t>
            </w:r>
            <w:r w:rsidRPr="0010434F">
              <w:t xml:space="preserve"> изложить в следующей редакции: «К категории ценных бумаг со средним риском относятся ценные бумаги, которые не соответствуют условиям показателя </w:t>
            </w:r>
            <w:proofErr w:type="spellStart"/>
            <w:r w:rsidRPr="0010434F">
              <w:t>ПКi</w:t>
            </w:r>
            <w:proofErr w:type="spellEnd"/>
            <w:r w:rsidRPr="0010434F">
              <w:t>, определяемого в соответствии с Инструкцией Банка России №180-И».</w:t>
            </w:r>
          </w:p>
          <w:p w14:paraId="1FF4D731" w14:textId="77777777" w:rsidR="00BF0620" w:rsidRPr="00850861" w:rsidRDefault="00BF0620" w:rsidP="004417D5">
            <w:pPr>
              <w:spacing w:line="240" w:lineRule="auto"/>
            </w:pPr>
            <w:r>
              <w:lastRenderedPageBreak/>
              <w:t>Абзац 2 пункта 1.16 п</w:t>
            </w:r>
            <w:r w:rsidRPr="0057384E">
              <w:t>редлага</w:t>
            </w:r>
            <w:r>
              <w:t>ется</w:t>
            </w:r>
            <w:r w:rsidRPr="0057384E">
              <w:t xml:space="preserve"> изложить в следующей редакции: «ценные бумаги, соответствующие условиям показателя </w:t>
            </w:r>
            <w:proofErr w:type="spellStart"/>
            <w:r w:rsidRPr="0057384E">
              <w:t>ПКi</w:t>
            </w:r>
            <w:proofErr w:type="spellEnd"/>
            <w:r w:rsidRPr="0057384E">
              <w:t>, определяемого в соответствии с Инструкцией Банка России №180-И».</w:t>
            </w:r>
          </w:p>
        </w:tc>
        <w:tc>
          <w:tcPr>
            <w:tcW w:w="1702" w:type="dxa"/>
            <w:shd w:val="clear" w:color="auto" w:fill="auto"/>
          </w:tcPr>
          <w:p w14:paraId="6D064F5F" w14:textId="77777777" w:rsidR="00BF0620" w:rsidRDefault="00BF0620" w:rsidP="004417D5">
            <w:pPr>
              <w:spacing w:line="240" w:lineRule="auto"/>
            </w:pPr>
            <w:r>
              <w:lastRenderedPageBreak/>
              <w:t>Принимается</w:t>
            </w:r>
          </w:p>
        </w:tc>
        <w:tc>
          <w:tcPr>
            <w:tcW w:w="6095" w:type="dxa"/>
            <w:shd w:val="clear" w:color="auto" w:fill="auto"/>
          </w:tcPr>
          <w:p w14:paraId="261FE753" w14:textId="72F76FD1" w:rsidR="00BF0620" w:rsidRDefault="00BF0620" w:rsidP="00C12E80">
            <w:pPr>
              <w:spacing w:line="240" w:lineRule="auto"/>
            </w:pPr>
            <w:r>
              <w:t>Редакция пунктов 1.15 и 1.16 проекта указания уточнена.</w:t>
            </w:r>
          </w:p>
        </w:tc>
      </w:tr>
      <w:tr w:rsidR="00BF0620" w:rsidRPr="007C0617" w14:paraId="73542DC1" w14:textId="77777777" w:rsidTr="006002F9">
        <w:tc>
          <w:tcPr>
            <w:tcW w:w="710" w:type="dxa"/>
            <w:shd w:val="clear" w:color="auto" w:fill="auto"/>
          </w:tcPr>
          <w:p w14:paraId="069F6AAD" w14:textId="63144AD9" w:rsidR="00BF0620" w:rsidRDefault="00BF0620" w:rsidP="004417D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CCC355B" w14:textId="77777777" w:rsidR="00BF0620" w:rsidRDefault="00BF0620" w:rsidP="004417D5">
            <w:pPr>
              <w:spacing w:line="240" w:lineRule="auto"/>
            </w:pPr>
            <w:r>
              <w:t>1.19</w:t>
            </w:r>
          </w:p>
        </w:tc>
        <w:tc>
          <w:tcPr>
            <w:tcW w:w="5103" w:type="dxa"/>
            <w:shd w:val="clear" w:color="auto" w:fill="auto"/>
          </w:tcPr>
          <w:p w14:paraId="3127BAFA" w14:textId="77777777" w:rsidR="00BF0620" w:rsidRDefault="00BF0620" w:rsidP="004417D5">
            <w:pPr>
              <w:spacing w:line="240" w:lineRule="auto"/>
            </w:pPr>
            <w:r>
              <w:t>Проект уточняет пункт 2.8 Положения Банка России № 511-П в части расчета специального процентного риска по позициям по ценным бумагам, образовавшимся в результате заключения договоров, являющихся кредитными производными финансовыми инструментами, а также указывает на порядок формирования позиции по данным инструментам по контрольному лицу в соответствии с пунктом 1.6 Положения № 511-П. При этом текст пункта 1.6 не содержит порядок формирования позиции по данным инструментам.</w:t>
            </w:r>
          </w:p>
          <w:p w14:paraId="5C3CD745" w14:textId="77777777" w:rsidR="00BF0620" w:rsidRPr="00850861" w:rsidRDefault="00BF0620" w:rsidP="004417D5">
            <w:pPr>
              <w:spacing w:line="240" w:lineRule="auto"/>
            </w:pPr>
            <w:r>
              <w:t>Предлагаем уточнить пункт 1.6 путем указания детализированного порядка формирования позиции по ценным бумагам, образовавшимся в результате заключения договоров, являющихся кредитными производными финансовыми инструментами по контрольному лицу.</w:t>
            </w:r>
          </w:p>
        </w:tc>
        <w:tc>
          <w:tcPr>
            <w:tcW w:w="1702" w:type="dxa"/>
            <w:shd w:val="clear" w:color="auto" w:fill="auto"/>
          </w:tcPr>
          <w:p w14:paraId="24416930" w14:textId="0391FD57" w:rsidR="00BF0620" w:rsidRDefault="00BF0620" w:rsidP="004417D5">
            <w:pPr>
              <w:spacing w:line="240" w:lineRule="auto"/>
            </w:pPr>
            <w:r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7C6D1214" w14:textId="147A3784" w:rsidR="00BF0620" w:rsidRDefault="00BF0620" w:rsidP="004417D5">
            <w:pPr>
              <w:spacing w:line="240" w:lineRule="auto"/>
            </w:pPr>
            <w:r>
              <w:t xml:space="preserve">Отсылка на пункт 1.6 Положения Банка России № 511-П обусловлена тем, что абзац четвертый рассматриваемого пункта устанавливает возможность формирования по кредитному производному финансовому инструменту (ПФИ) позиции, выраженной в величине номинальной суммы, и ее определение. В связи с этим во избежание разночтений в редакцию пункта 1.16 проекта указания (в новой нумерации) внесено редакционное уточнение. Необходимость дальнейшей детализации порядка включения в расчет рыночного риска отдельных видов инструментов, в частности, кредитных ПФИ, не усматривается. </w:t>
            </w:r>
          </w:p>
          <w:p w14:paraId="7F5B7994" w14:textId="56A34E9B" w:rsidR="00BF0620" w:rsidRDefault="00BF0620" w:rsidP="0096013A">
            <w:pPr>
              <w:spacing w:line="240" w:lineRule="auto"/>
            </w:pPr>
            <w:r>
              <w:t>При необходимости разъяснения по порядку включения в расчет рыночного риска отдельных финансовых инструментов могут быть предоставлены кредитным организациям в рамках ответов на соответствующие запросы, содержащие, в том числе, более детальную информацию о соответствующем инструменте.</w:t>
            </w:r>
          </w:p>
        </w:tc>
      </w:tr>
      <w:tr w:rsidR="00BF0620" w:rsidRPr="007C0617" w14:paraId="00DB0350" w14:textId="77777777" w:rsidTr="006002F9">
        <w:tc>
          <w:tcPr>
            <w:tcW w:w="710" w:type="dxa"/>
            <w:shd w:val="clear" w:color="auto" w:fill="auto"/>
          </w:tcPr>
          <w:p w14:paraId="7F6C4337" w14:textId="1C88591A" w:rsidR="00BF0620" w:rsidRPr="0096013A" w:rsidRDefault="00BF0620" w:rsidP="004417D5">
            <w:pPr>
              <w:spacing w:line="240" w:lineRule="auto"/>
              <w:jc w:val="center"/>
            </w:pPr>
            <w:r>
              <w:rPr>
                <w:lang w:val="en-US"/>
              </w:rPr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11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75B89CA" w14:textId="77777777" w:rsidR="00BF0620" w:rsidRDefault="00BF0620" w:rsidP="004417D5">
            <w:pPr>
              <w:spacing w:line="240" w:lineRule="auto"/>
            </w:pPr>
            <w:r>
              <w:t>1.20</w:t>
            </w:r>
          </w:p>
        </w:tc>
        <w:tc>
          <w:tcPr>
            <w:tcW w:w="5103" w:type="dxa"/>
            <w:shd w:val="clear" w:color="auto" w:fill="auto"/>
          </w:tcPr>
          <w:p w14:paraId="0DC2117B" w14:textId="77777777" w:rsidR="00BF0620" w:rsidRPr="00850861" w:rsidRDefault="00BF0620" w:rsidP="004417D5">
            <w:pPr>
              <w:spacing w:line="240" w:lineRule="auto"/>
            </w:pPr>
            <w:r w:rsidRPr="00116DEF">
              <w:t>Предлагаем указать непосредственно подпункты пункта 2.9, в которые вносится данное изменение.</w:t>
            </w:r>
          </w:p>
        </w:tc>
        <w:tc>
          <w:tcPr>
            <w:tcW w:w="1702" w:type="dxa"/>
            <w:shd w:val="clear" w:color="auto" w:fill="auto"/>
          </w:tcPr>
          <w:p w14:paraId="5A3A8875" w14:textId="375705DC" w:rsidR="00BF0620" w:rsidRDefault="00BF0620" w:rsidP="004417D5">
            <w:pPr>
              <w:spacing w:line="240" w:lineRule="auto"/>
            </w:pPr>
            <w:r>
              <w:t xml:space="preserve">Принимается с учетом иных </w:t>
            </w:r>
            <w:r>
              <w:lastRenderedPageBreak/>
              <w:t>изменений в данный пункт</w:t>
            </w:r>
          </w:p>
        </w:tc>
        <w:tc>
          <w:tcPr>
            <w:tcW w:w="6095" w:type="dxa"/>
            <w:shd w:val="clear" w:color="auto" w:fill="auto"/>
          </w:tcPr>
          <w:p w14:paraId="3AF6E5E4" w14:textId="7E57421A" w:rsidR="00BF0620" w:rsidRPr="000D5083" w:rsidRDefault="00BF0620" w:rsidP="001579F6">
            <w:pPr>
              <w:spacing w:line="240" w:lineRule="auto"/>
            </w:pPr>
            <w:r>
              <w:lastRenderedPageBreak/>
              <w:t xml:space="preserve">В случае если не указано иное, изменения вносятся во все структурные единицы соответствующего пункта / подпункта, в таких случаях (при отсутствии иных </w:t>
            </w:r>
            <w:r>
              <w:lastRenderedPageBreak/>
              <w:t>изменений в данные структурные единицы) упоминание отдельных подпунктов пункта не требуется.</w:t>
            </w:r>
          </w:p>
          <w:p w14:paraId="1A1A1FBF" w14:textId="30FC1100" w:rsidR="00BF0620" w:rsidRDefault="00BF0620" w:rsidP="001579F6">
            <w:pPr>
              <w:spacing w:line="240" w:lineRule="auto"/>
            </w:pPr>
            <w:r>
              <w:t>Вместе с тем в</w:t>
            </w:r>
            <w:r w:rsidRPr="0072737F">
              <w:t xml:space="preserve"> связи с внесением в рамках доработки проекта указания </w:t>
            </w:r>
            <w:r>
              <w:t xml:space="preserve">иных </w:t>
            </w:r>
            <w:r w:rsidRPr="0072737F">
              <w:t>изменений в подпункты пункта 2.9 Положения Банка России №</w:t>
            </w:r>
            <w:r>
              <w:t> </w:t>
            </w:r>
            <w:r w:rsidRPr="0072737F">
              <w:t xml:space="preserve">511-П предлагаемые изменения были внесены в проект </w:t>
            </w:r>
            <w:r>
              <w:t>указания</w:t>
            </w:r>
            <w:r w:rsidRPr="0072737F">
              <w:t xml:space="preserve"> с целью группировки нескольких изменений</w:t>
            </w:r>
            <w:r>
              <w:t>, вносимых</w:t>
            </w:r>
            <w:r w:rsidRPr="0072737F">
              <w:t xml:space="preserve"> в одну структурную единицу Положения Банка России № 511-П.</w:t>
            </w:r>
          </w:p>
          <w:p w14:paraId="1291DD14" w14:textId="7DBFD26C" w:rsidR="00BF0620" w:rsidRDefault="00BF0620" w:rsidP="001579F6">
            <w:pPr>
              <w:spacing w:line="240" w:lineRule="auto"/>
            </w:pPr>
          </w:p>
        </w:tc>
      </w:tr>
      <w:tr w:rsidR="00BF0620" w:rsidRPr="007C0617" w14:paraId="3C615441" w14:textId="77777777" w:rsidTr="006002F9">
        <w:tc>
          <w:tcPr>
            <w:tcW w:w="710" w:type="dxa"/>
            <w:shd w:val="clear" w:color="auto" w:fill="auto"/>
          </w:tcPr>
          <w:p w14:paraId="6D1ACCA2" w14:textId="35CEEDFF" w:rsidR="00BF0620" w:rsidRDefault="00BF0620" w:rsidP="0088622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8294203" w14:textId="77777777" w:rsidR="00BF0620" w:rsidRDefault="00BF0620" w:rsidP="00D5242C">
            <w:pPr>
              <w:spacing w:line="240" w:lineRule="auto"/>
            </w:pPr>
            <w:r>
              <w:t>1.25</w:t>
            </w:r>
          </w:p>
        </w:tc>
        <w:tc>
          <w:tcPr>
            <w:tcW w:w="5103" w:type="dxa"/>
            <w:shd w:val="clear" w:color="auto" w:fill="auto"/>
          </w:tcPr>
          <w:p w14:paraId="21D64655" w14:textId="30CDEC7B" w:rsidR="00BF0620" w:rsidRPr="00850861" w:rsidRDefault="00BF0620" w:rsidP="00C2643A">
            <w:pPr>
              <w:spacing w:line="240" w:lineRule="auto"/>
            </w:pPr>
            <w:r>
              <w:t>Пункт 1.25 проекта н</w:t>
            </w:r>
            <w:r w:rsidRPr="0010434F">
              <w:t xml:space="preserve">е предполагает одновременного наличия требований, резервы по которым создаются как по Положению Банка России </w:t>
            </w:r>
            <w:r>
              <w:t xml:space="preserve">от </w:t>
            </w:r>
            <w:r w:rsidRPr="00C2643A">
              <w:t>23.10.2017</w:t>
            </w:r>
            <w:r>
              <w:t xml:space="preserve"> </w:t>
            </w:r>
            <w:r w:rsidRPr="0010434F">
              <w:t>№</w:t>
            </w:r>
            <w:r>
              <w:t> </w:t>
            </w:r>
            <w:r w:rsidRPr="0010434F">
              <w:t xml:space="preserve">611-П </w:t>
            </w:r>
            <w:r>
              <w:t>«О</w:t>
            </w:r>
            <w:r w:rsidRPr="00C2643A">
              <w:t xml:space="preserve"> порядке формирования кредитными организациями резервов на возможные потери</w:t>
            </w:r>
            <w:r>
              <w:t xml:space="preserve">», </w:t>
            </w:r>
            <w:r w:rsidRPr="0010434F">
              <w:t xml:space="preserve">так и по Положению Банка России </w:t>
            </w:r>
            <w:r>
              <w:t xml:space="preserve">от </w:t>
            </w:r>
            <w:r w:rsidRPr="00C2643A">
              <w:t>28.06.2017</w:t>
            </w:r>
            <w:r>
              <w:t xml:space="preserve"> </w:t>
            </w:r>
            <w:r w:rsidRPr="0010434F">
              <w:t>№</w:t>
            </w:r>
            <w:r>
              <w:t> </w:t>
            </w:r>
            <w:r w:rsidRPr="0010434F">
              <w:t>590-П</w:t>
            </w:r>
            <w:r>
              <w:t xml:space="preserve"> «О</w:t>
            </w:r>
            <w:r w:rsidRPr="00C2643A">
              <w:t xml:space="preserve"> порядке формирования кредитными организациями резервов на возможные потери по ссудам, ссудной и приравненной к ней задолженности</w:t>
            </w:r>
            <w:r>
              <w:t>»</w:t>
            </w:r>
            <w:r w:rsidRPr="0010434F">
              <w:t>. Предлага</w:t>
            </w:r>
            <w:r>
              <w:t>ется</w:t>
            </w:r>
            <w:r w:rsidRPr="0010434F">
              <w:t xml:space="preserve"> использовать «и/или».</w:t>
            </w:r>
          </w:p>
        </w:tc>
        <w:tc>
          <w:tcPr>
            <w:tcW w:w="1702" w:type="dxa"/>
            <w:shd w:val="clear" w:color="auto" w:fill="auto"/>
          </w:tcPr>
          <w:p w14:paraId="66873E0C" w14:textId="555DAD23" w:rsidR="00BF0620" w:rsidRDefault="00BF0620" w:rsidP="0083452C">
            <w:pPr>
              <w:spacing w:line="240" w:lineRule="auto"/>
            </w:pPr>
            <w:r>
              <w:t>Принимается</w:t>
            </w:r>
          </w:p>
        </w:tc>
        <w:tc>
          <w:tcPr>
            <w:tcW w:w="6095" w:type="dxa"/>
            <w:shd w:val="clear" w:color="auto" w:fill="auto"/>
          </w:tcPr>
          <w:p w14:paraId="6D645016" w14:textId="0EE7346A" w:rsidR="00BF0620" w:rsidRDefault="00BF0620" w:rsidP="00B1222E">
            <w:pPr>
              <w:spacing w:line="240" w:lineRule="auto"/>
            </w:pPr>
            <w:r>
              <w:t>Принимая во внимание, что одно и то же обеспечение может покрывать, например, как основное требование, так и требование по начисленным процентам, редакция соответствующего пункта проекта указания скорректирована путем добавления союза «и». При этом отмечаем, что создание резерва на возможные потери одновременно в соответствии с двумя нормативными актами (Положением Банка России № 590-П и Положением Банка России № 611-П) в отношении одного и того же требования указанными нормативными актами не предусмотрено.</w:t>
            </w:r>
          </w:p>
        </w:tc>
      </w:tr>
      <w:tr w:rsidR="00BF0620" w:rsidRPr="007C0617" w14:paraId="5A6D7E73" w14:textId="77777777" w:rsidTr="006002F9">
        <w:tc>
          <w:tcPr>
            <w:tcW w:w="710" w:type="dxa"/>
            <w:shd w:val="clear" w:color="auto" w:fill="auto"/>
          </w:tcPr>
          <w:p w14:paraId="7CEA099E" w14:textId="5E8D2846" w:rsidR="00BF0620" w:rsidRDefault="00BF0620" w:rsidP="0088622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13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97FE198" w14:textId="77777777" w:rsidR="00BF0620" w:rsidRDefault="00BF0620" w:rsidP="00D5242C">
            <w:pPr>
              <w:spacing w:line="240" w:lineRule="auto"/>
            </w:pPr>
            <w:r>
              <w:t>Общее</w:t>
            </w:r>
          </w:p>
        </w:tc>
        <w:tc>
          <w:tcPr>
            <w:tcW w:w="5103" w:type="dxa"/>
            <w:shd w:val="clear" w:color="auto" w:fill="auto"/>
          </w:tcPr>
          <w:p w14:paraId="79FE4CF9" w14:textId="77777777" w:rsidR="00BF0620" w:rsidRDefault="00BF0620" w:rsidP="009A46D5">
            <w:pPr>
              <w:spacing w:line="240" w:lineRule="auto"/>
            </w:pPr>
            <w:r>
              <w:t>В соответствии с пояснительной запиской Проект подготовлен, в том числе с целью исключения регуляторного арбитража между кредитным и рыночным риском. Однако Проект не устраняет арбитраж в отношении ипотечных ценных бумаг.</w:t>
            </w:r>
          </w:p>
          <w:p w14:paraId="2BDBD49C" w14:textId="77777777" w:rsidR="00BF0620" w:rsidRDefault="00BF0620" w:rsidP="009A46D5">
            <w:pPr>
              <w:spacing w:line="240" w:lineRule="auto"/>
            </w:pPr>
            <w:r>
              <w:lastRenderedPageBreak/>
              <w:t>Подпункт 2.3.2 пункта 2.3 Инструкции Банка России № 180-И устанавливает положение об отнесении вложений в облигации единого института развития в жилищной сфере, которому предоставляется государственная поддержка в соответствии с бюджетным законодательством Российской Федерации (далее - единый институт развития), номинированные и фондированные в рублях, а также вложения в облигации с ипотечным покрытием, номинированные и фондированные в рублях, в части, обеспеченной номинированным в рублях поручительством единого института развития (код 8943) к активам второй группы риска с применением коэффициента риска в величине 20%.</w:t>
            </w:r>
          </w:p>
          <w:p w14:paraId="2B782ABB" w14:textId="77777777" w:rsidR="00BF0620" w:rsidRDefault="00BF0620" w:rsidP="009A46D5">
            <w:pPr>
              <w:spacing w:line="240" w:lineRule="auto"/>
            </w:pPr>
            <w:r>
              <w:t>Действующая редакция Положения Банка России № 511-П, а также Проект не содержат возможности отнесения указанных облигаций к ценным бумагам с низким уровнем риска и предполагают использование только международных рейтингов для целей классификации инструментов секьюритизации по степени риска.</w:t>
            </w:r>
          </w:p>
          <w:p w14:paraId="3C0C1B67" w14:textId="77777777" w:rsidR="00BF0620" w:rsidRDefault="00BF0620" w:rsidP="009A46D5">
            <w:pPr>
              <w:spacing w:line="240" w:lineRule="auto"/>
            </w:pPr>
            <w:r>
              <w:t xml:space="preserve">С учетом изложенного, предлагаем указать в Проекте, что рублевые ценные бумаги, эмитированные или обеспеченные (полностью </w:t>
            </w:r>
            <w:r>
              <w:lastRenderedPageBreak/>
              <w:t>или частично) номинированным в рублях поручительством единого института развития с целью расчета специального процентного риска относятся к категории бумаг с низким уровнем риска в части, обеспеченной данным поручительством.</w:t>
            </w:r>
          </w:p>
          <w:p w14:paraId="37842598" w14:textId="77777777" w:rsidR="00BF0620" w:rsidRPr="00850861" w:rsidRDefault="00BF0620" w:rsidP="009A46D5">
            <w:pPr>
              <w:spacing w:line="240" w:lineRule="auto"/>
            </w:pPr>
            <w:r>
              <w:t>На наш взгляд, реализация данных предложений позволит существенно расширить объем рынка секьюритизации и потенциально снизить стоимость фондирования ипотечных кредитов.</w:t>
            </w:r>
          </w:p>
        </w:tc>
        <w:tc>
          <w:tcPr>
            <w:tcW w:w="1702" w:type="dxa"/>
            <w:shd w:val="clear" w:color="auto" w:fill="auto"/>
          </w:tcPr>
          <w:p w14:paraId="02A7F33C" w14:textId="77777777" w:rsidR="00BF0620" w:rsidRDefault="00BF0620" w:rsidP="00D5242C">
            <w:pPr>
              <w:spacing w:line="240" w:lineRule="auto"/>
            </w:pPr>
            <w:r>
              <w:lastRenderedPageBreak/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002B08FC" w14:textId="65FF39A9" w:rsidR="00BF0620" w:rsidRPr="00767C47" w:rsidRDefault="00BF0620" w:rsidP="005361BB">
            <w:pPr>
              <w:spacing w:line="240" w:lineRule="auto"/>
            </w:pPr>
            <w:r w:rsidRPr="00767C47">
              <w:t>Предложение банка не соответствует порядку расчета величины рыночного риска в соответствии со стандартизированным подходом Базеля</w:t>
            </w:r>
            <w:r w:rsidRPr="00767C47">
              <w:rPr>
                <w:lang w:val="en-US"/>
              </w:rPr>
              <w:t> II</w:t>
            </w:r>
            <w:r w:rsidRPr="00767C47">
              <w:t xml:space="preserve"> с учетом изменений, предусмотренных Базелем 2,5, которые предполагают применение отдельной шкалы коэффициентов взвешивания по риску в целях расчета </w:t>
            </w:r>
            <w:r w:rsidRPr="00767C47">
              <w:lastRenderedPageBreak/>
              <w:t>специального процентного риска по инструментам секьюритизации и инструментам повторной секьюритизации, при этом при отсутствии рейтинга у выпуска рейтинг гаранта (поручителя) не рассматривается.</w:t>
            </w:r>
          </w:p>
          <w:p w14:paraId="0E046A44" w14:textId="0B53EB74" w:rsidR="00BF0620" w:rsidRPr="005361BB" w:rsidRDefault="00BF0620" w:rsidP="005361BB">
            <w:pPr>
              <w:spacing w:line="240" w:lineRule="auto"/>
            </w:pPr>
            <w:r w:rsidRPr="00767C47">
              <w:t>С учетом изложенного предложение не может быть принято.</w:t>
            </w:r>
          </w:p>
        </w:tc>
      </w:tr>
      <w:tr w:rsidR="00BF0620" w:rsidRPr="007C0617" w14:paraId="48FC40E8" w14:textId="77777777" w:rsidTr="006002F9">
        <w:tc>
          <w:tcPr>
            <w:tcW w:w="710" w:type="dxa"/>
            <w:shd w:val="clear" w:color="auto" w:fill="auto"/>
          </w:tcPr>
          <w:p w14:paraId="3598E3DC" w14:textId="684F010F" w:rsidR="00BF0620" w:rsidRDefault="00BF0620" w:rsidP="0088622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56A3FD8" w14:textId="5599E6E3" w:rsidR="00BF0620" w:rsidRDefault="00BF0620" w:rsidP="00D5242C">
            <w:pPr>
              <w:spacing w:line="240" w:lineRule="auto"/>
            </w:pPr>
            <w:r>
              <w:t>1.13</w:t>
            </w:r>
          </w:p>
        </w:tc>
        <w:tc>
          <w:tcPr>
            <w:tcW w:w="5103" w:type="dxa"/>
            <w:shd w:val="clear" w:color="auto" w:fill="auto"/>
          </w:tcPr>
          <w:p w14:paraId="182021E7" w14:textId="77777777" w:rsidR="00BF0620" w:rsidRDefault="00BF0620" w:rsidP="00CC16B8">
            <w:pPr>
              <w:spacing w:line="240" w:lineRule="auto"/>
            </w:pPr>
            <w:r>
              <w:t xml:space="preserve">В части оценки СПР по бумагам юридических лиц (за исключением банков) банк должен руководствоваться наличием хотя бы одного инвестиционного рейтинга (для резидентов по классификации национальных рейтинговых агентств, для нерезидентов – международных рейтинговых агентств) либо по выпуску ценной бумаги, либо по эмитенту ценной бумаги? </w:t>
            </w:r>
          </w:p>
          <w:p w14:paraId="23C16BFE" w14:textId="77777777" w:rsidR="00BF0620" w:rsidRPr="00850861" w:rsidRDefault="00BF0620" w:rsidP="00CC16B8">
            <w:pPr>
              <w:spacing w:line="240" w:lineRule="auto"/>
            </w:pPr>
            <w:r>
              <w:t>Или инвестиционный рейтинг должен быть одновременно и у выпуска, и у эмитента?</w:t>
            </w:r>
          </w:p>
        </w:tc>
        <w:tc>
          <w:tcPr>
            <w:tcW w:w="1702" w:type="dxa"/>
            <w:shd w:val="clear" w:color="auto" w:fill="auto"/>
          </w:tcPr>
          <w:p w14:paraId="3C7C0DFD" w14:textId="6AEA51DC" w:rsidR="00BF0620" w:rsidRDefault="00BF0620" w:rsidP="00D5242C">
            <w:pPr>
              <w:spacing w:line="240" w:lineRule="auto"/>
            </w:pPr>
            <w:r>
              <w:t>Вопрос в целях разъяснения</w:t>
            </w:r>
          </w:p>
        </w:tc>
        <w:tc>
          <w:tcPr>
            <w:tcW w:w="6095" w:type="dxa"/>
            <w:shd w:val="clear" w:color="auto" w:fill="auto"/>
          </w:tcPr>
          <w:p w14:paraId="10FA0590" w14:textId="1B505A8A" w:rsidR="00BF0620" w:rsidRPr="00CE6AF4" w:rsidRDefault="00BF0620" w:rsidP="00E6335E">
            <w:pPr>
              <w:spacing w:line="240" w:lineRule="auto"/>
            </w:pPr>
            <w:r>
              <w:t xml:space="preserve">Проектом указания предусматривается отказ от использования критерия инвестиционного / </w:t>
            </w:r>
            <w:proofErr w:type="spellStart"/>
            <w:r>
              <w:t>неинвестиционного</w:t>
            </w:r>
            <w:proofErr w:type="spellEnd"/>
            <w:r>
              <w:t xml:space="preserve"> рейтинга в целях классификации ценных бумаг по группам специального процентного риска. В целях классификации ценных бумаг будут использоваться условия применения ПК</w:t>
            </w:r>
            <w:r>
              <w:rPr>
                <w:lang w:val="en-US"/>
              </w:rPr>
              <w:t>i</w:t>
            </w:r>
            <w:r>
              <w:t>, предусмотренные Инструкцией Банка России № 180-И (код 8815). При этом ПК</w:t>
            </w:r>
            <w:r>
              <w:rPr>
                <w:lang w:val="en-US"/>
              </w:rPr>
              <w:t>i</w:t>
            </w:r>
            <w:r>
              <w:t xml:space="preserve"> не применяется в отношении </w:t>
            </w:r>
            <w:r w:rsidRPr="00F47C73">
              <w:t xml:space="preserve">облигаций юридических лиц - эмитентов (выпусков облигаций), имевших на момент приобретения облигаций и (или) имеющим на дату расчета нормативов достаточности капитала банка рейтинг долгосрочной кредитоспособности по обязательствам в иностранной валюте или рублях, присвоенный как минимум одним из иностранных кредитных рейтинговых агентств на уровне </w:t>
            </w:r>
            <w:r>
              <w:t xml:space="preserve">не </w:t>
            </w:r>
            <w:r w:rsidRPr="00F47C73">
              <w:t xml:space="preserve">ниже </w:t>
            </w:r>
            <w:r>
              <w:t>«</w:t>
            </w:r>
            <w:r w:rsidRPr="00F47C73">
              <w:t>B</w:t>
            </w:r>
            <w:r>
              <w:t>»</w:t>
            </w:r>
            <w:r w:rsidRPr="00F47C73">
              <w:t xml:space="preserve"> по международной рейтинговой шкале </w:t>
            </w:r>
            <w:r>
              <w:t>«</w:t>
            </w:r>
            <w:r w:rsidRPr="00F47C73">
              <w:t xml:space="preserve">Эс-энд-Пи </w:t>
            </w:r>
            <w:proofErr w:type="spellStart"/>
            <w:r w:rsidRPr="00F47C73">
              <w:t>Глобал</w:t>
            </w:r>
            <w:proofErr w:type="spellEnd"/>
            <w:r w:rsidRPr="00F47C73">
              <w:t xml:space="preserve"> </w:t>
            </w:r>
            <w:proofErr w:type="spellStart"/>
            <w:r w:rsidRPr="00F47C73">
              <w:t>Рейтингс</w:t>
            </w:r>
            <w:proofErr w:type="spellEnd"/>
            <w:r>
              <w:t>»</w:t>
            </w:r>
            <w:r w:rsidRPr="00F47C73">
              <w:t xml:space="preserve"> (S&amp;P </w:t>
            </w:r>
            <w:proofErr w:type="spellStart"/>
            <w:r w:rsidRPr="00F47C73">
              <w:t>Global</w:t>
            </w:r>
            <w:proofErr w:type="spellEnd"/>
            <w:r w:rsidRPr="00F47C73">
              <w:t xml:space="preserve"> </w:t>
            </w:r>
            <w:proofErr w:type="spellStart"/>
            <w:r w:rsidRPr="00F47C73">
              <w:lastRenderedPageBreak/>
              <w:t>Ratings</w:t>
            </w:r>
            <w:proofErr w:type="spellEnd"/>
            <w:r w:rsidRPr="00F47C73">
              <w:t xml:space="preserve">) или </w:t>
            </w:r>
            <w:r>
              <w:t>«</w:t>
            </w:r>
            <w:proofErr w:type="spellStart"/>
            <w:r w:rsidRPr="00F47C73">
              <w:t>Фитч</w:t>
            </w:r>
            <w:proofErr w:type="spellEnd"/>
            <w:r w:rsidRPr="00F47C73">
              <w:t xml:space="preserve"> </w:t>
            </w:r>
            <w:proofErr w:type="spellStart"/>
            <w:r w:rsidRPr="00F47C73">
              <w:t>Рейтингс</w:t>
            </w:r>
            <w:proofErr w:type="spellEnd"/>
            <w:r>
              <w:t>»</w:t>
            </w:r>
            <w:r w:rsidRPr="00F47C73">
              <w:t xml:space="preserve"> (</w:t>
            </w:r>
            <w:proofErr w:type="spellStart"/>
            <w:r w:rsidRPr="00F47C73">
              <w:t>Fitch</w:t>
            </w:r>
            <w:proofErr w:type="spellEnd"/>
            <w:r w:rsidRPr="00F47C73">
              <w:t xml:space="preserve"> </w:t>
            </w:r>
            <w:proofErr w:type="spellStart"/>
            <w:r w:rsidRPr="00F47C73">
              <w:t>Ratings</w:t>
            </w:r>
            <w:proofErr w:type="spellEnd"/>
            <w:r w:rsidRPr="00F47C73">
              <w:t xml:space="preserve">) либо </w:t>
            </w:r>
            <w:r>
              <w:t>«</w:t>
            </w:r>
            <w:r w:rsidRPr="00F47C73">
              <w:t>B2</w:t>
            </w:r>
            <w:r>
              <w:t>»</w:t>
            </w:r>
            <w:r w:rsidRPr="00F47C73">
              <w:t xml:space="preserve"> по международной рейтинговой шкале </w:t>
            </w:r>
            <w:r>
              <w:t>«</w:t>
            </w:r>
            <w:proofErr w:type="spellStart"/>
            <w:r w:rsidRPr="00F47C73">
              <w:t>Мудис</w:t>
            </w:r>
            <w:proofErr w:type="spellEnd"/>
            <w:r w:rsidRPr="00F47C73">
              <w:t xml:space="preserve"> </w:t>
            </w:r>
            <w:proofErr w:type="spellStart"/>
            <w:r w:rsidRPr="00F47C73">
              <w:t>Инвесторс</w:t>
            </w:r>
            <w:proofErr w:type="spellEnd"/>
            <w:r w:rsidRPr="00F47C73">
              <w:t xml:space="preserve"> Сервис</w:t>
            </w:r>
            <w:r>
              <w:t>»</w:t>
            </w:r>
            <w:r w:rsidRPr="00F47C73">
              <w:t xml:space="preserve"> (</w:t>
            </w:r>
            <w:proofErr w:type="spellStart"/>
            <w:r w:rsidRPr="00F47C73">
              <w:t>Moody's</w:t>
            </w:r>
            <w:proofErr w:type="spellEnd"/>
            <w:r w:rsidRPr="00F47C73">
              <w:t xml:space="preserve"> </w:t>
            </w:r>
            <w:proofErr w:type="spellStart"/>
            <w:r w:rsidRPr="00F47C73">
              <w:t>Investors</w:t>
            </w:r>
            <w:proofErr w:type="spellEnd"/>
            <w:r w:rsidRPr="00F47C73">
              <w:t xml:space="preserve"> Service), а также кредитный рейтинг, присвоенный по национальной рейтинговой шкале для Российской Федерации российским кредитным рейтинговым агентством</w:t>
            </w:r>
            <w:r>
              <w:t xml:space="preserve">. В соответствии с решением </w:t>
            </w:r>
            <w:r w:rsidRPr="00CE6AF4">
              <w:t>Совет</w:t>
            </w:r>
            <w:r>
              <w:t>а</w:t>
            </w:r>
            <w:r w:rsidRPr="00CE6AF4">
              <w:t xml:space="preserve"> директоров Банка России </w:t>
            </w:r>
            <w:r>
              <w:t>в целях расчета ПК</w:t>
            </w:r>
            <w:r>
              <w:rPr>
                <w:lang w:val="en-US"/>
              </w:rPr>
              <w:t>i</w:t>
            </w:r>
            <w:r w:rsidRPr="00CE6AF4">
              <w:t xml:space="preserve"> установлены следующие минимальные уровни ре</w:t>
            </w:r>
            <w:r>
              <w:t>йтингов кредитоспособности: АО «</w:t>
            </w:r>
            <w:r w:rsidRPr="00CE6AF4">
              <w:t>Эксперт РА</w:t>
            </w:r>
            <w:r>
              <w:t>»</w:t>
            </w:r>
            <w:r w:rsidRPr="00CE6AF4">
              <w:t xml:space="preserve"> </w:t>
            </w:r>
            <w:r>
              <w:t>–</w:t>
            </w:r>
            <w:r w:rsidRPr="00CE6AF4">
              <w:t xml:space="preserve"> </w:t>
            </w:r>
            <w:r>
              <w:t>«</w:t>
            </w:r>
            <w:proofErr w:type="spellStart"/>
            <w:r w:rsidRPr="00CE6AF4">
              <w:t>ruBB</w:t>
            </w:r>
            <w:proofErr w:type="spellEnd"/>
            <w:r w:rsidRPr="00CE6AF4">
              <w:t>+</w:t>
            </w:r>
            <w:r>
              <w:t>»</w:t>
            </w:r>
            <w:r w:rsidRPr="00CE6AF4">
              <w:t xml:space="preserve">, АКРА (АО) </w:t>
            </w:r>
            <w:r>
              <w:t>–</w:t>
            </w:r>
            <w:r w:rsidRPr="00CE6AF4">
              <w:t xml:space="preserve"> </w:t>
            </w:r>
            <w:r>
              <w:t>«</w:t>
            </w:r>
            <w:r w:rsidRPr="00CE6AF4">
              <w:t>BB+(RU)</w:t>
            </w:r>
            <w:r>
              <w:t>»</w:t>
            </w:r>
            <w:r w:rsidRPr="00CE6AF4">
              <w:t>.</w:t>
            </w:r>
          </w:p>
          <w:p w14:paraId="7E316BA9" w14:textId="761CE3E8" w:rsidR="00BF0620" w:rsidRPr="002400AB" w:rsidRDefault="00BF0620" w:rsidP="00E6335E">
            <w:pPr>
              <w:spacing w:line="240" w:lineRule="auto"/>
            </w:pPr>
            <w:r>
              <w:t>В целях определения соответствия условиям применения ПК</w:t>
            </w:r>
            <w:r>
              <w:rPr>
                <w:lang w:val="en-US"/>
              </w:rPr>
              <w:t>i</w:t>
            </w:r>
            <w:r>
              <w:t xml:space="preserve"> (код 8815) рейтинги выпуска и эмитента эквивалентны и применяется наилучший рейтинг. </w:t>
            </w:r>
          </w:p>
        </w:tc>
      </w:tr>
      <w:tr w:rsidR="00BF0620" w:rsidRPr="007C0617" w14:paraId="2798A7DD" w14:textId="77777777" w:rsidTr="006002F9">
        <w:tc>
          <w:tcPr>
            <w:tcW w:w="710" w:type="dxa"/>
            <w:shd w:val="clear" w:color="auto" w:fill="auto"/>
          </w:tcPr>
          <w:p w14:paraId="1052F0B5" w14:textId="39E8916A" w:rsidR="00BF0620" w:rsidRPr="00523AD5" w:rsidRDefault="00BF0620" w:rsidP="0088622A">
            <w:pPr>
              <w:spacing w:line="240" w:lineRule="auto"/>
              <w:jc w:val="center"/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15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8E8FCDC" w14:textId="0AA316BC" w:rsidR="00BF0620" w:rsidRDefault="00BF0620" w:rsidP="00D5242C">
            <w:pPr>
              <w:spacing w:line="240" w:lineRule="auto"/>
            </w:pPr>
            <w:r>
              <w:t>1.1</w:t>
            </w:r>
          </w:p>
        </w:tc>
        <w:tc>
          <w:tcPr>
            <w:tcW w:w="5103" w:type="dxa"/>
            <w:shd w:val="clear" w:color="auto" w:fill="auto"/>
          </w:tcPr>
          <w:p w14:paraId="7D396B18" w14:textId="77777777" w:rsidR="00BF0620" w:rsidRDefault="00BF0620" w:rsidP="00B307D5">
            <w:pPr>
              <w:spacing w:line="240" w:lineRule="auto"/>
            </w:pPr>
            <w:r>
              <w:t>Пункт 1.1. дополнить словами «, включая ценные бумаги, переданные по операциям, совершаемым на возвратной основе, а также переданные в доверительное управление или приобретенные доверительным управляющим в интересах кредитной организации для проведения сделок в целях совершения операций купли – продажи в краткосрочной перспективе.»;</w:t>
            </w:r>
          </w:p>
          <w:p w14:paraId="1ECE7C7E" w14:textId="77777777" w:rsidR="00BF0620" w:rsidRDefault="00BF0620" w:rsidP="00B307D5">
            <w:pPr>
              <w:spacing w:line="240" w:lineRule="auto"/>
            </w:pPr>
          </w:p>
          <w:p w14:paraId="728AC284" w14:textId="77777777" w:rsidR="00BF0620" w:rsidRPr="00850861" w:rsidRDefault="00BF0620" w:rsidP="00B307D5">
            <w:pPr>
              <w:spacing w:line="240" w:lineRule="auto"/>
            </w:pPr>
            <w:r>
              <w:t xml:space="preserve">Просим уточнить, что ценные бумаги, переданные по операциям, совершаемым на возвратной основе, которые были изначально получены по операциям, совершаемым на </w:t>
            </w:r>
            <w:r>
              <w:lastRenderedPageBreak/>
              <w:t>возвратной основе, т.е. не числились на балансе Банка (операции «из обратного в прямое репо»), при отсутствии событий продажи данных бумаг, дефолта контрагента по сделке прямого репо и превышения срока прямого репо над сроком обратного репо, из расчета рыночного риска должны быть исключены.</w:t>
            </w:r>
          </w:p>
        </w:tc>
        <w:tc>
          <w:tcPr>
            <w:tcW w:w="1702" w:type="dxa"/>
            <w:shd w:val="clear" w:color="auto" w:fill="auto"/>
          </w:tcPr>
          <w:p w14:paraId="6E990FBA" w14:textId="77777777" w:rsidR="00BF0620" w:rsidRDefault="00BF0620" w:rsidP="00D5242C">
            <w:pPr>
              <w:spacing w:line="240" w:lineRule="auto"/>
            </w:pPr>
            <w:r w:rsidRPr="00743521">
              <w:lastRenderedPageBreak/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0DE50FB7" w14:textId="74AE0FB6" w:rsidR="00BF0620" w:rsidRDefault="00BF0620" w:rsidP="003E6DDA">
            <w:pPr>
              <w:spacing w:line="240" w:lineRule="auto"/>
            </w:pPr>
            <w:r>
              <w:t xml:space="preserve">Абзац второй пункта 1.1 Положения Банка России № 511-П (как в прежней, так и в редакции проекта указания) распространяется на собственный торговый портфель ценных бумаг, отражаемых на балансовых счетах (с учетом сделок спот в редакции проекта указания). В соответствии с Положением Банка России от </w:t>
            </w:r>
            <w:r w:rsidRPr="00D620BC">
              <w:t xml:space="preserve">27.02.2017 </w:t>
            </w:r>
            <w:r>
              <w:t>№ 579-П «О</w:t>
            </w:r>
            <w:r w:rsidRPr="00D620BC">
              <w:t xml:space="preserve"> Плане счетов бухгалтерского учета для кредитных организаций и порядке его применения</w:t>
            </w:r>
            <w:r>
              <w:t xml:space="preserve">» и Письмом Банка России </w:t>
            </w:r>
            <w:r w:rsidRPr="00D620BC">
              <w:t>от 22.12.2014</w:t>
            </w:r>
            <w:r>
              <w:t xml:space="preserve"> № 215-Т «</w:t>
            </w:r>
            <w:r w:rsidRPr="00D620BC">
              <w:t xml:space="preserve">О Методических рекомендациях </w:t>
            </w:r>
            <w:r>
              <w:t>«</w:t>
            </w:r>
            <w:r w:rsidRPr="00D620BC">
              <w:t>О бухгалтерском учете договоров репо</w:t>
            </w:r>
            <w:r>
              <w:t xml:space="preserve">» ценные бумаги, полученные по сделкам обратного репо и переданные в прямое репо, на балансовых счетах вложений в ценные бумаги не отражаются, а, следовательно, не включаются </w:t>
            </w:r>
            <w:r>
              <w:lastRenderedPageBreak/>
              <w:t>в расчет рыночного риска. В связи с этим внесение предложенного исключения нецелесообразно.</w:t>
            </w:r>
          </w:p>
        </w:tc>
      </w:tr>
      <w:tr w:rsidR="00BF0620" w:rsidRPr="007C0617" w14:paraId="071769E0" w14:textId="77777777" w:rsidTr="006002F9">
        <w:tc>
          <w:tcPr>
            <w:tcW w:w="710" w:type="dxa"/>
            <w:shd w:val="clear" w:color="auto" w:fill="auto"/>
          </w:tcPr>
          <w:p w14:paraId="266C9A19" w14:textId="2A1F57BE" w:rsidR="00BF0620" w:rsidRDefault="00BF0620" w:rsidP="0088622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16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F6073E2" w14:textId="2DABD156" w:rsidR="00BF0620" w:rsidRDefault="00BF0620" w:rsidP="00D5242C">
            <w:pPr>
              <w:spacing w:line="240" w:lineRule="auto"/>
            </w:pPr>
            <w:r>
              <w:t>1.5, 1.19</w:t>
            </w:r>
          </w:p>
        </w:tc>
        <w:tc>
          <w:tcPr>
            <w:tcW w:w="5103" w:type="dxa"/>
            <w:shd w:val="clear" w:color="auto" w:fill="auto"/>
          </w:tcPr>
          <w:p w14:paraId="224A692D" w14:textId="698BF4B9" w:rsidR="00BF0620" w:rsidRDefault="00BF0620" w:rsidP="00074125">
            <w:pPr>
              <w:spacing w:line="240" w:lineRule="auto"/>
            </w:pPr>
            <w:r>
              <w:t>Вышеуказанный проект уточняет порядок определения и включения в расчет процентного риска позиций по кредитным нотам (пункты 1.5, 1.19). В целях корректного расчета рыночного риска просим вас разъяснить процедуру вычисления общего процентного риска (ОПР) и специального процентного риска (СПР) на следующих примерах:</w:t>
            </w:r>
          </w:p>
          <w:p w14:paraId="1BB1AACB" w14:textId="77777777" w:rsidR="00BF0620" w:rsidRDefault="00BF0620" w:rsidP="00074125">
            <w:pPr>
              <w:spacing w:line="240" w:lineRule="auto"/>
            </w:pPr>
          </w:p>
          <w:p w14:paraId="09F1FBDD" w14:textId="77777777" w:rsidR="00BF0620" w:rsidRDefault="00BF0620" w:rsidP="00074125">
            <w:pPr>
              <w:spacing w:line="240" w:lineRule="auto"/>
            </w:pPr>
            <w:r>
              <w:t>•</w:t>
            </w:r>
            <w:r>
              <w:tab/>
              <w:t xml:space="preserve">Инструмент: кредитная нота (CLN), базовый актив – облигация (в том числе </w:t>
            </w:r>
            <w:proofErr w:type="spellStart"/>
            <w:r>
              <w:t>секьюритизированная</w:t>
            </w:r>
            <w:proofErr w:type="spellEnd"/>
            <w:r>
              <w:t>);</w:t>
            </w:r>
          </w:p>
          <w:p w14:paraId="2357FB68" w14:textId="77777777" w:rsidR="00BF0620" w:rsidRDefault="00BF0620" w:rsidP="00074125">
            <w:pPr>
              <w:spacing w:line="240" w:lineRule="auto"/>
            </w:pPr>
            <w:r>
              <w:t>•</w:t>
            </w:r>
            <w:r>
              <w:tab/>
              <w:t>Справедливая рыночная стоимость CLN 90 руб., номинал 100 руб., срочность 1 год;</w:t>
            </w:r>
          </w:p>
          <w:p w14:paraId="015483C3" w14:textId="77777777" w:rsidR="00BF0620" w:rsidRPr="00850861" w:rsidRDefault="00BF0620" w:rsidP="00074125">
            <w:pPr>
              <w:spacing w:line="240" w:lineRule="auto"/>
            </w:pPr>
            <w:r>
              <w:t>•</w:t>
            </w:r>
            <w:r>
              <w:tab/>
              <w:t>Справедливая рыночная стоимость базового актива 95 руб., номинал 100 руб., срочность 2 года.</w:t>
            </w:r>
          </w:p>
        </w:tc>
        <w:tc>
          <w:tcPr>
            <w:tcW w:w="1702" w:type="dxa"/>
            <w:shd w:val="clear" w:color="auto" w:fill="auto"/>
          </w:tcPr>
          <w:p w14:paraId="606630E9" w14:textId="650313A3" w:rsidR="00BF0620" w:rsidRDefault="00BF0620" w:rsidP="00D5242C">
            <w:pPr>
              <w:spacing w:line="240" w:lineRule="auto"/>
            </w:pPr>
            <w:r>
              <w:t>Вопрос в целях разъяснения</w:t>
            </w:r>
          </w:p>
        </w:tc>
        <w:tc>
          <w:tcPr>
            <w:tcW w:w="6095" w:type="dxa"/>
            <w:shd w:val="clear" w:color="auto" w:fill="auto"/>
          </w:tcPr>
          <w:p w14:paraId="4B6F4784" w14:textId="3E129C32" w:rsidR="00BF0620" w:rsidRPr="00DC514E" w:rsidRDefault="00BF0620" w:rsidP="00A76646">
            <w:pPr>
              <w:spacing w:line="240" w:lineRule="auto"/>
            </w:pPr>
            <w:r>
              <w:t>Порядок расчета процентного риска по кредитной ноте в соответствии с условиями, приведенными банком, приведен в предоставленной банком таблице в приложении.</w:t>
            </w:r>
          </w:p>
        </w:tc>
      </w:tr>
      <w:tr w:rsidR="00BF0620" w:rsidRPr="007C0617" w14:paraId="45B2F2D9" w14:textId="77777777" w:rsidTr="006002F9">
        <w:tc>
          <w:tcPr>
            <w:tcW w:w="710" w:type="dxa"/>
            <w:shd w:val="clear" w:color="auto" w:fill="auto"/>
          </w:tcPr>
          <w:p w14:paraId="1F913058" w14:textId="688FCC1E" w:rsidR="00BF0620" w:rsidRDefault="00BF0620" w:rsidP="0088622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Pr="00850861"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850861">
              <w:instrText xml:space="preserve"> </w:instrText>
            </w:r>
            <w:r>
              <w:rPr>
                <w:lang w:val="en-US"/>
              </w:rPr>
              <w:instrText>RowNum</w:instrText>
            </w:r>
            <w:r w:rsidRPr="00850861">
              <w:instrText xml:space="preserve"> \* </w:instrText>
            </w:r>
            <w:r>
              <w:rPr>
                <w:lang w:val="en-US"/>
              </w:rPr>
              <w:instrText>MERGEFORMAT</w:instrText>
            </w:r>
            <w:r w:rsidRPr="00850861"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E20A86" w:rsidRPr="00E20A86">
              <w:rPr>
                <w:noProof/>
              </w:rPr>
              <w:t>17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FF86415" w14:textId="0F903805" w:rsidR="00BF0620" w:rsidRDefault="00BF0620" w:rsidP="00D5242C">
            <w:pPr>
              <w:spacing w:line="240" w:lineRule="auto"/>
            </w:pPr>
            <w:r w:rsidRPr="00005B94">
              <w:t>Пункт 1.7 Положен</w:t>
            </w:r>
            <w:r w:rsidRPr="00005B94">
              <w:lastRenderedPageBreak/>
              <w:t>ия Банка России № 511-П</w:t>
            </w:r>
          </w:p>
        </w:tc>
        <w:tc>
          <w:tcPr>
            <w:tcW w:w="5103" w:type="dxa"/>
            <w:shd w:val="clear" w:color="auto" w:fill="auto"/>
          </w:tcPr>
          <w:p w14:paraId="74958F5B" w14:textId="77777777" w:rsidR="00BF0620" w:rsidRDefault="00BF0620" w:rsidP="00005B94">
            <w:pPr>
              <w:spacing w:line="240" w:lineRule="auto"/>
            </w:pPr>
            <w:r>
              <w:lastRenderedPageBreak/>
              <w:t xml:space="preserve">Предлагаем добавить следующие изменения в Положение Банка России № 511-П касательно </w:t>
            </w:r>
            <w:proofErr w:type="spellStart"/>
            <w:r>
              <w:lastRenderedPageBreak/>
              <w:t>вега</w:t>
            </w:r>
            <w:proofErr w:type="spellEnd"/>
            <w:r>
              <w:t>-риска:</w:t>
            </w:r>
          </w:p>
          <w:p w14:paraId="28A98E05" w14:textId="77777777" w:rsidR="00BF0620" w:rsidRDefault="00BF0620" w:rsidP="00005B94">
            <w:pPr>
              <w:spacing w:line="240" w:lineRule="auto"/>
            </w:pPr>
          </w:p>
          <w:p w14:paraId="0BBA2851" w14:textId="77777777" w:rsidR="00BF0620" w:rsidRDefault="00BF0620" w:rsidP="00005B94">
            <w:pPr>
              <w:spacing w:line="240" w:lineRule="auto"/>
            </w:pPr>
            <w:r>
              <w:t xml:space="preserve">В пункте 1.7: </w:t>
            </w:r>
          </w:p>
          <w:p w14:paraId="7FA95E60" w14:textId="77777777" w:rsidR="00BF0620" w:rsidRDefault="00BF0620" w:rsidP="00005B94">
            <w:pPr>
              <w:spacing w:line="240" w:lineRule="auto"/>
            </w:pPr>
            <w:r>
              <w:t>абзац двенадцатый изложить в следующей редакции:</w:t>
            </w:r>
          </w:p>
          <w:p w14:paraId="1F96767F" w14:textId="77777777" w:rsidR="00BF0620" w:rsidRDefault="00BF0620" w:rsidP="00005B94">
            <w:pPr>
              <w:spacing w:line="240" w:lineRule="auto"/>
            </w:pPr>
            <w:r>
              <w:t>σ – величина волатильности (вмененная или историческая волатильность), рассчитанная для базисного (базового) актива опционного договора.</w:t>
            </w:r>
          </w:p>
          <w:p w14:paraId="6A4CB615" w14:textId="77777777" w:rsidR="00BF0620" w:rsidRDefault="00BF0620" w:rsidP="00005B94">
            <w:pPr>
              <w:spacing w:line="240" w:lineRule="auto"/>
            </w:pPr>
          </w:p>
          <w:p w14:paraId="1BF23C91" w14:textId="77777777" w:rsidR="00BF0620" w:rsidRDefault="00BF0620" w:rsidP="00005B94">
            <w:pPr>
              <w:spacing w:line="240" w:lineRule="auto"/>
            </w:pPr>
            <w:r>
              <w:t xml:space="preserve">Данные изменения необходимы для расчета </w:t>
            </w:r>
            <w:proofErr w:type="spellStart"/>
            <w:r>
              <w:t>вега</w:t>
            </w:r>
            <w:proofErr w:type="spellEnd"/>
            <w:r>
              <w:t>-риска экзотических продуктов в отсутствие котировок вмененной волатильности.</w:t>
            </w:r>
          </w:p>
          <w:p w14:paraId="17243161" w14:textId="370A4099" w:rsidR="00BF0620" w:rsidRDefault="00BF0620" w:rsidP="00005B94">
            <w:pPr>
              <w:spacing w:line="240" w:lineRule="auto"/>
            </w:pPr>
            <w:r>
              <w:t xml:space="preserve">Ситуация, когда нет вмененной волатильности, может возникнуть в случае, если выпускается опцион на базовый актив, для которого нет активного рынка опционов (например, неликвидная акция маленькой компании) или с нестандартным базовым активом. В подобных случаях котировок по опционам, позволяющих оценить вмененную волатильность, нельзя найти в информационных системах (например, </w:t>
            </w:r>
            <w:proofErr w:type="spellStart"/>
            <w:r>
              <w:t>Bloomberg</w:t>
            </w:r>
            <w:proofErr w:type="spellEnd"/>
            <w:r>
              <w:t>). Единственным вариантом для оценки ГВР остается использование данных по исторической волатильности.</w:t>
            </w:r>
          </w:p>
        </w:tc>
        <w:tc>
          <w:tcPr>
            <w:tcW w:w="1702" w:type="dxa"/>
            <w:shd w:val="clear" w:color="auto" w:fill="auto"/>
          </w:tcPr>
          <w:p w14:paraId="725B79D7" w14:textId="6D993A69" w:rsidR="00BF0620" w:rsidRDefault="00BF0620" w:rsidP="00D5242C">
            <w:pPr>
              <w:spacing w:line="240" w:lineRule="auto"/>
            </w:pPr>
            <w:r>
              <w:lastRenderedPageBreak/>
              <w:t>Не принимается</w:t>
            </w:r>
          </w:p>
        </w:tc>
        <w:tc>
          <w:tcPr>
            <w:tcW w:w="6095" w:type="dxa"/>
            <w:shd w:val="clear" w:color="auto" w:fill="auto"/>
          </w:tcPr>
          <w:p w14:paraId="562C282D" w14:textId="42F86B93" w:rsidR="00BF0620" w:rsidRDefault="00BF0620" w:rsidP="00005B94">
            <w:pPr>
              <w:spacing w:line="240" w:lineRule="auto"/>
            </w:pPr>
            <w:r>
              <w:t xml:space="preserve">Производные финансовые инструменты подлежат отражению по справедливой стоимости на балансовом </w:t>
            </w:r>
            <w:r>
              <w:lastRenderedPageBreak/>
              <w:t>счете 526, в связи с чем подлежат переоценке и, соответственно, их справедливая стоимость определяется кредитной организацией. Таким образом, вмененная волатильность может быть рассчитана исходя из стоимости опциона, использованной в целях бухгалтерского учета данного инструмента.</w:t>
            </w:r>
          </w:p>
          <w:p w14:paraId="3A5E10B0" w14:textId="770E1B3D" w:rsidR="00BF0620" w:rsidRDefault="00BF0620" w:rsidP="00005B94">
            <w:pPr>
              <w:spacing w:line="240" w:lineRule="auto"/>
            </w:pPr>
            <w:r>
              <w:t>В случае если в соответствии с учетной политикой кредитной организации для определения стоимости опциона использовалась историческая волатильность базисного (базового) актива, при определении вмененной волатильности на основе модельной цены, вмененная волатильность также будет совпадать с исторической волатильностью.</w:t>
            </w:r>
          </w:p>
        </w:tc>
      </w:tr>
      <w:bookmarkEnd w:id="0"/>
    </w:tbl>
    <w:p w14:paraId="28455E77" w14:textId="77777777" w:rsidR="006119F3" w:rsidRPr="00214F57" w:rsidRDefault="006119F3" w:rsidP="007C0617"/>
    <w:sectPr w:rsidR="006119F3" w:rsidRPr="00214F57" w:rsidSect="00FA2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310"/>
    <w:multiLevelType w:val="hybridMultilevel"/>
    <w:tmpl w:val="9D2ADFFC"/>
    <w:lvl w:ilvl="0" w:tplc="11F40866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FEE"/>
    <w:multiLevelType w:val="hybridMultilevel"/>
    <w:tmpl w:val="1676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A42E7"/>
    <w:multiLevelType w:val="hybridMultilevel"/>
    <w:tmpl w:val="C8EC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E5563"/>
    <w:multiLevelType w:val="hybridMultilevel"/>
    <w:tmpl w:val="592E9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2007"/>
    <w:multiLevelType w:val="hybridMultilevel"/>
    <w:tmpl w:val="D0969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6315"/>
    <w:multiLevelType w:val="hybridMultilevel"/>
    <w:tmpl w:val="C328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53054"/>
    <w:multiLevelType w:val="hybridMultilevel"/>
    <w:tmpl w:val="0CF2E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7FC"/>
    <w:multiLevelType w:val="hybridMultilevel"/>
    <w:tmpl w:val="B08A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C04AB"/>
    <w:multiLevelType w:val="hybridMultilevel"/>
    <w:tmpl w:val="5D585CFE"/>
    <w:lvl w:ilvl="0" w:tplc="5E6CD330">
      <w:start w:val="2"/>
      <w:numFmt w:val="bullet"/>
      <w:lvlText w:val="•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650B4"/>
    <w:multiLevelType w:val="hybridMultilevel"/>
    <w:tmpl w:val="B3AE9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693B"/>
    <w:multiLevelType w:val="hybridMultilevel"/>
    <w:tmpl w:val="B338F82A"/>
    <w:lvl w:ilvl="0" w:tplc="5E6CD330">
      <w:start w:val="2"/>
      <w:numFmt w:val="bullet"/>
      <w:lvlText w:val="•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93B39"/>
    <w:multiLevelType w:val="hybridMultilevel"/>
    <w:tmpl w:val="8E8E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76EFE"/>
    <w:multiLevelType w:val="hybridMultilevel"/>
    <w:tmpl w:val="023C19D6"/>
    <w:lvl w:ilvl="0" w:tplc="70AE5FF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12"/>
    <w:rsid w:val="00005B94"/>
    <w:rsid w:val="00006BE1"/>
    <w:rsid w:val="000109F5"/>
    <w:rsid w:val="00011C59"/>
    <w:rsid w:val="000122A2"/>
    <w:rsid w:val="00013084"/>
    <w:rsid w:val="0001363F"/>
    <w:rsid w:val="0001530E"/>
    <w:rsid w:val="00020849"/>
    <w:rsid w:val="00020EEC"/>
    <w:rsid w:val="00023D31"/>
    <w:rsid w:val="00031066"/>
    <w:rsid w:val="00037A61"/>
    <w:rsid w:val="00044E3A"/>
    <w:rsid w:val="000467C4"/>
    <w:rsid w:val="00051FF5"/>
    <w:rsid w:val="000538B4"/>
    <w:rsid w:val="00055FFA"/>
    <w:rsid w:val="00056EDA"/>
    <w:rsid w:val="00064AA8"/>
    <w:rsid w:val="0006603F"/>
    <w:rsid w:val="00073DC3"/>
    <w:rsid w:val="00074125"/>
    <w:rsid w:val="00074214"/>
    <w:rsid w:val="00080378"/>
    <w:rsid w:val="00080552"/>
    <w:rsid w:val="00082C59"/>
    <w:rsid w:val="00083ED3"/>
    <w:rsid w:val="000921EA"/>
    <w:rsid w:val="000950E0"/>
    <w:rsid w:val="00095D61"/>
    <w:rsid w:val="00097F5C"/>
    <w:rsid w:val="00097FDD"/>
    <w:rsid w:val="000A4BCA"/>
    <w:rsid w:val="000A5B8A"/>
    <w:rsid w:val="000B37F9"/>
    <w:rsid w:val="000B4BEA"/>
    <w:rsid w:val="000B5055"/>
    <w:rsid w:val="000B6041"/>
    <w:rsid w:val="000C0E87"/>
    <w:rsid w:val="000C15C4"/>
    <w:rsid w:val="000C2277"/>
    <w:rsid w:val="000C2AC0"/>
    <w:rsid w:val="000C4E3B"/>
    <w:rsid w:val="000C7048"/>
    <w:rsid w:val="000D254A"/>
    <w:rsid w:val="000D3537"/>
    <w:rsid w:val="000D5083"/>
    <w:rsid w:val="000E042A"/>
    <w:rsid w:val="000E0E41"/>
    <w:rsid w:val="000E184A"/>
    <w:rsid w:val="000E2E86"/>
    <w:rsid w:val="000E3BFF"/>
    <w:rsid w:val="000E3FE8"/>
    <w:rsid w:val="000E4AB2"/>
    <w:rsid w:val="000E4ADE"/>
    <w:rsid w:val="000E6575"/>
    <w:rsid w:val="000F21B6"/>
    <w:rsid w:val="000F2F2A"/>
    <w:rsid w:val="000F31B4"/>
    <w:rsid w:val="000F428E"/>
    <w:rsid w:val="000F5018"/>
    <w:rsid w:val="000F5164"/>
    <w:rsid w:val="000F6B82"/>
    <w:rsid w:val="0010182E"/>
    <w:rsid w:val="0010434F"/>
    <w:rsid w:val="00104C74"/>
    <w:rsid w:val="00106D21"/>
    <w:rsid w:val="00110338"/>
    <w:rsid w:val="001142A6"/>
    <w:rsid w:val="001149D9"/>
    <w:rsid w:val="00116DEF"/>
    <w:rsid w:val="00125893"/>
    <w:rsid w:val="00127D53"/>
    <w:rsid w:val="00131FDD"/>
    <w:rsid w:val="00142B87"/>
    <w:rsid w:val="001533C0"/>
    <w:rsid w:val="001538A2"/>
    <w:rsid w:val="00155166"/>
    <w:rsid w:val="001579F6"/>
    <w:rsid w:val="001609F8"/>
    <w:rsid w:val="0016240C"/>
    <w:rsid w:val="001652DA"/>
    <w:rsid w:val="0016545A"/>
    <w:rsid w:val="00167C82"/>
    <w:rsid w:val="0017563F"/>
    <w:rsid w:val="00176BDA"/>
    <w:rsid w:val="00183D8D"/>
    <w:rsid w:val="001845FB"/>
    <w:rsid w:val="00190890"/>
    <w:rsid w:val="00191944"/>
    <w:rsid w:val="00192497"/>
    <w:rsid w:val="001967E4"/>
    <w:rsid w:val="001A3B6B"/>
    <w:rsid w:val="001A415B"/>
    <w:rsid w:val="001A7646"/>
    <w:rsid w:val="001B0A98"/>
    <w:rsid w:val="001B24AF"/>
    <w:rsid w:val="001B4FA9"/>
    <w:rsid w:val="001B50FE"/>
    <w:rsid w:val="001C1068"/>
    <w:rsid w:val="001C1539"/>
    <w:rsid w:val="001D3A44"/>
    <w:rsid w:val="001D534C"/>
    <w:rsid w:val="001E08F3"/>
    <w:rsid w:val="001E2277"/>
    <w:rsid w:val="001F2EF6"/>
    <w:rsid w:val="001F392F"/>
    <w:rsid w:val="001F6D66"/>
    <w:rsid w:val="001F7CBB"/>
    <w:rsid w:val="00205AC1"/>
    <w:rsid w:val="00206D5C"/>
    <w:rsid w:val="00214F57"/>
    <w:rsid w:val="002155F1"/>
    <w:rsid w:val="00215C51"/>
    <w:rsid w:val="00220370"/>
    <w:rsid w:val="002208BD"/>
    <w:rsid w:val="0022124B"/>
    <w:rsid w:val="002256FA"/>
    <w:rsid w:val="00232A38"/>
    <w:rsid w:val="00235D23"/>
    <w:rsid w:val="00235ED8"/>
    <w:rsid w:val="002400AB"/>
    <w:rsid w:val="00240204"/>
    <w:rsid w:val="002434FD"/>
    <w:rsid w:val="0024410A"/>
    <w:rsid w:val="0024642B"/>
    <w:rsid w:val="00246947"/>
    <w:rsid w:val="00247276"/>
    <w:rsid w:val="00247DFF"/>
    <w:rsid w:val="00250353"/>
    <w:rsid w:val="002504D3"/>
    <w:rsid w:val="00250A3D"/>
    <w:rsid w:val="00250B6B"/>
    <w:rsid w:val="00254130"/>
    <w:rsid w:val="00256B01"/>
    <w:rsid w:val="00261427"/>
    <w:rsid w:val="00262874"/>
    <w:rsid w:val="00266CD9"/>
    <w:rsid w:val="002679FF"/>
    <w:rsid w:val="002728B9"/>
    <w:rsid w:val="002742BF"/>
    <w:rsid w:val="0027509D"/>
    <w:rsid w:val="00275922"/>
    <w:rsid w:val="002807AB"/>
    <w:rsid w:val="00286E6B"/>
    <w:rsid w:val="0029075C"/>
    <w:rsid w:val="00294001"/>
    <w:rsid w:val="002A149A"/>
    <w:rsid w:val="002A5330"/>
    <w:rsid w:val="002A5853"/>
    <w:rsid w:val="002A5B76"/>
    <w:rsid w:val="002A6675"/>
    <w:rsid w:val="002B2498"/>
    <w:rsid w:val="002B34A0"/>
    <w:rsid w:val="002B37D3"/>
    <w:rsid w:val="002B4CE3"/>
    <w:rsid w:val="002B57DA"/>
    <w:rsid w:val="002C00F2"/>
    <w:rsid w:val="002C06AB"/>
    <w:rsid w:val="002C40B8"/>
    <w:rsid w:val="002C4E35"/>
    <w:rsid w:val="002D09CC"/>
    <w:rsid w:val="002D21D6"/>
    <w:rsid w:val="002D2FB6"/>
    <w:rsid w:val="002E010A"/>
    <w:rsid w:val="002E467F"/>
    <w:rsid w:val="002E61F1"/>
    <w:rsid w:val="002E6AE0"/>
    <w:rsid w:val="002E6B21"/>
    <w:rsid w:val="002F02B2"/>
    <w:rsid w:val="002F3FD8"/>
    <w:rsid w:val="002F4435"/>
    <w:rsid w:val="0030016D"/>
    <w:rsid w:val="00301BE1"/>
    <w:rsid w:val="00306C98"/>
    <w:rsid w:val="00307301"/>
    <w:rsid w:val="00307343"/>
    <w:rsid w:val="00315698"/>
    <w:rsid w:val="0031625E"/>
    <w:rsid w:val="0031724E"/>
    <w:rsid w:val="00320043"/>
    <w:rsid w:val="00322CED"/>
    <w:rsid w:val="0032309D"/>
    <w:rsid w:val="00323B7D"/>
    <w:rsid w:val="00324FF4"/>
    <w:rsid w:val="00325A00"/>
    <w:rsid w:val="00331A9B"/>
    <w:rsid w:val="0033345E"/>
    <w:rsid w:val="00333F56"/>
    <w:rsid w:val="00334061"/>
    <w:rsid w:val="003475B0"/>
    <w:rsid w:val="003477B6"/>
    <w:rsid w:val="003511D5"/>
    <w:rsid w:val="00351CD6"/>
    <w:rsid w:val="00352F80"/>
    <w:rsid w:val="00353EB2"/>
    <w:rsid w:val="00356F7D"/>
    <w:rsid w:val="003600E7"/>
    <w:rsid w:val="00362647"/>
    <w:rsid w:val="00364184"/>
    <w:rsid w:val="003705A8"/>
    <w:rsid w:val="00370A01"/>
    <w:rsid w:val="00375B1D"/>
    <w:rsid w:val="003822C5"/>
    <w:rsid w:val="0039637E"/>
    <w:rsid w:val="003A30F4"/>
    <w:rsid w:val="003A4B73"/>
    <w:rsid w:val="003A57CB"/>
    <w:rsid w:val="003B0E5F"/>
    <w:rsid w:val="003B17BF"/>
    <w:rsid w:val="003B379F"/>
    <w:rsid w:val="003B6466"/>
    <w:rsid w:val="003B677A"/>
    <w:rsid w:val="003B6A36"/>
    <w:rsid w:val="003B71FD"/>
    <w:rsid w:val="003C08C6"/>
    <w:rsid w:val="003C18B9"/>
    <w:rsid w:val="003D04FE"/>
    <w:rsid w:val="003D0D67"/>
    <w:rsid w:val="003D36AE"/>
    <w:rsid w:val="003D4A77"/>
    <w:rsid w:val="003E24A1"/>
    <w:rsid w:val="003E5BAA"/>
    <w:rsid w:val="003E6DDA"/>
    <w:rsid w:val="003F1A87"/>
    <w:rsid w:val="00403AF9"/>
    <w:rsid w:val="00405FFF"/>
    <w:rsid w:val="0041448E"/>
    <w:rsid w:val="0041503A"/>
    <w:rsid w:val="00416AD0"/>
    <w:rsid w:val="0042182D"/>
    <w:rsid w:val="00422405"/>
    <w:rsid w:val="00423CDE"/>
    <w:rsid w:val="004303EF"/>
    <w:rsid w:val="0043603F"/>
    <w:rsid w:val="004371A0"/>
    <w:rsid w:val="004400E3"/>
    <w:rsid w:val="00443BAE"/>
    <w:rsid w:val="0044754B"/>
    <w:rsid w:val="00452092"/>
    <w:rsid w:val="00454C5D"/>
    <w:rsid w:val="00462154"/>
    <w:rsid w:val="004642AB"/>
    <w:rsid w:val="00465912"/>
    <w:rsid w:val="004717DA"/>
    <w:rsid w:val="00471E01"/>
    <w:rsid w:val="004738C6"/>
    <w:rsid w:val="004743CD"/>
    <w:rsid w:val="00482E7C"/>
    <w:rsid w:val="004863EC"/>
    <w:rsid w:val="0048694F"/>
    <w:rsid w:val="00486FE1"/>
    <w:rsid w:val="004929C2"/>
    <w:rsid w:val="00492CE7"/>
    <w:rsid w:val="00492DFB"/>
    <w:rsid w:val="00493769"/>
    <w:rsid w:val="004972BC"/>
    <w:rsid w:val="004A1A5A"/>
    <w:rsid w:val="004B0D19"/>
    <w:rsid w:val="004B68D1"/>
    <w:rsid w:val="004B729C"/>
    <w:rsid w:val="004C1D86"/>
    <w:rsid w:val="004C1EA8"/>
    <w:rsid w:val="004C5C21"/>
    <w:rsid w:val="004C6E15"/>
    <w:rsid w:val="004C7262"/>
    <w:rsid w:val="004D0B7D"/>
    <w:rsid w:val="004D1D2B"/>
    <w:rsid w:val="004D3208"/>
    <w:rsid w:val="004D4046"/>
    <w:rsid w:val="004E0FA6"/>
    <w:rsid w:val="004E275D"/>
    <w:rsid w:val="004E3ED4"/>
    <w:rsid w:val="004E5F3F"/>
    <w:rsid w:val="004F2772"/>
    <w:rsid w:val="004F506D"/>
    <w:rsid w:val="004F71A5"/>
    <w:rsid w:val="004F7E9C"/>
    <w:rsid w:val="00502260"/>
    <w:rsid w:val="005100CE"/>
    <w:rsid w:val="00510321"/>
    <w:rsid w:val="005103DB"/>
    <w:rsid w:val="005115BF"/>
    <w:rsid w:val="00513EDE"/>
    <w:rsid w:val="005140E8"/>
    <w:rsid w:val="00523366"/>
    <w:rsid w:val="00523AD5"/>
    <w:rsid w:val="005245D0"/>
    <w:rsid w:val="00525FA3"/>
    <w:rsid w:val="00531D2C"/>
    <w:rsid w:val="0053250B"/>
    <w:rsid w:val="005361BB"/>
    <w:rsid w:val="00540E79"/>
    <w:rsid w:val="00543A41"/>
    <w:rsid w:val="00544BA6"/>
    <w:rsid w:val="00555861"/>
    <w:rsid w:val="005662E4"/>
    <w:rsid w:val="005716AF"/>
    <w:rsid w:val="0057384E"/>
    <w:rsid w:val="0057530D"/>
    <w:rsid w:val="005821A6"/>
    <w:rsid w:val="005844C2"/>
    <w:rsid w:val="0058588D"/>
    <w:rsid w:val="0059177F"/>
    <w:rsid w:val="00593E91"/>
    <w:rsid w:val="005A0136"/>
    <w:rsid w:val="005A204E"/>
    <w:rsid w:val="005B0FF4"/>
    <w:rsid w:val="005B1C67"/>
    <w:rsid w:val="005B24C3"/>
    <w:rsid w:val="005B431E"/>
    <w:rsid w:val="005C0675"/>
    <w:rsid w:val="005C1F76"/>
    <w:rsid w:val="005C2F0C"/>
    <w:rsid w:val="005D053A"/>
    <w:rsid w:val="005D09FA"/>
    <w:rsid w:val="005D6FA9"/>
    <w:rsid w:val="005E1783"/>
    <w:rsid w:val="005E3D70"/>
    <w:rsid w:val="005E64BF"/>
    <w:rsid w:val="005E741E"/>
    <w:rsid w:val="005F2DE5"/>
    <w:rsid w:val="005F2ECB"/>
    <w:rsid w:val="006002F9"/>
    <w:rsid w:val="006024DA"/>
    <w:rsid w:val="00603FDC"/>
    <w:rsid w:val="0060483D"/>
    <w:rsid w:val="00604A86"/>
    <w:rsid w:val="006102CE"/>
    <w:rsid w:val="006119F3"/>
    <w:rsid w:val="00612D4E"/>
    <w:rsid w:val="00624DDE"/>
    <w:rsid w:val="00625456"/>
    <w:rsid w:val="00625AF1"/>
    <w:rsid w:val="00631148"/>
    <w:rsid w:val="0063193E"/>
    <w:rsid w:val="00636818"/>
    <w:rsid w:val="0064026A"/>
    <w:rsid w:val="00642269"/>
    <w:rsid w:val="00642FAE"/>
    <w:rsid w:val="00643241"/>
    <w:rsid w:val="00646423"/>
    <w:rsid w:val="006506E1"/>
    <w:rsid w:val="0065200B"/>
    <w:rsid w:val="0065711E"/>
    <w:rsid w:val="00657282"/>
    <w:rsid w:val="006613D6"/>
    <w:rsid w:val="00661D7F"/>
    <w:rsid w:val="006673C9"/>
    <w:rsid w:val="006704EC"/>
    <w:rsid w:val="00672962"/>
    <w:rsid w:val="00673291"/>
    <w:rsid w:val="006738BE"/>
    <w:rsid w:val="00675D1B"/>
    <w:rsid w:val="00676683"/>
    <w:rsid w:val="00677BCE"/>
    <w:rsid w:val="00681A81"/>
    <w:rsid w:val="00687675"/>
    <w:rsid w:val="0068773F"/>
    <w:rsid w:val="0068791D"/>
    <w:rsid w:val="00691BB0"/>
    <w:rsid w:val="00695B9D"/>
    <w:rsid w:val="006A43BA"/>
    <w:rsid w:val="006B016E"/>
    <w:rsid w:val="006B26E8"/>
    <w:rsid w:val="006B4814"/>
    <w:rsid w:val="006B60A3"/>
    <w:rsid w:val="006B750D"/>
    <w:rsid w:val="006B7C03"/>
    <w:rsid w:val="006C150C"/>
    <w:rsid w:val="006C2D8D"/>
    <w:rsid w:val="006C2E35"/>
    <w:rsid w:val="006C488E"/>
    <w:rsid w:val="006C5FE8"/>
    <w:rsid w:val="006E0472"/>
    <w:rsid w:val="006E14A8"/>
    <w:rsid w:val="006E22FE"/>
    <w:rsid w:val="006E7BBD"/>
    <w:rsid w:val="006F0A9E"/>
    <w:rsid w:val="006F4627"/>
    <w:rsid w:val="006F61E5"/>
    <w:rsid w:val="00702221"/>
    <w:rsid w:val="00706F9F"/>
    <w:rsid w:val="00707E7D"/>
    <w:rsid w:val="007106BE"/>
    <w:rsid w:val="00711182"/>
    <w:rsid w:val="00726029"/>
    <w:rsid w:val="0072737F"/>
    <w:rsid w:val="0073000E"/>
    <w:rsid w:val="00730CB9"/>
    <w:rsid w:val="007321E9"/>
    <w:rsid w:val="00733E96"/>
    <w:rsid w:val="00740F56"/>
    <w:rsid w:val="00741CC1"/>
    <w:rsid w:val="00743521"/>
    <w:rsid w:val="00744313"/>
    <w:rsid w:val="007476A0"/>
    <w:rsid w:val="0075023B"/>
    <w:rsid w:val="00752074"/>
    <w:rsid w:val="007570FF"/>
    <w:rsid w:val="00757190"/>
    <w:rsid w:val="00757D6F"/>
    <w:rsid w:val="00757F6D"/>
    <w:rsid w:val="007627AE"/>
    <w:rsid w:val="00764C57"/>
    <w:rsid w:val="00767C47"/>
    <w:rsid w:val="007709E6"/>
    <w:rsid w:val="00773885"/>
    <w:rsid w:val="0077413F"/>
    <w:rsid w:val="007747C9"/>
    <w:rsid w:val="00776BC2"/>
    <w:rsid w:val="00787E18"/>
    <w:rsid w:val="00790029"/>
    <w:rsid w:val="007912CF"/>
    <w:rsid w:val="0079362E"/>
    <w:rsid w:val="00795584"/>
    <w:rsid w:val="007A16D2"/>
    <w:rsid w:val="007B1E5B"/>
    <w:rsid w:val="007B53C0"/>
    <w:rsid w:val="007C0617"/>
    <w:rsid w:val="007C121A"/>
    <w:rsid w:val="007D1D3C"/>
    <w:rsid w:val="007D7C8C"/>
    <w:rsid w:val="007D7EED"/>
    <w:rsid w:val="007E0F32"/>
    <w:rsid w:val="007E3449"/>
    <w:rsid w:val="007E656A"/>
    <w:rsid w:val="007E7933"/>
    <w:rsid w:val="007F30D4"/>
    <w:rsid w:val="007F6D41"/>
    <w:rsid w:val="008029D9"/>
    <w:rsid w:val="008052AD"/>
    <w:rsid w:val="00806F52"/>
    <w:rsid w:val="00812365"/>
    <w:rsid w:val="00813EEF"/>
    <w:rsid w:val="00815F16"/>
    <w:rsid w:val="00820280"/>
    <w:rsid w:val="0082115F"/>
    <w:rsid w:val="00821F1A"/>
    <w:rsid w:val="00823113"/>
    <w:rsid w:val="00825A49"/>
    <w:rsid w:val="0083016A"/>
    <w:rsid w:val="0083452C"/>
    <w:rsid w:val="008361AF"/>
    <w:rsid w:val="00840A32"/>
    <w:rsid w:val="008411D1"/>
    <w:rsid w:val="00841958"/>
    <w:rsid w:val="00841CAD"/>
    <w:rsid w:val="00845F32"/>
    <w:rsid w:val="00850861"/>
    <w:rsid w:val="00856097"/>
    <w:rsid w:val="008639F9"/>
    <w:rsid w:val="0086636F"/>
    <w:rsid w:val="00867D9E"/>
    <w:rsid w:val="00871135"/>
    <w:rsid w:val="0087154B"/>
    <w:rsid w:val="00874BF5"/>
    <w:rsid w:val="0087585B"/>
    <w:rsid w:val="008773E2"/>
    <w:rsid w:val="008802B4"/>
    <w:rsid w:val="00880D23"/>
    <w:rsid w:val="00882960"/>
    <w:rsid w:val="00885228"/>
    <w:rsid w:val="0088600F"/>
    <w:rsid w:val="0088622A"/>
    <w:rsid w:val="00893E61"/>
    <w:rsid w:val="00895F49"/>
    <w:rsid w:val="008A1ECF"/>
    <w:rsid w:val="008A247E"/>
    <w:rsid w:val="008A4830"/>
    <w:rsid w:val="008A5043"/>
    <w:rsid w:val="008A5235"/>
    <w:rsid w:val="008A5DB0"/>
    <w:rsid w:val="008A6616"/>
    <w:rsid w:val="008B10C3"/>
    <w:rsid w:val="008B427E"/>
    <w:rsid w:val="008C4228"/>
    <w:rsid w:val="008C7943"/>
    <w:rsid w:val="008D0F59"/>
    <w:rsid w:val="008D1740"/>
    <w:rsid w:val="008D57B4"/>
    <w:rsid w:val="008D7E99"/>
    <w:rsid w:val="008E0AEA"/>
    <w:rsid w:val="008E0DC3"/>
    <w:rsid w:val="008F4B1C"/>
    <w:rsid w:val="008F58BA"/>
    <w:rsid w:val="008F668B"/>
    <w:rsid w:val="008F6CF3"/>
    <w:rsid w:val="00900C54"/>
    <w:rsid w:val="00901B92"/>
    <w:rsid w:val="00911545"/>
    <w:rsid w:val="00911AA9"/>
    <w:rsid w:val="00913F29"/>
    <w:rsid w:val="00922F8B"/>
    <w:rsid w:val="00926BD9"/>
    <w:rsid w:val="009323D9"/>
    <w:rsid w:val="00932BB0"/>
    <w:rsid w:val="00933B96"/>
    <w:rsid w:val="00934509"/>
    <w:rsid w:val="0093476A"/>
    <w:rsid w:val="009369D3"/>
    <w:rsid w:val="00941310"/>
    <w:rsid w:val="0094601F"/>
    <w:rsid w:val="00947004"/>
    <w:rsid w:val="00950651"/>
    <w:rsid w:val="009512E0"/>
    <w:rsid w:val="0095182E"/>
    <w:rsid w:val="00952245"/>
    <w:rsid w:val="00957EF3"/>
    <w:rsid w:val="0096013A"/>
    <w:rsid w:val="00967EC9"/>
    <w:rsid w:val="009703F3"/>
    <w:rsid w:val="00970CA3"/>
    <w:rsid w:val="00973D24"/>
    <w:rsid w:val="00973EAC"/>
    <w:rsid w:val="00974277"/>
    <w:rsid w:val="00974E9B"/>
    <w:rsid w:val="00975752"/>
    <w:rsid w:val="00975D79"/>
    <w:rsid w:val="00980315"/>
    <w:rsid w:val="00981C6E"/>
    <w:rsid w:val="00981F42"/>
    <w:rsid w:val="00984B17"/>
    <w:rsid w:val="00985D46"/>
    <w:rsid w:val="009920A5"/>
    <w:rsid w:val="00994FEE"/>
    <w:rsid w:val="009974AD"/>
    <w:rsid w:val="009A0C51"/>
    <w:rsid w:val="009A46D5"/>
    <w:rsid w:val="009A4E7D"/>
    <w:rsid w:val="009B28DB"/>
    <w:rsid w:val="009B39EA"/>
    <w:rsid w:val="009B5C67"/>
    <w:rsid w:val="009B7ABA"/>
    <w:rsid w:val="009C0F50"/>
    <w:rsid w:val="009C46BB"/>
    <w:rsid w:val="009D3AD2"/>
    <w:rsid w:val="009D406C"/>
    <w:rsid w:val="009D513D"/>
    <w:rsid w:val="009D68FF"/>
    <w:rsid w:val="009E1C4B"/>
    <w:rsid w:val="009E1D7F"/>
    <w:rsid w:val="009E1FDF"/>
    <w:rsid w:val="009E20F4"/>
    <w:rsid w:val="009E343E"/>
    <w:rsid w:val="009E34C3"/>
    <w:rsid w:val="009E4512"/>
    <w:rsid w:val="009E609F"/>
    <w:rsid w:val="009E6244"/>
    <w:rsid w:val="009F3587"/>
    <w:rsid w:val="009F396D"/>
    <w:rsid w:val="009F3F3F"/>
    <w:rsid w:val="009F4CDE"/>
    <w:rsid w:val="00A00EB2"/>
    <w:rsid w:val="00A02581"/>
    <w:rsid w:val="00A0490B"/>
    <w:rsid w:val="00A10A6F"/>
    <w:rsid w:val="00A11514"/>
    <w:rsid w:val="00A16E9A"/>
    <w:rsid w:val="00A17A75"/>
    <w:rsid w:val="00A20C90"/>
    <w:rsid w:val="00A22CBE"/>
    <w:rsid w:val="00A30AF1"/>
    <w:rsid w:val="00A34DCA"/>
    <w:rsid w:val="00A36206"/>
    <w:rsid w:val="00A364C9"/>
    <w:rsid w:val="00A372F8"/>
    <w:rsid w:val="00A45F45"/>
    <w:rsid w:val="00A46084"/>
    <w:rsid w:val="00A46AC4"/>
    <w:rsid w:val="00A474D0"/>
    <w:rsid w:val="00A56CC3"/>
    <w:rsid w:val="00A570CE"/>
    <w:rsid w:val="00A61B4F"/>
    <w:rsid w:val="00A7106B"/>
    <w:rsid w:val="00A728A2"/>
    <w:rsid w:val="00A76646"/>
    <w:rsid w:val="00A91069"/>
    <w:rsid w:val="00A92516"/>
    <w:rsid w:val="00A92846"/>
    <w:rsid w:val="00A92AB8"/>
    <w:rsid w:val="00A96364"/>
    <w:rsid w:val="00A96C1B"/>
    <w:rsid w:val="00AA0C51"/>
    <w:rsid w:val="00AA3C71"/>
    <w:rsid w:val="00AA4230"/>
    <w:rsid w:val="00AB1966"/>
    <w:rsid w:val="00AB236D"/>
    <w:rsid w:val="00AB2B20"/>
    <w:rsid w:val="00AB4A1C"/>
    <w:rsid w:val="00AC7F88"/>
    <w:rsid w:val="00AD14FE"/>
    <w:rsid w:val="00AD1673"/>
    <w:rsid w:val="00AD66FB"/>
    <w:rsid w:val="00AD78F1"/>
    <w:rsid w:val="00AE55C7"/>
    <w:rsid w:val="00AE7E7B"/>
    <w:rsid w:val="00AF46CF"/>
    <w:rsid w:val="00B07D57"/>
    <w:rsid w:val="00B108ED"/>
    <w:rsid w:val="00B1222E"/>
    <w:rsid w:val="00B13B32"/>
    <w:rsid w:val="00B15C13"/>
    <w:rsid w:val="00B20177"/>
    <w:rsid w:val="00B24CFE"/>
    <w:rsid w:val="00B25A8B"/>
    <w:rsid w:val="00B307D5"/>
    <w:rsid w:val="00B30D38"/>
    <w:rsid w:val="00B348E4"/>
    <w:rsid w:val="00B3657B"/>
    <w:rsid w:val="00B378B1"/>
    <w:rsid w:val="00B37EE6"/>
    <w:rsid w:val="00B44FA2"/>
    <w:rsid w:val="00B467C1"/>
    <w:rsid w:val="00B46E3C"/>
    <w:rsid w:val="00B47F02"/>
    <w:rsid w:val="00B53997"/>
    <w:rsid w:val="00B55DCB"/>
    <w:rsid w:val="00B56ADF"/>
    <w:rsid w:val="00B61A8C"/>
    <w:rsid w:val="00B61FFE"/>
    <w:rsid w:val="00B64111"/>
    <w:rsid w:val="00B70218"/>
    <w:rsid w:val="00B749BE"/>
    <w:rsid w:val="00B765FB"/>
    <w:rsid w:val="00B81869"/>
    <w:rsid w:val="00B82D7E"/>
    <w:rsid w:val="00BA024C"/>
    <w:rsid w:val="00BA3B32"/>
    <w:rsid w:val="00BA535F"/>
    <w:rsid w:val="00BB4149"/>
    <w:rsid w:val="00BB5F73"/>
    <w:rsid w:val="00BB66CC"/>
    <w:rsid w:val="00BC144F"/>
    <w:rsid w:val="00BC4C51"/>
    <w:rsid w:val="00BC4FA1"/>
    <w:rsid w:val="00BC5D71"/>
    <w:rsid w:val="00BE3EEC"/>
    <w:rsid w:val="00BE6A8C"/>
    <w:rsid w:val="00BF0422"/>
    <w:rsid w:val="00BF0620"/>
    <w:rsid w:val="00BF2479"/>
    <w:rsid w:val="00BF40E1"/>
    <w:rsid w:val="00BF4914"/>
    <w:rsid w:val="00BF51F1"/>
    <w:rsid w:val="00BF69C8"/>
    <w:rsid w:val="00C0535F"/>
    <w:rsid w:val="00C05A19"/>
    <w:rsid w:val="00C063E8"/>
    <w:rsid w:val="00C067F0"/>
    <w:rsid w:val="00C078C7"/>
    <w:rsid w:val="00C07C3C"/>
    <w:rsid w:val="00C12E80"/>
    <w:rsid w:val="00C138F0"/>
    <w:rsid w:val="00C14EC1"/>
    <w:rsid w:val="00C15A20"/>
    <w:rsid w:val="00C15AA1"/>
    <w:rsid w:val="00C203A7"/>
    <w:rsid w:val="00C23801"/>
    <w:rsid w:val="00C2643A"/>
    <w:rsid w:val="00C26C3A"/>
    <w:rsid w:val="00C26FBD"/>
    <w:rsid w:val="00C32EAF"/>
    <w:rsid w:val="00C37EDF"/>
    <w:rsid w:val="00C416FB"/>
    <w:rsid w:val="00C41DFC"/>
    <w:rsid w:val="00C521D9"/>
    <w:rsid w:val="00C53590"/>
    <w:rsid w:val="00C57BE2"/>
    <w:rsid w:val="00C57E98"/>
    <w:rsid w:val="00C66D21"/>
    <w:rsid w:val="00C70249"/>
    <w:rsid w:val="00C70EF6"/>
    <w:rsid w:val="00C717D5"/>
    <w:rsid w:val="00C743AC"/>
    <w:rsid w:val="00C751E9"/>
    <w:rsid w:val="00C8092C"/>
    <w:rsid w:val="00C8167D"/>
    <w:rsid w:val="00C85715"/>
    <w:rsid w:val="00C8609F"/>
    <w:rsid w:val="00C87496"/>
    <w:rsid w:val="00C90125"/>
    <w:rsid w:val="00C916D8"/>
    <w:rsid w:val="00C95805"/>
    <w:rsid w:val="00C95A1A"/>
    <w:rsid w:val="00C96211"/>
    <w:rsid w:val="00CA1E90"/>
    <w:rsid w:val="00CA2B40"/>
    <w:rsid w:val="00CA6D19"/>
    <w:rsid w:val="00CA6FD0"/>
    <w:rsid w:val="00CB2AAD"/>
    <w:rsid w:val="00CB324F"/>
    <w:rsid w:val="00CB349A"/>
    <w:rsid w:val="00CB5AEC"/>
    <w:rsid w:val="00CC16B8"/>
    <w:rsid w:val="00CE6AF4"/>
    <w:rsid w:val="00CF6607"/>
    <w:rsid w:val="00D00C4C"/>
    <w:rsid w:val="00D049DA"/>
    <w:rsid w:val="00D10843"/>
    <w:rsid w:val="00D126AC"/>
    <w:rsid w:val="00D14ED1"/>
    <w:rsid w:val="00D151F2"/>
    <w:rsid w:val="00D1555D"/>
    <w:rsid w:val="00D17918"/>
    <w:rsid w:val="00D202FB"/>
    <w:rsid w:val="00D2309D"/>
    <w:rsid w:val="00D24E14"/>
    <w:rsid w:val="00D27B4B"/>
    <w:rsid w:val="00D31644"/>
    <w:rsid w:val="00D3241F"/>
    <w:rsid w:val="00D35425"/>
    <w:rsid w:val="00D41268"/>
    <w:rsid w:val="00D4286A"/>
    <w:rsid w:val="00D44D8E"/>
    <w:rsid w:val="00D4659F"/>
    <w:rsid w:val="00D47CA5"/>
    <w:rsid w:val="00D5242C"/>
    <w:rsid w:val="00D53971"/>
    <w:rsid w:val="00D61BE2"/>
    <w:rsid w:val="00D620BC"/>
    <w:rsid w:val="00D63602"/>
    <w:rsid w:val="00D63C13"/>
    <w:rsid w:val="00D649A7"/>
    <w:rsid w:val="00D66B79"/>
    <w:rsid w:val="00D67426"/>
    <w:rsid w:val="00D7017E"/>
    <w:rsid w:val="00D77A92"/>
    <w:rsid w:val="00D809FB"/>
    <w:rsid w:val="00D81373"/>
    <w:rsid w:val="00D81D67"/>
    <w:rsid w:val="00D81D95"/>
    <w:rsid w:val="00D878F4"/>
    <w:rsid w:val="00D915F7"/>
    <w:rsid w:val="00D952DA"/>
    <w:rsid w:val="00D96B8E"/>
    <w:rsid w:val="00DA0027"/>
    <w:rsid w:val="00DA203A"/>
    <w:rsid w:val="00DA423D"/>
    <w:rsid w:val="00DA4438"/>
    <w:rsid w:val="00DA4E14"/>
    <w:rsid w:val="00DB0A2C"/>
    <w:rsid w:val="00DB6072"/>
    <w:rsid w:val="00DB609B"/>
    <w:rsid w:val="00DB670C"/>
    <w:rsid w:val="00DC1C26"/>
    <w:rsid w:val="00DC3E86"/>
    <w:rsid w:val="00DC47C2"/>
    <w:rsid w:val="00DC514E"/>
    <w:rsid w:val="00DC5854"/>
    <w:rsid w:val="00DC7B2D"/>
    <w:rsid w:val="00DD227E"/>
    <w:rsid w:val="00DD25C5"/>
    <w:rsid w:val="00DD2C36"/>
    <w:rsid w:val="00DD2D20"/>
    <w:rsid w:val="00DD4D01"/>
    <w:rsid w:val="00DD50E9"/>
    <w:rsid w:val="00DE3363"/>
    <w:rsid w:val="00DE35F7"/>
    <w:rsid w:val="00DE49E3"/>
    <w:rsid w:val="00DE5A42"/>
    <w:rsid w:val="00DE7A36"/>
    <w:rsid w:val="00DF26C4"/>
    <w:rsid w:val="00DF4E8B"/>
    <w:rsid w:val="00DF59A0"/>
    <w:rsid w:val="00DF60B9"/>
    <w:rsid w:val="00E00C79"/>
    <w:rsid w:val="00E014C0"/>
    <w:rsid w:val="00E01817"/>
    <w:rsid w:val="00E01C0B"/>
    <w:rsid w:val="00E030CF"/>
    <w:rsid w:val="00E07F84"/>
    <w:rsid w:val="00E14DB3"/>
    <w:rsid w:val="00E15776"/>
    <w:rsid w:val="00E20A86"/>
    <w:rsid w:val="00E214B8"/>
    <w:rsid w:val="00E23ADA"/>
    <w:rsid w:val="00E35E81"/>
    <w:rsid w:val="00E47325"/>
    <w:rsid w:val="00E539ED"/>
    <w:rsid w:val="00E56E6B"/>
    <w:rsid w:val="00E57404"/>
    <w:rsid w:val="00E60C9E"/>
    <w:rsid w:val="00E6335E"/>
    <w:rsid w:val="00E650F3"/>
    <w:rsid w:val="00E670F8"/>
    <w:rsid w:val="00E70F0D"/>
    <w:rsid w:val="00E7350D"/>
    <w:rsid w:val="00E7379A"/>
    <w:rsid w:val="00E76AB7"/>
    <w:rsid w:val="00E830FE"/>
    <w:rsid w:val="00E942A3"/>
    <w:rsid w:val="00EA10DC"/>
    <w:rsid w:val="00EA1CDA"/>
    <w:rsid w:val="00EA3017"/>
    <w:rsid w:val="00EA3617"/>
    <w:rsid w:val="00EB116A"/>
    <w:rsid w:val="00EB1739"/>
    <w:rsid w:val="00EB7671"/>
    <w:rsid w:val="00EC00F8"/>
    <w:rsid w:val="00EC30CE"/>
    <w:rsid w:val="00EC369B"/>
    <w:rsid w:val="00EC78F9"/>
    <w:rsid w:val="00ED0A9D"/>
    <w:rsid w:val="00ED10D5"/>
    <w:rsid w:val="00ED1AA7"/>
    <w:rsid w:val="00ED255D"/>
    <w:rsid w:val="00ED2C32"/>
    <w:rsid w:val="00ED32E8"/>
    <w:rsid w:val="00EE06D8"/>
    <w:rsid w:val="00EE1154"/>
    <w:rsid w:val="00EE1829"/>
    <w:rsid w:val="00EE1A08"/>
    <w:rsid w:val="00EE43C4"/>
    <w:rsid w:val="00EE4B07"/>
    <w:rsid w:val="00EE60E5"/>
    <w:rsid w:val="00EF5E41"/>
    <w:rsid w:val="00EF6AEA"/>
    <w:rsid w:val="00F003BE"/>
    <w:rsid w:val="00F0735D"/>
    <w:rsid w:val="00F121FD"/>
    <w:rsid w:val="00F172E2"/>
    <w:rsid w:val="00F20029"/>
    <w:rsid w:val="00F20B07"/>
    <w:rsid w:val="00F20DD8"/>
    <w:rsid w:val="00F20E98"/>
    <w:rsid w:val="00F24D81"/>
    <w:rsid w:val="00F33C00"/>
    <w:rsid w:val="00F350AA"/>
    <w:rsid w:val="00F35974"/>
    <w:rsid w:val="00F412B8"/>
    <w:rsid w:val="00F423E1"/>
    <w:rsid w:val="00F42504"/>
    <w:rsid w:val="00F42D4C"/>
    <w:rsid w:val="00F43313"/>
    <w:rsid w:val="00F45CFF"/>
    <w:rsid w:val="00F46D00"/>
    <w:rsid w:val="00F4772A"/>
    <w:rsid w:val="00F47C73"/>
    <w:rsid w:val="00F54FBB"/>
    <w:rsid w:val="00F56ECA"/>
    <w:rsid w:val="00F57CB4"/>
    <w:rsid w:val="00F6019F"/>
    <w:rsid w:val="00F6634B"/>
    <w:rsid w:val="00F70CF1"/>
    <w:rsid w:val="00F72ABB"/>
    <w:rsid w:val="00F761ED"/>
    <w:rsid w:val="00F8199C"/>
    <w:rsid w:val="00F84F0C"/>
    <w:rsid w:val="00F867AD"/>
    <w:rsid w:val="00F901D5"/>
    <w:rsid w:val="00F9026A"/>
    <w:rsid w:val="00F9101C"/>
    <w:rsid w:val="00F92EC9"/>
    <w:rsid w:val="00F94880"/>
    <w:rsid w:val="00F9687D"/>
    <w:rsid w:val="00F96984"/>
    <w:rsid w:val="00FA1831"/>
    <w:rsid w:val="00FA24BD"/>
    <w:rsid w:val="00FA2712"/>
    <w:rsid w:val="00FB0F48"/>
    <w:rsid w:val="00FB3BBD"/>
    <w:rsid w:val="00FB6C25"/>
    <w:rsid w:val="00FB6C67"/>
    <w:rsid w:val="00FC1D63"/>
    <w:rsid w:val="00FC2D18"/>
    <w:rsid w:val="00FC41A4"/>
    <w:rsid w:val="00FC618D"/>
    <w:rsid w:val="00FC6ECD"/>
    <w:rsid w:val="00FD0450"/>
    <w:rsid w:val="00FD0855"/>
    <w:rsid w:val="00FD0C5E"/>
    <w:rsid w:val="00FD5A2F"/>
    <w:rsid w:val="00FE135B"/>
    <w:rsid w:val="00FE324E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49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aliases w:val="Тело"/>
    <w:next w:val="a"/>
    <w:link w:val="10"/>
    <w:uiPriority w:val="9"/>
    <w:qFormat/>
    <w:rsid w:val="009E4512"/>
    <w:pPr>
      <w:spacing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4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F4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E8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728B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728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28B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28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28B9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4694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Текст примечания Знак1"/>
    <w:basedOn w:val="a0"/>
    <w:uiPriority w:val="99"/>
    <w:semiHidden/>
    <w:rsid w:val="004642AB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aliases w:val="Тело Знак"/>
    <w:basedOn w:val="a0"/>
    <w:link w:val="1"/>
    <w:uiPriority w:val="9"/>
    <w:rsid w:val="009E4512"/>
    <w:rPr>
      <w:rFonts w:ascii="Times New Roman" w:eastAsiaTheme="majorEastAsia" w:hAnsi="Times New Roman" w:cstheme="majorBidi"/>
      <w:bCs/>
      <w:sz w:val="24"/>
      <w:szCs w:val="28"/>
    </w:rPr>
  </w:style>
  <w:style w:type="character" w:styleId="ad">
    <w:name w:val="Hyperlink"/>
    <w:basedOn w:val="a0"/>
    <w:uiPriority w:val="99"/>
    <w:unhideWhenUsed/>
    <w:rsid w:val="0051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49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aliases w:val="Тело"/>
    <w:next w:val="a"/>
    <w:link w:val="10"/>
    <w:uiPriority w:val="9"/>
    <w:qFormat/>
    <w:rsid w:val="009E4512"/>
    <w:pPr>
      <w:spacing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4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F4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E8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728B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728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28B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28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28B9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4694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Текст примечания Знак1"/>
    <w:basedOn w:val="a0"/>
    <w:uiPriority w:val="99"/>
    <w:semiHidden/>
    <w:rsid w:val="004642AB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aliases w:val="Тело Знак"/>
    <w:basedOn w:val="a0"/>
    <w:link w:val="1"/>
    <w:uiPriority w:val="9"/>
    <w:rsid w:val="009E4512"/>
    <w:rPr>
      <w:rFonts w:ascii="Times New Roman" w:eastAsiaTheme="majorEastAsia" w:hAnsi="Times New Roman" w:cstheme="majorBidi"/>
      <w:bCs/>
      <w:sz w:val="24"/>
      <w:szCs w:val="28"/>
    </w:rPr>
  </w:style>
  <w:style w:type="character" w:styleId="ad">
    <w:name w:val="Hyperlink"/>
    <w:basedOn w:val="a0"/>
    <w:uiPriority w:val="99"/>
    <w:unhideWhenUsed/>
    <w:rsid w:val="00513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089A-0749-4EFD-B568-86894572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17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Дмитриевич Новиков</dc:creator>
  <cp:lastModifiedBy>Новиков Алексей Дмитриевич</cp:lastModifiedBy>
  <cp:revision>226</cp:revision>
  <cp:lastPrinted>2018-08-08T08:06:00Z</cp:lastPrinted>
  <dcterms:created xsi:type="dcterms:W3CDTF">2017-04-11T16:02:00Z</dcterms:created>
  <dcterms:modified xsi:type="dcterms:W3CDTF">2018-08-08T11:03:00Z</dcterms:modified>
</cp:coreProperties>
</file>