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259" w:rsidRDefault="003B155F">
      <w:r>
        <w:rPr>
          <w:noProof/>
          <w:lang w:eastAsia="ru-RU"/>
        </w:rPr>
        <w:pict>
          <v:rect id="_x0000_s1026" style="position:absolute;left:0;text-align:left;margin-left:183.75pt;margin-top:-6.75pt;width:573.75pt;height:101.25pt;z-index:251658240" stroked="f">
            <v:textbox style="mso-next-textbox:#_x0000_s1026">
              <w:txbxContent>
                <w:p w:rsidR="00667572" w:rsidRPr="00667572" w:rsidRDefault="00667572" w:rsidP="00667572">
                  <w:pPr>
                    <w:tabs>
                      <w:tab w:val="left" w:pos="7938"/>
                    </w:tabs>
                    <w:adjustRightInd w:val="0"/>
                    <w:spacing w:after="0"/>
                    <w:ind w:right="108" w:firstLine="0"/>
                    <w:jc w:val="center"/>
                    <w:rPr>
                      <w:b/>
                      <w:sz w:val="20"/>
                      <w:szCs w:val="20"/>
                    </w:rPr>
                  </w:pPr>
                </w:p>
                <w:p w:rsidR="00667572" w:rsidRPr="00EC1C7E" w:rsidRDefault="00667572" w:rsidP="00667572">
                  <w:pPr>
                    <w:tabs>
                      <w:tab w:val="left" w:pos="7938"/>
                    </w:tabs>
                    <w:adjustRightInd w:val="0"/>
                    <w:ind w:right="107" w:firstLine="0"/>
                    <w:jc w:val="center"/>
                    <w:rPr>
                      <w:b/>
                      <w:bCs/>
                      <w:sz w:val="26"/>
                      <w:szCs w:val="26"/>
                    </w:rPr>
                  </w:pPr>
                  <w:r w:rsidRPr="00EC1C7E">
                    <w:rPr>
                      <w:b/>
                      <w:sz w:val="26"/>
                      <w:szCs w:val="26"/>
                    </w:rPr>
                    <w:t xml:space="preserve">Ответы, предоставленные </w:t>
                  </w:r>
                  <w:r>
                    <w:rPr>
                      <w:b/>
                      <w:sz w:val="26"/>
                      <w:szCs w:val="26"/>
                      <w:u w:val="single"/>
                    </w:rPr>
                    <w:t xml:space="preserve">Департаментом банковского регулирования </w:t>
                  </w:r>
                  <w:r w:rsidRPr="00EC1C7E">
                    <w:rPr>
                      <w:b/>
                      <w:sz w:val="26"/>
                      <w:szCs w:val="26"/>
                      <w:u w:val="single"/>
                    </w:rPr>
                    <w:t>ЦБ РФ,</w:t>
                  </w:r>
                  <w:r>
                    <w:rPr>
                      <w:b/>
                      <w:sz w:val="26"/>
                      <w:szCs w:val="26"/>
                    </w:rPr>
                    <w:t xml:space="preserve"> </w:t>
                  </w:r>
                  <w:r w:rsidRPr="00EC1C7E">
                    <w:rPr>
                      <w:b/>
                      <w:sz w:val="26"/>
                      <w:szCs w:val="26"/>
                    </w:rPr>
                    <w:t>на вопросы</w:t>
                  </w:r>
                  <w:r w:rsidR="00A125FE">
                    <w:rPr>
                      <w:b/>
                      <w:sz w:val="26"/>
                      <w:szCs w:val="26"/>
                    </w:rPr>
                    <w:t xml:space="preserve"> и предложения</w:t>
                  </w:r>
                  <w:r>
                    <w:rPr>
                      <w:b/>
                      <w:sz w:val="26"/>
                      <w:szCs w:val="26"/>
                    </w:rPr>
                    <w:t xml:space="preserve"> в отношении </w:t>
                  </w:r>
                  <w:r w:rsidR="00357A09">
                    <w:rPr>
                      <w:b/>
                      <w:sz w:val="26"/>
                      <w:szCs w:val="26"/>
                    </w:rPr>
                    <w:t>резервов на возможные потери</w:t>
                  </w:r>
                  <w:r w:rsidR="009904DB">
                    <w:rPr>
                      <w:b/>
                      <w:sz w:val="26"/>
                      <w:szCs w:val="26"/>
                    </w:rPr>
                    <w:t xml:space="preserve">, </w:t>
                  </w:r>
                  <w:r w:rsidRPr="00EC1C7E">
                    <w:rPr>
                      <w:b/>
                      <w:bCs/>
                      <w:sz w:val="26"/>
                      <w:szCs w:val="26"/>
                    </w:rPr>
                    <w:t>поступившие в Оргкомитет от участнико</w:t>
                  </w:r>
                  <w:proofErr w:type="gramStart"/>
                  <w:r w:rsidRPr="00EC1C7E">
                    <w:rPr>
                      <w:b/>
                      <w:bCs/>
                      <w:sz w:val="26"/>
                      <w:szCs w:val="26"/>
                    </w:rPr>
                    <w:t xml:space="preserve">в к </w:t>
                  </w:r>
                  <w:r w:rsidRPr="00EC1C7E">
                    <w:rPr>
                      <w:b/>
                      <w:sz w:val="26"/>
                      <w:szCs w:val="26"/>
                    </w:rPr>
                    <w:t>встр</w:t>
                  </w:r>
                  <w:proofErr w:type="gramEnd"/>
                  <w:r w:rsidRPr="00EC1C7E">
                    <w:rPr>
                      <w:b/>
                      <w:sz w:val="26"/>
                      <w:szCs w:val="26"/>
                    </w:rPr>
                    <w:t xml:space="preserve">ече </w:t>
                  </w:r>
                  <w:r w:rsidRPr="00EC1C7E">
                    <w:rPr>
                      <w:b/>
                      <w:bCs/>
                      <w:sz w:val="26"/>
                      <w:szCs w:val="26"/>
                    </w:rPr>
                    <w:t>руководителей Банка России</w:t>
                  </w:r>
                  <w:r w:rsidRPr="00EC1C7E">
                    <w:rPr>
                      <w:b/>
                      <w:sz w:val="26"/>
                      <w:szCs w:val="26"/>
                    </w:rPr>
                    <w:t xml:space="preserve"> </w:t>
                  </w:r>
                  <w:r w:rsidRPr="00EC1C7E">
                    <w:rPr>
                      <w:b/>
                      <w:bCs/>
                      <w:sz w:val="26"/>
                      <w:szCs w:val="26"/>
                    </w:rPr>
                    <w:t>с руководителями коммерческих банков 1</w:t>
                  </w:r>
                  <w:r>
                    <w:rPr>
                      <w:b/>
                      <w:bCs/>
                      <w:sz w:val="26"/>
                      <w:szCs w:val="26"/>
                    </w:rPr>
                    <w:t>2</w:t>
                  </w:r>
                  <w:r w:rsidRPr="00EC1C7E">
                    <w:rPr>
                      <w:b/>
                      <w:bCs/>
                      <w:sz w:val="26"/>
                      <w:szCs w:val="26"/>
                    </w:rPr>
                    <w:t xml:space="preserve"> - 1</w:t>
                  </w:r>
                  <w:r>
                    <w:rPr>
                      <w:b/>
                      <w:bCs/>
                      <w:sz w:val="26"/>
                      <w:szCs w:val="26"/>
                    </w:rPr>
                    <w:t>3</w:t>
                  </w:r>
                  <w:r w:rsidRPr="00EC1C7E">
                    <w:rPr>
                      <w:b/>
                      <w:bCs/>
                      <w:sz w:val="26"/>
                      <w:szCs w:val="26"/>
                    </w:rPr>
                    <w:t xml:space="preserve"> февраля 201</w:t>
                  </w:r>
                  <w:r>
                    <w:rPr>
                      <w:b/>
                      <w:bCs/>
                      <w:sz w:val="26"/>
                      <w:szCs w:val="26"/>
                    </w:rPr>
                    <w:t>5</w:t>
                  </w:r>
                  <w:r w:rsidRPr="00EC1C7E">
                    <w:rPr>
                      <w:b/>
                      <w:bCs/>
                      <w:sz w:val="26"/>
                      <w:szCs w:val="26"/>
                    </w:rPr>
                    <w:t>г. в ОПК «БОР»</w:t>
                  </w:r>
                </w:p>
                <w:p w:rsidR="00667572" w:rsidRDefault="00667572">
                  <w:pPr>
                    <w:ind w:left="0"/>
                  </w:pPr>
                </w:p>
              </w:txbxContent>
            </v:textbox>
          </v:rect>
        </w:pict>
      </w:r>
      <w:r w:rsidR="00667572" w:rsidRPr="00667572">
        <w:rPr>
          <w:noProof/>
          <w:lang w:eastAsia="ru-RU"/>
        </w:rPr>
        <w:drawing>
          <wp:inline distT="0" distB="0" distL="0" distR="0">
            <wp:extent cx="1327785" cy="123253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327785" cy="1232535"/>
                    </a:xfrm>
                    <a:prstGeom prst="rect">
                      <a:avLst/>
                    </a:prstGeom>
                    <a:noFill/>
                    <a:ln w="9525">
                      <a:noFill/>
                      <a:miter lim="800000"/>
                      <a:headEnd/>
                      <a:tailEnd/>
                    </a:ln>
                  </pic:spPr>
                </pic:pic>
              </a:graphicData>
            </a:graphic>
          </wp:inline>
        </w:drawing>
      </w:r>
    </w:p>
    <w:tbl>
      <w:tblPr>
        <w:tblStyle w:val="a9"/>
        <w:tblW w:w="0" w:type="auto"/>
        <w:tblInd w:w="-34" w:type="dxa"/>
        <w:tblLayout w:type="fixed"/>
        <w:tblLook w:val="04A0"/>
      </w:tblPr>
      <w:tblGrid>
        <w:gridCol w:w="709"/>
        <w:gridCol w:w="8364"/>
        <w:gridCol w:w="6575"/>
      </w:tblGrid>
      <w:tr w:rsidR="00E43CE8" w:rsidRPr="003501A6" w:rsidTr="00FD3828">
        <w:tc>
          <w:tcPr>
            <w:tcW w:w="709" w:type="dxa"/>
          </w:tcPr>
          <w:p w:rsidR="00E43CE8" w:rsidRPr="003501A6" w:rsidRDefault="00E43CE8" w:rsidP="00E43CE8">
            <w:pPr>
              <w:ind w:left="34" w:firstLine="0"/>
              <w:rPr>
                <w:sz w:val="24"/>
                <w:szCs w:val="24"/>
              </w:rPr>
            </w:pPr>
            <w:proofErr w:type="spellStart"/>
            <w:proofErr w:type="gramStart"/>
            <w:r w:rsidRPr="00FD3828">
              <w:t>п</w:t>
            </w:r>
            <w:proofErr w:type="spellEnd"/>
            <w:proofErr w:type="gramEnd"/>
            <w:r w:rsidRPr="00FD3828">
              <w:rPr>
                <w:lang w:val="en-US"/>
              </w:rPr>
              <w:t>/</w:t>
            </w:r>
            <w:proofErr w:type="spellStart"/>
            <w:r w:rsidRPr="00FD3828">
              <w:t>п</w:t>
            </w:r>
            <w:proofErr w:type="spellEnd"/>
          </w:p>
        </w:tc>
        <w:tc>
          <w:tcPr>
            <w:tcW w:w="8364" w:type="dxa"/>
          </w:tcPr>
          <w:p w:rsidR="00E43CE8" w:rsidRPr="003501A6" w:rsidRDefault="00E43CE8" w:rsidP="00827C67">
            <w:pPr>
              <w:ind w:firstLine="0"/>
              <w:jc w:val="center"/>
              <w:rPr>
                <w:b/>
                <w:sz w:val="24"/>
                <w:szCs w:val="24"/>
              </w:rPr>
            </w:pPr>
            <w:r w:rsidRPr="003501A6">
              <w:rPr>
                <w:b/>
                <w:sz w:val="24"/>
                <w:szCs w:val="24"/>
              </w:rPr>
              <w:t>Вопрос</w:t>
            </w:r>
          </w:p>
        </w:tc>
        <w:tc>
          <w:tcPr>
            <w:tcW w:w="6575" w:type="dxa"/>
          </w:tcPr>
          <w:p w:rsidR="00E43CE8" w:rsidRPr="003501A6" w:rsidRDefault="00E43CE8" w:rsidP="00827C67">
            <w:pPr>
              <w:ind w:firstLine="0"/>
              <w:jc w:val="center"/>
              <w:rPr>
                <w:b/>
                <w:sz w:val="24"/>
                <w:szCs w:val="24"/>
              </w:rPr>
            </w:pPr>
            <w:r w:rsidRPr="003501A6">
              <w:rPr>
                <w:b/>
                <w:sz w:val="24"/>
                <w:szCs w:val="24"/>
              </w:rPr>
              <w:t>Ответ</w:t>
            </w:r>
          </w:p>
        </w:tc>
      </w:tr>
      <w:tr w:rsidR="00357A09" w:rsidRPr="00357A09" w:rsidTr="00FD3828">
        <w:tc>
          <w:tcPr>
            <w:tcW w:w="709" w:type="dxa"/>
            <w:vAlign w:val="center"/>
          </w:tcPr>
          <w:p w:rsidR="00357A09" w:rsidRPr="00357A09" w:rsidRDefault="00357A09" w:rsidP="00357A09">
            <w:pPr>
              <w:ind w:left="176" w:firstLine="0"/>
              <w:jc w:val="center"/>
              <w:rPr>
                <w:rFonts w:cs="Times New Roman"/>
                <w:sz w:val="24"/>
                <w:szCs w:val="24"/>
              </w:rPr>
            </w:pPr>
            <w:r>
              <w:rPr>
                <w:rFonts w:cs="Times New Roman"/>
                <w:sz w:val="24"/>
                <w:szCs w:val="24"/>
              </w:rPr>
              <w:t>1</w:t>
            </w:r>
          </w:p>
        </w:tc>
        <w:tc>
          <w:tcPr>
            <w:tcW w:w="8364" w:type="dxa"/>
          </w:tcPr>
          <w:p w:rsidR="00357A09" w:rsidRPr="00357A09" w:rsidRDefault="00357A09" w:rsidP="00357A09">
            <w:pPr>
              <w:ind w:left="0" w:firstLine="0"/>
              <w:rPr>
                <w:rFonts w:eastAsia="Calibri" w:cs="Times New Roman"/>
                <w:sz w:val="24"/>
                <w:szCs w:val="24"/>
              </w:rPr>
            </w:pPr>
            <w:r w:rsidRPr="00357A09">
              <w:rPr>
                <w:rFonts w:eastAsia="Calibri" w:cs="Times New Roman"/>
                <w:sz w:val="24"/>
                <w:szCs w:val="24"/>
              </w:rPr>
              <w:t>В последнее время на балансах кредитных учреждений накапливается недвижимое имущество, полученное банками в качестве отступного. Кроме того, в связи с сокращением затрат многие банки закрывают дополнительные офисы, которые были собственностью последнего, и банковская деятельность в таких помещениях практически остановлена. В связи с последними событиями по введению западными странами санкций, значительно снизился спрос на рынке недвижимости по сравнению с прошлым годом. Продажи практически прекратились, ставки аренды упали.</w:t>
            </w:r>
          </w:p>
          <w:p w:rsidR="00357A09" w:rsidRPr="00357A09" w:rsidRDefault="00357A09" w:rsidP="00357A09">
            <w:pPr>
              <w:ind w:left="0" w:firstLine="0"/>
              <w:rPr>
                <w:rFonts w:eastAsia="Calibri" w:cs="Times New Roman"/>
                <w:sz w:val="24"/>
                <w:szCs w:val="24"/>
              </w:rPr>
            </w:pPr>
            <w:r w:rsidRPr="00357A09">
              <w:rPr>
                <w:rFonts w:eastAsia="Calibri" w:cs="Times New Roman"/>
                <w:sz w:val="24"/>
                <w:szCs w:val="24"/>
              </w:rPr>
              <w:t>Создание резервов по объектам недвижимости, которые, в принципе, не несут в себе рисков, кроме обесценения, является дополнительной нагрузкой для банков при формировании финансового результата и, соответственно, капитала. В связи с вышеуказанным, кредитные организации предлагают Банку России пересмотреть коэффициенты резервирования по элементам расчетной базы, отраженным на балансовых счетах 60409 и 61011 согласно Положению № 283-П и скорректировать их следующим образом:</w:t>
            </w:r>
          </w:p>
          <w:p w:rsidR="00357A09" w:rsidRPr="00357A09" w:rsidRDefault="00357A09" w:rsidP="00357A09">
            <w:pPr>
              <w:ind w:left="0" w:firstLine="0"/>
              <w:rPr>
                <w:rFonts w:eastAsia="Calibri" w:cs="Times New Roman"/>
                <w:sz w:val="24"/>
                <w:szCs w:val="24"/>
              </w:rPr>
            </w:pPr>
            <w:r w:rsidRPr="00357A09">
              <w:rPr>
                <w:rFonts w:eastAsia="Calibri" w:cs="Times New Roman"/>
                <w:sz w:val="24"/>
                <w:szCs w:val="24"/>
              </w:rPr>
              <w:t>- для активов, учитываемых на балансе от 1 года до 2 лет – не менее 5 %;</w:t>
            </w:r>
          </w:p>
          <w:p w:rsidR="00357A09" w:rsidRPr="00357A09" w:rsidRDefault="00357A09" w:rsidP="00357A09">
            <w:pPr>
              <w:ind w:left="0" w:firstLine="0"/>
              <w:rPr>
                <w:rFonts w:eastAsia="Calibri" w:cs="Times New Roman"/>
                <w:sz w:val="24"/>
                <w:szCs w:val="24"/>
              </w:rPr>
            </w:pPr>
            <w:r w:rsidRPr="00357A09">
              <w:rPr>
                <w:rFonts w:eastAsia="Calibri" w:cs="Times New Roman"/>
                <w:sz w:val="24"/>
                <w:szCs w:val="24"/>
              </w:rPr>
              <w:t>- для активов, учитываемых на балансе от 2 до 3 лет – не менее 10%;</w:t>
            </w:r>
          </w:p>
          <w:p w:rsidR="00357A09" w:rsidRPr="00357A09" w:rsidRDefault="00357A09" w:rsidP="00357A09">
            <w:pPr>
              <w:ind w:left="0" w:firstLine="0"/>
              <w:rPr>
                <w:rFonts w:eastAsia="Calibri" w:cs="Times New Roman"/>
                <w:sz w:val="24"/>
                <w:szCs w:val="24"/>
              </w:rPr>
            </w:pPr>
            <w:r w:rsidRPr="00357A09">
              <w:rPr>
                <w:rFonts w:eastAsia="Calibri" w:cs="Times New Roman"/>
                <w:sz w:val="24"/>
                <w:szCs w:val="24"/>
              </w:rPr>
              <w:t>- для активов, учитываемых на балансе от 3 до 4 лет – не менее 15%;</w:t>
            </w:r>
          </w:p>
          <w:p w:rsidR="00357A09" w:rsidRPr="00357A09" w:rsidRDefault="00357A09" w:rsidP="00357A09">
            <w:pPr>
              <w:ind w:left="0" w:firstLine="0"/>
              <w:rPr>
                <w:rFonts w:eastAsia="Calibri" w:cs="Times New Roman"/>
                <w:sz w:val="24"/>
                <w:szCs w:val="24"/>
              </w:rPr>
            </w:pPr>
            <w:r w:rsidRPr="00357A09">
              <w:rPr>
                <w:rFonts w:eastAsia="Calibri" w:cs="Times New Roman"/>
                <w:sz w:val="24"/>
                <w:szCs w:val="24"/>
              </w:rPr>
              <w:t>- для активов, учитываемых на балансе от 4 до 5 лет –  не менее 20%;</w:t>
            </w:r>
          </w:p>
          <w:p w:rsidR="00357A09" w:rsidRPr="00357A09" w:rsidRDefault="00357A09" w:rsidP="00357A09">
            <w:pPr>
              <w:ind w:left="0" w:firstLine="0"/>
              <w:rPr>
                <w:rFonts w:cs="Times New Roman"/>
                <w:sz w:val="24"/>
                <w:szCs w:val="24"/>
              </w:rPr>
            </w:pPr>
            <w:r w:rsidRPr="00357A09">
              <w:rPr>
                <w:rFonts w:eastAsia="Calibri" w:cs="Times New Roman"/>
                <w:sz w:val="24"/>
                <w:szCs w:val="24"/>
              </w:rPr>
              <w:t>- для активов, учитываемых на балансе от 5 и более лет – не менее 50%.</w:t>
            </w:r>
          </w:p>
        </w:tc>
        <w:tc>
          <w:tcPr>
            <w:tcW w:w="6575" w:type="dxa"/>
          </w:tcPr>
          <w:p w:rsidR="00357A09" w:rsidRPr="00357A09" w:rsidRDefault="00357A09" w:rsidP="00357A09">
            <w:pPr>
              <w:ind w:left="0" w:firstLine="0"/>
              <w:rPr>
                <w:rFonts w:eastAsia="Calibri" w:cs="Times New Roman"/>
                <w:sz w:val="24"/>
                <w:szCs w:val="24"/>
              </w:rPr>
            </w:pPr>
            <w:proofErr w:type="gramStart"/>
            <w:r w:rsidRPr="00357A09">
              <w:rPr>
                <w:rFonts w:eastAsia="Calibri" w:cs="Times New Roman"/>
                <w:sz w:val="24"/>
                <w:szCs w:val="24"/>
              </w:rPr>
              <w:t xml:space="preserve">Требования п. 2.7 Положения № 283-П по формированию резервов по вложениям в непрофильное имущество введены с 01.01.2012 с учетом кризисных ситуаций 2008-2009 годов, характеризующихся программами (мероприятиями) по управлению просроченной (проблемной) задолженностью через механизм приобретения и отражения на балансе    кредитных организаций активов (имущества) или паев паевых инвестиционных фондов взамен прав (требований) по просроченным (проблемным) ссудам. </w:t>
            </w:r>
            <w:proofErr w:type="gramEnd"/>
          </w:p>
          <w:p w:rsidR="00357A09" w:rsidRPr="00357A09" w:rsidRDefault="00357A09" w:rsidP="00357A09">
            <w:pPr>
              <w:ind w:left="0" w:firstLine="0"/>
              <w:rPr>
                <w:rFonts w:eastAsia="Calibri" w:cs="Times New Roman"/>
                <w:sz w:val="24"/>
                <w:szCs w:val="24"/>
              </w:rPr>
            </w:pPr>
            <w:r w:rsidRPr="00357A09">
              <w:rPr>
                <w:rFonts w:eastAsia="Calibri" w:cs="Times New Roman"/>
                <w:sz w:val="24"/>
                <w:szCs w:val="24"/>
              </w:rPr>
              <w:t>В п. 2.7 Положения № 283-П установлены требования по формированию резервов, позволяющие адекватно оценить принимаемые риски, поскольку с течением времени вероятность реализации таких активов снижается.</w:t>
            </w:r>
          </w:p>
          <w:p w:rsidR="00357A09" w:rsidRPr="00357A09" w:rsidRDefault="00357A09" w:rsidP="00357A09">
            <w:pPr>
              <w:ind w:left="176" w:firstLine="0"/>
              <w:rPr>
                <w:rFonts w:cs="Times New Roman"/>
                <w:sz w:val="24"/>
                <w:szCs w:val="24"/>
              </w:rPr>
            </w:pPr>
          </w:p>
        </w:tc>
      </w:tr>
      <w:tr w:rsidR="00357A09" w:rsidRPr="00357A09" w:rsidTr="00FD3828">
        <w:tc>
          <w:tcPr>
            <w:tcW w:w="709" w:type="dxa"/>
            <w:vAlign w:val="center"/>
          </w:tcPr>
          <w:p w:rsidR="00357A09" w:rsidRPr="00357A09" w:rsidRDefault="00357A09" w:rsidP="00357A09">
            <w:pPr>
              <w:ind w:left="176" w:firstLine="0"/>
              <w:jc w:val="center"/>
              <w:rPr>
                <w:rFonts w:cs="Times New Roman"/>
                <w:sz w:val="24"/>
                <w:szCs w:val="24"/>
              </w:rPr>
            </w:pPr>
            <w:r>
              <w:rPr>
                <w:rFonts w:cs="Times New Roman"/>
                <w:sz w:val="24"/>
                <w:szCs w:val="24"/>
              </w:rPr>
              <w:t>2</w:t>
            </w:r>
          </w:p>
        </w:tc>
        <w:tc>
          <w:tcPr>
            <w:tcW w:w="8364" w:type="dxa"/>
          </w:tcPr>
          <w:p w:rsidR="00357A09" w:rsidRPr="00357A09" w:rsidRDefault="00357A09" w:rsidP="00357A09">
            <w:pPr>
              <w:ind w:left="0" w:firstLine="0"/>
              <w:rPr>
                <w:rFonts w:eastAsia="Calibri" w:cs="Times New Roman"/>
                <w:sz w:val="24"/>
                <w:szCs w:val="24"/>
              </w:rPr>
            </w:pPr>
            <w:r w:rsidRPr="00357A09">
              <w:rPr>
                <w:rFonts w:eastAsia="Calibri" w:cs="Times New Roman"/>
                <w:sz w:val="24"/>
                <w:szCs w:val="24"/>
              </w:rPr>
              <w:t xml:space="preserve">Нормы Положения № 254-П (в редакции Указания № 2860-У) были дополнены возможностью </w:t>
            </w:r>
            <w:proofErr w:type="spellStart"/>
            <w:r w:rsidRPr="00357A09">
              <w:rPr>
                <w:rFonts w:eastAsia="Calibri" w:cs="Times New Roman"/>
                <w:sz w:val="24"/>
                <w:szCs w:val="24"/>
              </w:rPr>
              <w:t>неувеличения</w:t>
            </w:r>
            <w:proofErr w:type="spellEnd"/>
            <w:r w:rsidRPr="00357A09">
              <w:rPr>
                <w:rFonts w:eastAsia="Calibri" w:cs="Times New Roman"/>
                <w:sz w:val="24"/>
                <w:szCs w:val="24"/>
              </w:rPr>
              <w:t xml:space="preserve"> резервов по ссудам заемщиков (физические лица, индивидуальные предприниматели, юридические лица), финансовое положение </w:t>
            </w:r>
            <w:proofErr w:type="gramStart"/>
            <w:r w:rsidRPr="00357A09">
              <w:rPr>
                <w:rFonts w:eastAsia="Calibri" w:cs="Times New Roman"/>
                <w:sz w:val="24"/>
                <w:szCs w:val="24"/>
              </w:rPr>
              <w:t>и(</w:t>
            </w:r>
            <w:proofErr w:type="gramEnd"/>
            <w:r w:rsidRPr="00357A09">
              <w:rPr>
                <w:rFonts w:eastAsia="Calibri" w:cs="Times New Roman"/>
                <w:sz w:val="24"/>
                <w:szCs w:val="24"/>
              </w:rPr>
              <w:t>или) качество обслуживания долга и(или) качество обеспечения по ссудам которых ухудшилось вследствие чрезвычайной ситуации. При этом</w:t>
            </w:r>
            <w:proofErr w:type="gramStart"/>
            <w:r w:rsidRPr="00357A09">
              <w:rPr>
                <w:rFonts w:eastAsia="Calibri" w:cs="Times New Roman"/>
                <w:sz w:val="24"/>
                <w:szCs w:val="24"/>
              </w:rPr>
              <w:t>,</w:t>
            </w:r>
            <w:proofErr w:type="gramEnd"/>
            <w:r w:rsidRPr="00357A09">
              <w:rPr>
                <w:rFonts w:eastAsia="Calibri" w:cs="Times New Roman"/>
                <w:sz w:val="24"/>
                <w:szCs w:val="24"/>
              </w:rPr>
              <w:t xml:space="preserve"> такая возможность не распространяется на иные виды задолженности и условные обязательства кредитного характера, являющиеся </w:t>
            </w:r>
            <w:r w:rsidRPr="00357A09">
              <w:rPr>
                <w:rFonts w:eastAsia="Calibri" w:cs="Times New Roman"/>
                <w:sz w:val="24"/>
                <w:szCs w:val="24"/>
              </w:rPr>
              <w:lastRenderedPageBreak/>
              <w:t xml:space="preserve">элементами расчетной базы в соответствии с Положением № 283-П (ценные бумаги, дебиторская задолженность, аккредитивы, гарантии и т.п.). Положение № 283-П предусматривает требование о классификации элементов расчетной базы аналогично ссудной задолженности, но за исключением случаев, когда элементы расчетной базы классифицируются хуже, чем ссудная задолженность. Поэтому вполне возможна ситуация, при которой ссудная задолженность будет оценена лучше, чем, например, выставленная Банком, но неоплаченная гарантия. </w:t>
            </w:r>
          </w:p>
          <w:p w:rsidR="00357A09" w:rsidRPr="00357A09" w:rsidRDefault="00357A09" w:rsidP="00357A09">
            <w:pPr>
              <w:ind w:left="0" w:firstLine="0"/>
              <w:rPr>
                <w:rFonts w:cs="Times New Roman"/>
                <w:sz w:val="24"/>
                <w:szCs w:val="24"/>
              </w:rPr>
            </w:pPr>
            <w:r w:rsidRPr="00357A09">
              <w:rPr>
                <w:rFonts w:eastAsia="Calibri" w:cs="Times New Roman"/>
                <w:sz w:val="24"/>
                <w:szCs w:val="24"/>
              </w:rPr>
              <w:t>Вопрос: Планирует ли Банк России предусмотреть аналогичную норму к элементам расчетной базы в соответствии с требованиями Положения № 283-П (дебиторская задолженность, ценные бумаги, условные обязательства кредитного характера, неоплаченные банком аккредитивы и гарантии и т.п.)?</w:t>
            </w:r>
            <w:r w:rsidRPr="00357A09">
              <w:rPr>
                <w:rFonts w:cs="Times New Roman"/>
                <w:sz w:val="24"/>
                <w:szCs w:val="24"/>
              </w:rPr>
              <w:t xml:space="preserve"> </w:t>
            </w:r>
          </w:p>
        </w:tc>
        <w:tc>
          <w:tcPr>
            <w:tcW w:w="6575" w:type="dxa"/>
          </w:tcPr>
          <w:p w:rsidR="00357A09" w:rsidRPr="00357A09" w:rsidRDefault="00357A09" w:rsidP="00357A09">
            <w:pPr>
              <w:ind w:left="176" w:firstLine="0"/>
              <w:rPr>
                <w:rFonts w:cs="Times New Roman"/>
                <w:sz w:val="24"/>
                <w:szCs w:val="24"/>
              </w:rPr>
            </w:pPr>
            <w:r w:rsidRPr="00357A09">
              <w:rPr>
                <w:rFonts w:cs="Times New Roman"/>
                <w:sz w:val="24"/>
                <w:szCs w:val="24"/>
              </w:rPr>
              <w:lastRenderedPageBreak/>
              <w:t>Предложение может быть реализовано с учетом статистической информации банков.</w:t>
            </w:r>
          </w:p>
        </w:tc>
      </w:tr>
      <w:tr w:rsidR="00357A09" w:rsidRPr="00357A09" w:rsidTr="00FD3828">
        <w:tc>
          <w:tcPr>
            <w:tcW w:w="709" w:type="dxa"/>
            <w:vAlign w:val="center"/>
          </w:tcPr>
          <w:p w:rsidR="00357A09" w:rsidRPr="00357A09" w:rsidRDefault="00357A09" w:rsidP="00357A09">
            <w:pPr>
              <w:ind w:left="176" w:firstLine="0"/>
              <w:jc w:val="center"/>
              <w:rPr>
                <w:rFonts w:cs="Times New Roman"/>
                <w:sz w:val="24"/>
                <w:szCs w:val="24"/>
              </w:rPr>
            </w:pPr>
            <w:r>
              <w:rPr>
                <w:rFonts w:cs="Times New Roman"/>
                <w:sz w:val="24"/>
                <w:szCs w:val="24"/>
              </w:rPr>
              <w:lastRenderedPageBreak/>
              <w:t>3</w:t>
            </w:r>
          </w:p>
        </w:tc>
        <w:tc>
          <w:tcPr>
            <w:tcW w:w="8364" w:type="dxa"/>
          </w:tcPr>
          <w:p w:rsidR="00357A09" w:rsidRPr="00357A09" w:rsidRDefault="00357A09" w:rsidP="00357A09">
            <w:pPr>
              <w:ind w:left="0" w:firstLine="0"/>
              <w:rPr>
                <w:rFonts w:eastAsia="Calibri" w:cs="Times New Roman"/>
                <w:sz w:val="24"/>
                <w:szCs w:val="24"/>
              </w:rPr>
            </w:pPr>
            <w:r w:rsidRPr="00357A09">
              <w:rPr>
                <w:rFonts w:eastAsia="Calibri" w:cs="Times New Roman"/>
                <w:sz w:val="24"/>
                <w:szCs w:val="24"/>
              </w:rPr>
              <w:t>Согласно Указанию Банка России от 03.12.2013 № 3130-У кредитные организации с 01.07.2014 обязаны резервировать непрофильные активы, учитываемые на балансах подконтрольных паевых инвестиционных фондов. Данные резервы формируются по аналогии с имуществом, не используемым в основной деятельности, в зависимости от срока нахождения актива на балансе, и создают существенное давление на финансовый результат и капитал кредитных организаций.</w:t>
            </w:r>
          </w:p>
          <w:p w:rsidR="00357A09" w:rsidRPr="00357A09" w:rsidRDefault="00357A09" w:rsidP="00357A09">
            <w:pPr>
              <w:ind w:left="0" w:firstLine="0"/>
              <w:rPr>
                <w:rFonts w:cs="Times New Roman"/>
                <w:sz w:val="24"/>
                <w:szCs w:val="24"/>
              </w:rPr>
            </w:pPr>
            <w:r w:rsidRPr="00357A09">
              <w:rPr>
                <w:rFonts w:eastAsia="Calibri" w:cs="Times New Roman"/>
                <w:sz w:val="24"/>
                <w:szCs w:val="24"/>
              </w:rPr>
              <w:t>Предложение: учитывая нестабильную экономическую ситуацию, трудности, которые испытывают многие банки с капиталом и ликвидностью, просим Банк России рассмотреть возможность не применять нормы резервирования, введенные Указанием № 3130-У до стабилизации экономической ситуации.</w:t>
            </w:r>
          </w:p>
        </w:tc>
        <w:tc>
          <w:tcPr>
            <w:tcW w:w="6575" w:type="dxa"/>
          </w:tcPr>
          <w:p w:rsidR="00357A09" w:rsidRPr="00357A09" w:rsidRDefault="00357A09" w:rsidP="00357A09">
            <w:pPr>
              <w:ind w:left="0" w:firstLine="0"/>
              <w:rPr>
                <w:rFonts w:eastAsia="Calibri" w:cs="Times New Roman"/>
                <w:sz w:val="24"/>
                <w:szCs w:val="24"/>
              </w:rPr>
            </w:pPr>
            <w:proofErr w:type="gramStart"/>
            <w:r w:rsidRPr="00357A09">
              <w:rPr>
                <w:rFonts w:eastAsia="Calibri" w:cs="Times New Roman"/>
                <w:sz w:val="24"/>
                <w:szCs w:val="24"/>
              </w:rPr>
              <w:t xml:space="preserve">Требования п. 2.7 Положения № 283-П по формированию резервов по вложениям в непрофильное имущество введены с 01.01.2012 с учетом кризисных ситуаций 2008-2009 годов, характеризующихся программами (мероприятиями) по управлению просроченной (проблемной) задолженностью через механизм приобретения и отражения на балансе    кредитных организаций активов (имущества) или паев паевых инвестиционных фондов взамен прав (требований) по просроченным (проблемным) ссудам. </w:t>
            </w:r>
            <w:proofErr w:type="gramEnd"/>
          </w:p>
          <w:p w:rsidR="00357A09" w:rsidRPr="00357A09" w:rsidRDefault="00357A09" w:rsidP="00357A09">
            <w:pPr>
              <w:ind w:left="0" w:firstLine="0"/>
              <w:rPr>
                <w:rFonts w:cs="Times New Roman"/>
                <w:sz w:val="24"/>
                <w:szCs w:val="24"/>
              </w:rPr>
            </w:pPr>
            <w:r w:rsidRPr="00357A09">
              <w:rPr>
                <w:rFonts w:eastAsia="Calibri" w:cs="Times New Roman"/>
                <w:sz w:val="24"/>
                <w:szCs w:val="24"/>
              </w:rPr>
              <w:t>В п. 2.7 Положения № 283-П установлены требования по формированию резервов, позволяющие адекватно оценить принимаемые риски, поскольку с течением времени вероятность реализации таких активов снижается.</w:t>
            </w:r>
          </w:p>
        </w:tc>
      </w:tr>
      <w:tr w:rsidR="00357A09" w:rsidRPr="00357A09" w:rsidTr="00FD3828">
        <w:tc>
          <w:tcPr>
            <w:tcW w:w="709" w:type="dxa"/>
            <w:vAlign w:val="center"/>
          </w:tcPr>
          <w:p w:rsidR="00357A09" w:rsidRPr="00357A09" w:rsidRDefault="00357A09" w:rsidP="00357A09">
            <w:pPr>
              <w:ind w:left="176" w:firstLine="0"/>
              <w:jc w:val="center"/>
              <w:rPr>
                <w:rFonts w:cs="Times New Roman"/>
                <w:sz w:val="24"/>
                <w:szCs w:val="24"/>
              </w:rPr>
            </w:pPr>
            <w:r>
              <w:rPr>
                <w:rFonts w:cs="Times New Roman"/>
                <w:sz w:val="24"/>
                <w:szCs w:val="24"/>
              </w:rPr>
              <w:t>4</w:t>
            </w:r>
          </w:p>
        </w:tc>
        <w:tc>
          <w:tcPr>
            <w:tcW w:w="8364" w:type="dxa"/>
          </w:tcPr>
          <w:p w:rsidR="00357A09" w:rsidRPr="00357A09" w:rsidRDefault="00357A09" w:rsidP="00357A09">
            <w:pPr>
              <w:ind w:left="0" w:firstLine="0"/>
              <w:rPr>
                <w:rFonts w:eastAsia="Calibri" w:cs="Times New Roman"/>
                <w:sz w:val="24"/>
                <w:szCs w:val="24"/>
              </w:rPr>
            </w:pPr>
            <w:r w:rsidRPr="00357A09">
              <w:rPr>
                <w:rFonts w:eastAsia="Calibri" w:cs="Times New Roman"/>
                <w:sz w:val="24"/>
                <w:szCs w:val="24"/>
              </w:rPr>
              <w:t>В пункте 2.8 Положения Банка России № 283-П (в редакции Указания Банка России от 30.09.2014 № 3399-У) изложена новая методика расчета резерва по сделкам прямого РЕПО, которая ссылается на счет № 91419. Однако данный счет в настоящее время не применяется в соответствии с информационным письмом Банка России от 13.10.2014. Так как Указание Банка России № 3399-У вступило в силу, возникает расхождение между Положениями № 283-П и № 385-П, вследствие чего у Банка отсутствует возможность правильно рассчитать резерв по сделкам прямого РЕПО.</w:t>
            </w:r>
          </w:p>
          <w:p w:rsidR="00357A09" w:rsidRPr="00357A09" w:rsidRDefault="00357A09" w:rsidP="00357A09">
            <w:pPr>
              <w:ind w:left="0" w:firstLine="0"/>
              <w:rPr>
                <w:rFonts w:cs="Times New Roman"/>
                <w:sz w:val="24"/>
                <w:szCs w:val="24"/>
              </w:rPr>
            </w:pPr>
            <w:r w:rsidRPr="00357A09">
              <w:rPr>
                <w:rFonts w:eastAsia="Calibri" w:cs="Times New Roman"/>
                <w:sz w:val="24"/>
                <w:szCs w:val="24"/>
              </w:rPr>
              <w:t xml:space="preserve">Просим Банк России разъяснить, как правильно рассчитывать резервы по сделкам </w:t>
            </w:r>
            <w:proofErr w:type="gramStart"/>
            <w:r w:rsidRPr="00357A09">
              <w:rPr>
                <w:rFonts w:eastAsia="Calibri" w:cs="Times New Roman"/>
                <w:sz w:val="24"/>
                <w:szCs w:val="24"/>
              </w:rPr>
              <w:t>прямого</w:t>
            </w:r>
            <w:proofErr w:type="gramEnd"/>
            <w:r w:rsidRPr="00357A09">
              <w:rPr>
                <w:rFonts w:eastAsia="Calibri" w:cs="Times New Roman"/>
                <w:sz w:val="24"/>
                <w:szCs w:val="24"/>
              </w:rPr>
              <w:t xml:space="preserve"> РЕПО.</w:t>
            </w:r>
            <w:r w:rsidRPr="00357A09">
              <w:rPr>
                <w:rFonts w:cs="Times New Roman"/>
                <w:sz w:val="24"/>
                <w:szCs w:val="24"/>
              </w:rPr>
              <w:t xml:space="preserve"> </w:t>
            </w:r>
          </w:p>
        </w:tc>
        <w:tc>
          <w:tcPr>
            <w:tcW w:w="6575" w:type="dxa"/>
          </w:tcPr>
          <w:p w:rsidR="00357A09" w:rsidRPr="00357A09" w:rsidRDefault="00357A09" w:rsidP="00357A09">
            <w:pPr>
              <w:ind w:left="0" w:firstLine="0"/>
              <w:rPr>
                <w:rFonts w:cs="Times New Roman"/>
                <w:sz w:val="24"/>
                <w:szCs w:val="24"/>
              </w:rPr>
            </w:pPr>
            <w:r w:rsidRPr="00357A09">
              <w:rPr>
                <w:rFonts w:eastAsia="Calibri" w:cs="Times New Roman"/>
                <w:sz w:val="24"/>
                <w:szCs w:val="24"/>
              </w:rPr>
              <w:t xml:space="preserve">Счет 91419 не поименован в п. 2.8 Положения № 283-П. </w:t>
            </w:r>
            <w:proofErr w:type="gramStart"/>
            <w:r w:rsidRPr="00357A09">
              <w:rPr>
                <w:rFonts w:eastAsia="Calibri" w:cs="Times New Roman"/>
                <w:sz w:val="24"/>
                <w:szCs w:val="24"/>
              </w:rPr>
              <w:t>В целях оценки риска и формирования резервов на возможные потери по операциям, совершаемым на возвратной основе, с ценными бумагами, переданными без прекращения признания, требования к контрагенту по возврату ценных бумаг определяются на основании остатков по счетам учета ценных бумаг, переданных без прекращения признания, а также остатков по счетам учета ценных бумаг, переданных по операциям, совершаемым на возвратной основе, с учетом</w:t>
            </w:r>
            <w:proofErr w:type="gramEnd"/>
            <w:r w:rsidRPr="00357A09">
              <w:rPr>
                <w:rFonts w:eastAsia="Calibri" w:cs="Times New Roman"/>
                <w:sz w:val="24"/>
                <w:szCs w:val="24"/>
              </w:rPr>
              <w:t xml:space="preserve"> их переоценки.</w:t>
            </w:r>
          </w:p>
        </w:tc>
      </w:tr>
    </w:tbl>
    <w:p w:rsidR="00667572" w:rsidRPr="00461E83" w:rsidRDefault="00667572" w:rsidP="00FD3828">
      <w:pPr>
        <w:rPr>
          <w:rFonts w:cs="Times New Roman"/>
          <w:sz w:val="24"/>
          <w:szCs w:val="24"/>
        </w:rPr>
      </w:pPr>
    </w:p>
    <w:sectPr w:rsidR="00667572" w:rsidRPr="00461E83" w:rsidSect="00FD3828">
      <w:footerReference w:type="default" r:id="rId9"/>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07F" w:rsidRDefault="00B7207F" w:rsidP="00667572">
      <w:pPr>
        <w:spacing w:after="0" w:line="240" w:lineRule="auto"/>
      </w:pPr>
      <w:r>
        <w:separator/>
      </w:r>
    </w:p>
  </w:endnote>
  <w:endnote w:type="continuationSeparator" w:id="0">
    <w:p w:rsidR="00B7207F" w:rsidRDefault="00B7207F" w:rsidP="006675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61470"/>
      <w:docPartObj>
        <w:docPartGallery w:val="Page Numbers (Bottom of Page)"/>
        <w:docPartUnique/>
      </w:docPartObj>
    </w:sdtPr>
    <w:sdtContent>
      <w:p w:rsidR="00667572" w:rsidRDefault="003B155F">
        <w:pPr>
          <w:pStyle w:val="a5"/>
          <w:jc w:val="right"/>
        </w:pPr>
        <w:fldSimple w:instr=" PAGE   \* MERGEFORMAT ">
          <w:r w:rsidR="00FD3828">
            <w:rPr>
              <w:noProof/>
            </w:rPr>
            <w:t>1</w:t>
          </w:r>
        </w:fldSimple>
      </w:p>
    </w:sdtContent>
  </w:sdt>
  <w:p w:rsidR="00667572" w:rsidRDefault="0066757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07F" w:rsidRDefault="00B7207F" w:rsidP="00667572">
      <w:pPr>
        <w:spacing w:after="0" w:line="240" w:lineRule="auto"/>
      </w:pPr>
      <w:r>
        <w:separator/>
      </w:r>
    </w:p>
  </w:footnote>
  <w:footnote w:type="continuationSeparator" w:id="0">
    <w:p w:rsidR="00B7207F" w:rsidRDefault="00B7207F" w:rsidP="006675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867B4"/>
    <w:multiLevelType w:val="hybridMultilevel"/>
    <w:tmpl w:val="927299A4"/>
    <w:lvl w:ilvl="0" w:tplc="4CDE3236">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67572"/>
    <w:rsid w:val="00007BDF"/>
    <w:rsid w:val="000D380C"/>
    <w:rsid w:val="00171BAF"/>
    <w:rsid w:val="0019407E"/>
    <w:rsid w:val="002B6043"/>
    <w:rsid w:val="002E56DC"/>
    <w:rsid w:val="00357A09"/>
    <w:rsid w:val="003B155F"/>
    <w:rsid w:val="003C15C5"/>
    <w:rsid w:val="003C6322"/>
    <w:rsid w:val="004218C1"/>
    <w:rsid w:val="004557A4"/>
    <w:rsid w:val="00461E83"/>
    <w:rsid w:val="004A0BAE"/>
    <w:rsid w:val="004D64CE"/>
    <w:rsid w:val="004F6E7A"/>
    <w:rsid w:val="00565EDF"/>
    <w:rsid w:val="005E2881"/>
    <w:rsid w:val="00667572"/>
    <w:rsid w:val="006750E0"/>
    <w:rsid w:val="0091189B"/>
    <w:rsid w:val="00940140"/>
    <w:rsid w:val="0096300B"/>
    <w:rsid w:val="009904DB"/>
    <w:rsid w:val="009A0C34"/>
    <w:rsid w:val="00A03145"/>
    <w:rsid w:val="00A125FE"/>
    <w:rsid w:val="00A25E09"/>
    <w:rsid w:val="00B7207F"/>
    <w:rsid w:val="00BA4C51"/>
    <w:rsid w:val="00C12494"/>
    <w:rsid w:val="00C4272C"/>
    <w:rsid w:val="00C90F97"/>
    <w:rsid w:val="00CB37C3"/>
    <w:rsid w:val="00CD442D"/>
    <w:rsid w:val="00DC57D1"/>
    <w:rsid w:val="00E14483"/>
    <w:rsid w:val="00E43CE8"/>
    <w:rsid w:val="00ED4482"/>
    <w:rsid w:val="00EE780B"/>
    <w:rsid w:val="00FC4327"/>
    <w:rsid w:val="00FC475D"/>
    <w:rsid w:val="00FD3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200" w:line="276" w:lineRule="auto"/>
        <w:ind w:left="1066"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E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6757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67572"/>
  </w:style>
  <w:style w:type="paragraph" w:styleId="a5">
    <w:name w:val="footer"/>
    <w:basedOn w:val="a"/>
    <w:link w:val="a6"/>
    <w:uiPriority w:val="99"/>
    <w:unhideWhenUsed/>
    <w:rsid w:val="006675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67572"/>
  </w:style>
  <w:style w:type="paragraph" w:styleId="a7">
    <w:name w:val="Balloon Text"/>
    <w:basedOn w:val="a"/>
    <w:link w:val="a8"/>
    <w:uiPriority w:val="99"/>
    <w:semiHidden/>
    <w:unhideWhenUsed/>
    <w:rsid w:val="0066757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67572"/>
    <w:rPr>
      <w:rFonts w:ascii="Tahoma" w:hAnsi="Tahoma" w:cs="Tahoma"/>
      <w:sz w:val="16"/>
      <w:szCs w:val="16"/>
    </w:rPr>
  </w:style>
  <w:style w:type="table" w:styleId="a9">
    <w:name w:val="Table Grid"/>
    <w:basedOn w:val="a1"/>
    <w:uiPriority w:val="59"/>
    <w:rsid w:val="00E43C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3C15C5"/>
    <w:pPr>
      <w:spacing w:after="0"/>
      <w:ind w:left="720" w:firstLine="709"/>
      <w:contextualSpacing/>
    </w:pPr>
    <w:rPr>
      <w:rFonts w:asciiTheme="minorHAnsi" w:eastAsia="Calibri" w:hAnsiTheme="minorHAns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D59275-C3F1-46A9-B9E8-A21CBE62A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883</Words>
  <Characters>5037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Pirated Aliance</Company>
  <LinksUpToDate>false</LinksUpToDate>
  <CharactersWithSpaces>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dc:creator>
  <cp:lastModifiedBy>Masha</cp:lastModifiedBy>
  <cp:revision>4</cp:revision>
  <dcterms:created xsi:type="dcterms:W3CDTF">2015-03-13T16:35:00Z</dcterms:created>
  <dcterms:modified xsi:type="dcterms:W3CDTF">2015-03-13T16:39:00Z</dcterms:modified>
</cp:coreProperties>
</file>