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59" w:rsidRDefault="00FD0A21" w:rsidP="001C03AB"/>
    <w:tbl>
      <w:tblPr>
        <w:tblStyle w:val="a3"/>
        <w:tblW w:w="0" w:type="auto"/>
        <w:tblInd w:w="-459" w:type="dxa"/>
        <w:tblLayout w:type="fixed"/>
        <w:tblLook w:val="04A0"/>
      </w:tblPr>
      <w:tblGrid>
        <w:gridCol w:w="1134"/>
        <w:gridCol w:w="7797"/>
        <w:gridCol w:w="6314"/>
      </w:tblGrid>
      <w:tr w:rsidR="001C03AB" w:rsidRPr="007F5462" w:rsidTr="00FD0A21">
        <w:tc>
          <w:tcPr>
            <w:tcW w:w="1134" w:type="dxa"/>
          </w:tcPr>
          <w:p w:rsidR="001C03AB" w:rsidRPr="007F5462" w:rsidRDefault="001C03AB" w:rsidP="001C03AB">
            <w:pPr>
              <w:rPr>
                <w:rFonts w:eastAsia="Times New Roman"/>
                <w:b/>
                <w:sz w:val="24"/>
                <w:szCs w:val="24"/>
              </w:rPr>
            </w:pPr>
            <w:r w:rsidRPr="007F5462">
              <w:rPr>
                <w:rFonts w:eastAsia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7797" w:type="dxa"/>
          </w:tcPr>
          <w:p w:rsidR="001C03AB" w:rsidRPr="007F5462" w:rsidRDefault="001C03AB" w:rsidP="001C03AB">
            <w:pPr>
              <w:rPr>
                <w:rFonts w:eastAsia="Times New Roman"/>
                <w:b/>
                <w:sz w:val="24"/>
                <w:szCs w:val="24"/>
              </w:rPr>
            </w:pPr>
            <w:r w:rsidRPr="007F5462">
              <w:rPr>
                <w:rFonts w:eastAsia="Times New Roman"/>
                <w:b/>
                <w:sz w:val="24"/>
                <w:szCs w:val="24"/>
              </w:rPr>
              <w:t>Вопросы кредитных организаций</w:t>
            </w:r>
          </w:p>
        </w:tc>
        <w:tc>
          <w:tcPr>
            <w:tcW w:w="6314" w:type="dxa"/>
          </w:tcPr>
          <w:p w:rsidR="001C03AB" w:rsidRPr="007F5462" w:rsidRDefault="001C03AB" w:rsidP="001C03AB">
            <w:pPr>
              <w:rPr>
                <w:rFonts w:eastAsia="Times New Roman"/>
                <w:b/>
                <w:sz w:val="24"/>
                <w:szCs w:val="24"/>
              </w:rPr>
            </w:pPr>
            <w:r w:rsidRPr="007F5462">
              <w:rPr>
                <w:rFonts w:eastAsia="Times New Roman"/>
                <w:b/>
                <w:sz w:val="24"/>
                <w:szCs w:val="24"/>
              </w:rPr>
              <w:t>Комментарии ГУ Банка России по Центральному федеральному округу</w:t>
            </w:r>
          </w:p>
        </w:tc>
      </w:tr>
      <w:tr w:rsidR="001C03AB" w:rsidTr="00FD0A21">
        <w:tc>
          <w:tcPr>
            <w:tcW w:w="1134" w:type="dxa"/>
          </w:tcPr>
          <w:p w:rsidR="001C03AB" w:rsidRPr="00870761" w:rsidRDefault="00870761" w:rsidP="001C03A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797" w:type="dxa"/>
          </w:tcPr>
          <w:p w:rsidR="001C03AB" w:rsidRDefault="001C03AB" w:rsidP="001C03AB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sz w:val="24"/>
                <w:szCs w:val="24"/>
                <w:u w:val="single"/>
              </w:rPr>
              <w:t>В связи с поступившим письмом ГУ Банка России по ЦФО от 16.09.2015 № Т1-28-6-03/144627</w:t>
            </w:r>
            <w:r>
              <w:rPr>
                <w:rFonts w:eastAsia="Times New Roman"/>
                <w:sz w:val="24"/>
                <w:szCs w:val="24"/>
              </w:rPr>
              <w:t xml:space="preserve"> «О заполнении формы 7504» кто понимается под термином «лица, устанавливающие контроль в отношении акционера, владеющего 10 и более процентов акций кредитной организации (контролеры)» и будут ли разработаны для кредитных организаций методические рекомендации по заполнению этой формы и выявлению/определению контролеров?</w:t>
            </w:r>
            <w:proofErr w:type="gramEnd"/>
          </w:p>
          <w:p w:rsidR="001C03AB" w:rsidRDefault="001C03AB" w:rsidP="001C03AB"/>
        </w:tc>
        <w:tc>
          <w:tcPr>
            <w:tcW w:w="6314" w:type="dxa"/>
          </w:tcPr>
          <w:p w:rsidR="009B4983" w:rsidRDefault="009B4983" w:rsidP="007F5462">
            <w:pPr>
              <w:shd w:val="clear" w:color="auto" w:fill="FFFFFF"/>
              <w:tabs>
                <w:tab w:val="left" w:pos="2026"/>
                <w:tab w:val="left" w:pos="2918"/>
                <w:tab w:val="left" w:pos="4651"/>
              </w:tabs>
              <w:spacing w:line="274" w:lineRule="exact"/>
              <w:ind w:right="48"/>
            </w:pPr>
            <w:r>
              <w:rPr>
                <w:rFonts w:eastAsia="Times New Roman"/>
                <w:sz w:val="24"/>
                <w:szCs w:val="24"/>
              </w:rPr>
              <w:t>В соответствии с Инструкцией Банка России от 25.10.2013 № 146-И «О порядке получения согласия Банка России на приобретение акций (долей) кредитной организации» контроль, устанавливаемый (осуществляемый) в отношении акционеров (участников) кредитных организаций, владеющих</w:t>
            </w:r>
            <w:r w:rsidR="00183B58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более 10% акций (долей) кредитной организации,</w:t>
            </w:r>
            <w:r w:rsidR="00183B58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>определяется</w:t>
            </w:r>
            <w:r w:rsidR="00183B5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4"/>
                <w:sz w:val="24"/>
                <w:szCs w:val="24"/>
              </w:rPr>
              <w:t>на</w:t>
            </w:r>
            <w:r w:rsidR="00183B5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4"/>
                <w:sz w:val="24"/>
                <w:szCs w:val="24"/>
              </w:rPr>
              <w:t>основании</w:t>
            </w:r>
            <w:r w:rsidR="00183B5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4"/>
                <w:sz w:val="24"/>
                <w:szCs w:val="24"/>
              </w:rPr>
              <w:t>критериев,</w:t>
            </w:r>
            <w:r w:rsidR="00183B58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предусмотренных Международным стандартом</w:t>
            </w:r>
            <w:r w:rsidR="00183B58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>финансовой</w:t>
            </w:r>
            <w:r w:rsidR="00183B5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отчетности</w:t>
            </w:r>
            <w:r w:rsidR="00183B5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eastAsia="Times New Roman" w:hAnsi="Arial"/>
                <w:spacing w:val="-15"/>
                <w:sz w:val="24"/>
                <w:szCs w:val="24"/>
              </w:rPr>
              <w:t>(</w:t>
            </w:r>
            <w:r w:rsidR="00183B58">
              <w:rPr>
                <w:rFonts w:eastAsia="Times New Roman" w:hAnsi="Arial"/>
                <w:spacing w:val="-15"/>
                <w:sz w:val="24"/>
                <w:szCs w:val="24"/>
                <w:lang w:val="en-US"/>
              </w:rPr>
              <w:t>IFRS</w:t>
            </w:r>
            <w:r>
              <w:rPr>
                <w:rFonts w:eastAsia="Times New Roman"/>
                <w:spacing w:val="-15"/>
                <w:sz w:val="24"/>
                <w:szCs w:val="24"/>
              </w:rPr>
              <w:t>)</w:t>
            </w:r>
            <w:r w:rsidR="00183B58" w:rsidRPr="00183B58">
              <w:rPr>
                <w:rFonts w:eastAsia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9"/>
                <w:sz w:val="24"/>
                <w:szCs w:val="24"/>
              </w:rPr>
              <w:t>10</w:t>
            </w:r>
            <w:r w:rsidR="00183B58" w:rsidRPr="00183B58">
              <w:rPr>
                <w:rFonts w:eastAsia="Times New Roman"/>
                <w:spacing w:val="-1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«Консолидированная финансовая отчетность» (далее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-</w:t>
            </w:r>
            <w:r w:rsidR="00183B58">
              <w:rPr>
                <w:rFonts w:eastAsia="Times New Roman"/>
                <w:sz w:val="24"/>
                <w:szCs w:val="24"/>
              </w:rPr>
              <w:t>М</w:t>
            </w:r>
            <w:proofErr w:type="gramEnd"/>
            <w:r w:rsidR="00183B58">
              <w:rPr>
                <w:rFonts w:eastAsia="Times New Roman"/>
                <w:sz w:val="24"/>
                <w:szCs w:val="24"/>
              </w:rPr>
              <w:t>СФО (</w:t>
            </w:r>
            <w:r w:rsidR="00183B58">
              <w:rPr>
                <w:rFonts w:eastAsia="Times New Roman"/>
                <w:sz w:val="24"/>
                <w:szCs w:val="24"/>
                <w:lang w:val="en-US"/>
              </w:rPr>
              <w:t>IFRS</w:t>
            </w:r>
            <w:r>
              <w:rPr>
                <w:rFonts w:eastAsia="Times New Roman"/>
                <w:sz w:val="24"/>
                <w:szCs w:val="24"/>
              </w:rPr>
              <w:t>) 10).</w:t>
            </w:r>
          </w:p>
          <w:p w:rsidR="009B4983" w:rsidRDefault="009B4983" w:rsidP="007F5462">
            <w:pPr>
              <w:shd w:val="clear" w:color="auto" w:fill="FFFFFF"/>
              <w:spacing w:line="274" w:lineRule="exact"/>
              <w:ind w:left="14" w:right="10"/>
            </w:pPr>
            <w:r>
              <w:rPr>
                <w:rFonts w:eastAsia="Times New Roman"/>
                <w:spacing w:val="-4"/>
                <w:sz w:val="24"/>
                <w:szCs w:val="24"/>
              </w:rPr>
              <w:t>Исходя из требований МСФО (</w:t>
            </w:r>
            <w:r w:rsidR="00183B58">
              <w:rPr>
                <w:rFonts w:eastAsia="Times New Roman"/>
                <w:sz w:val="24"/>
                <w:szCs w:val="24"/>
                <w:lang w:val="en-US"/>
              </w:rPr>
              <w:t>IFRS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) 10 в большинстве </w:t>
            </w:r>
            <w:r>
              <w:rPr>
                <w:rFonts w:eastAsia="Times New Roman"/>
                <w:sz w:val="24"/>
                <w:szCs w:val="24"/>
              </w:rPr>
              <w:t xml:space="preserve">случаев контроль считается определяющим, если инвестор прямо или косвенно распоряжается более 50% голосов к общему количеству голосующих акций (долей) объекта инвестиций. Данный критерий является доминирующим при принятии решения в отношении классификации инвестора как лица, под контролем которого находится объект инвестиций.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Однако эта классификация может быть опровергнута в случае наличия иных доказательств, указывающих, что </w:t>
            </w:r>
            <w:r>
              <w:rPr>
                <w:rFonts w:eastAsia="Times New Roman"/>
                <w:sz w:val="24"/>
                <w:szCs w:val="24"/>
              </w:rPr>
              <w:t xml:space="preserve">контроль может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быть продемонстрирован или опровергнут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При этом доказательства должны быть достаточно убедительными (пункты 10-18 МСФО (</w:t>
            </w:r>
            <w:r w:rsidR="00183B58">
              <w:rPr>
                <w:rFonts w:eastAsia="Times New Roman"/>
                <w:sz w:val="24"/>
                <w:szCs w:val="24"/>
                <w:lang w:val="en-US"/>
              </w:rPr>
              <w:t>IFRS</w:t>
            </w:r>
            <w:r>
              <w:rPr>
                <w:rFonts w:eastAsia="Times New Roman"/>
                <w:sz w:val="24"/>
                <w:szCs w:val="24"/>
              </w:rPr>
              <w:t>)10).</w:t>
            </w:r>
          </w:p>
          <w:p w:rsidR="001C03AB" w:rsidRPr="00183B58" w:rsidRDefault="009B4983" w:rsidP="007F5462">
            <w:pPr>
              <w:shd w:val="clear" w:color="auto" w:fill="FFFFFF"/>
              <w:tabs>
                <w:tab w:val="left" w:pos="2650"/>
                <w:tab w:val="left" w:pos="4555"/>
              </w:tabs>
              <w:spacing w:line="274" w:lineRule="exact"/>
              <w:ind w:left="24"/>
            </w:pPr>
            <w:r>
              <w:rPr>
                <w:rFonts w:eastAsia="Times New Roman"/>
                <w:spacing w:val="-2"/>
                <w:sz w:val="24"/>
                <w:szCs w:val="24"/>
              </w:rPr>
              <w:t>Вышеуказанными</w:t>
            </w:r>
            <w:r w:rsidR="00183B58" w:rsidRPr="00183B5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подходами</w:t>
            </w:r>
            <w:r w:rsidR="00183B58" w:rsidRPr="00183B5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>необходимо</w:t>
            </w:r>
            <w:r w:rsidR="00183B58" w:rsidRPr="00183B58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руководствоваться при заполнении блока «Сведения о лицах, устанавливающих контроль в отношении акционера (участника)» формы 7504 «Информация об учредителях и участниках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».</w:t>
            </w:r>
          </w:p>
        </w:tc>
      </w:tr>
      <w:tr w:rsidR="00870761" w:rsidTr="00FD0A21">
        <w:tc>
          <w:tcPr>
            <w:tcW w:w="15245" w:type="dxa"/>
            <w:gridSpan w:val="3"/>
          </w:tcPr>
          <w:p w:rsidR="00870761" w:rsidRDefault="00870761" w:rsidP="001C03AB"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Вопросы в отношении Положения Банка России от 15 октября 2015 г. № 499-П «Об идентификации кредитными</w:t>
            </w:r>
            <w:r w:rsidRPr="00A90AE3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 xml:space="preserve">организациями клиентов, представителей клиента,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выгодоприобретателей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бенефициарных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 xml:space="preserve"> владельцев в целях</w:t>
            </w:r>
            <w:r w:rsidRPr="00A90AE3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  <w:u w:val="single"/>
              </w:rPr>
              <w:t>противодействия легализации (отмыванию) доходов, полученных преступным путем, и финансированию терроризма»</w:t>
            </w:r>
          </w:p>
        </w:tc>
      </w:tr>
      <w:tr w:rsidR="001C03AB" w:rsidTr="00FD0A21">
        <w:tc>
          <w:tcPr>
            <w:tcW w:w="1134" w:type="dxa"/>
          </w:tcPr>
          <w:p w:rsidR="001C03AB" w:rsidRPr="00870761" w:rsidRDefault="00870761" w:rsidP="001C03A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7797" w:type="dxa"/>
          </w:tcPr>
          <w:p w:rsidR="001C03AB" w:rsidRPr="00870761" w:rsidRDefault="00870761" w:rsidP="00870761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z w:val="24"/>
                <w:szCs w:val="24"/>
              </w:rPr>
              <w:t xml:space="preserve">Что может представить клиент, являющийся юридическим лицом, индивидуальным предпринимателем, физическим лицом, занимающимся частной практикой, период деятельности которого не превышает трех месяцев со дня регистрации, в качестве документов в соответствии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 </w:t>
            </w:r>
            <w:r>
              <w:rPr>
                <w:rFonts w:eastAsia="Times New Roman"/>
                <w:sz w:val="24"/>
                <w:szCs w:val="24"/>
              </w:rPr>
              <w:t xml:space="preserve">п.п.2.7, 2.8 п.2 Приложения 2 Положения 499-П от 15.10.2015 (бухгалтерская, налоговая отчетность, сведения о деловой репутации)? Какие рекомендации в случае, если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клиент-юридическое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лицо не имеет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контрагентов-юридических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лиц, обслуживающихся в кредитной организации и не имеет возможности представить отзывы о деловой репутации от другой кредитной организации? Какие сведения могут быть отнесены к сведениям о деловой репутации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клиента-физического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лица?</w:t>
            </w:r>
          </w:p>
        </w:tc>
        <w:tc>
          <w:tcPr>
            <w:tcW w:w="6314" w:type="dxa"/>
          </w:tcPr>
          <w:p w:rsidR="00870761" w:rsidRDefault="00870761" w:rsidP="00870761">
            <w:pPr>
              <w:shd w:val="clear" w:color="auto" w:fill="FFFFFF"/>
              <w:tabs>
                <w:tab w:val="left" w:leader="underscore" w:pos="5794"/>
              </w:tabs>
              <w:spacing w:before="5" w:line="274" w:lineRule="exact"/>
              <w:ind w:right="58"/>
            </w:pP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В соответствии с пунктом 3.3 Положения Банка России</w:t>
            </w:r>
            <w:r w:rsidRPr="00440229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от 15.10.2015 № 499-П «Об идентификации</w:t>
            </w:r>
            <w:r w:rsidRPr="0044022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кредитными организациями клиентов, представителей</w:t>
            </w:r>
            <w:r w:rsidRPr="0044022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клиента,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выгодоприобретателей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бенефициарных</w:t>
            </w:r>
            <w:proofErr w:type="spellEnd"/>
            <w:r w:rsidRPr="0044022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владельцев в целях противодействия легализации</w:t>
            </w:r>
            <w:r w:rsidRPr="0044022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(отмыванию) доходов, полученных преступным путем,</w:t>
            </w:r>
            <w:r w:rsidRPr="0044022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 финансированию терроризма» (далее – Положение</w:t>
            </w:r>
            <w:r w:rsidRPr="0044022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№ 499-П) для определения финансового положения</w:t>
            </w:r>
            <w:r w:rsidRPr="0044022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клиента кредитная организация самостоятельно</w:t>
            </w:r>
            <w:r w:rsidRPr="0044022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определяет в правилах внутреннего контроля</w:t>
            </w:r>
            <w:r w:rsidRPr="0044022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кредитной организации в целях противодействия</w:t>
            </w:r>
            <w:r w:rsidRPr="0044022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легализации (отмыванию) доходов, полученных</w:t>
            </w:r>
            <w:r w:rsidRPr="0044022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преступным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путем, и финансированию терроризма</w:t>
            </w:r>
            <w:r w:rsidRPr="0044022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(далее - ПОД/ФТ, Правила) требования к документам</w:t>
            </w:r>
            <w:r w:rsidRPr="0044022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клиента, являющегося юридическим лицом,</w:t>
            </w:r>
            <w:r w:rsidRPr="0044022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индивидуальным предпринимателем, физическим</w:t>
            </w:r>
            <w:r w:rsidRPr="0044022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лицом, занимающимся в установленном</w:t>
            </w:r>
            <w:r w:rsidRPr="0044022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законодательством Российской Федерации порядке</w:t>
            </w:r>
            <w:r w:rsidRPr="0044022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частной практикой, период деятельности которого не</w:t>
            </w:r>
            <w:r w:rsidRPr="0044022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превышает трех месяцев со дня его регистрации и не</w:t>
            </w:r>
            <w:r w:rsidRPr="0044022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позволяет представить в кредитную организацию</w:t>
            </w:r>
            <w:r w:rsidRPr="0044022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сведения (документы), </w:t>
            </w:r>
            <w:r>
              <w:rPr>
                <w:rFonts w:eastAsia="Times New Roman"/>
                <w:sz w:val="24"/>
                <w:szCs w:val="24"/>
                <w:u w:val="single"/>
              </w:rPr>
              <w:t>указанные в подпункте 2.7</w:t>
            </w:r>
            <w:r w:rsidRPr="00440229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Pr="007F5462">
              <w:rPr>
                <w:rFonts w:eastAsia="Times New Roman"/>
                <w:spacing w:val="-2"/>
                <w:sz w:val="24"/>
                <w:szCs w:val="24"/>
                <w:u w:val="single"/>
              </w:rPr>
              <w:t>пункта 2 приложения 2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к Положению № 499-П.</w:t>
            </w:r>
            <w:proofErr w:type="gramEnd"/>
          </w:p>
          <w:p w:rsidR="001C03AB" w:rsidRDefault="001C03AB" w:rsidP="001C03AB"/>
        </w:tc>
      </w:tr>
      <w:tr w:rsidR="001C03AB" w:rsidTr="00FD0A21">
        <w:tc>
          <w:tcPr>
            <w:tcW w:w="1134" w:type="dxa"/>
          </w:tcPr>
          <w:p w:rsidR="001C03AB" w:rsidRPr="00870761" w:rsidRDefault="00870761" w:rsidP="001C03A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797" w:type="dxa"/>
          </w:tcPr>
          <w:p w:rsidR="001C03AB" w:rsidRPr="00870761" w:rsidRDefault="00870761" w:rsidP="00870761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870761">
              <w:rPr>
                <w:rFonts w:eastAsia="Times New Roman"/>
                <w:sz w:val="24"/>
                <w:szCs w:val="24"/>
              </w:rPr>
              <w:t>Что понимается под обращением клиента в кредитную организацию: личное обращение клиента, использование клиентом ДБО, использование клиентом банкомата банка?</w:t>
            </w:r>
          </w:p>
        </w:tc>
        <w:tc>
          <w:tcPr>
            <w:tcW w:w="6314" w:type="dxa"/>
          </w:tcPr>
          <w:p w:rsidR="001C03AB" w:rsidRPr="007F5462" w:rsidRDefault="00870761" w:rsidP="001C03AB">
            <w:pPr>
              <w:rPr>
                <w:rFonts w:eastAsia="Times New Roman"/>
                <w:spacing w:val="-4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>В связи с отсутствием в Положении № 499-П</w:t>
            </w:r>
            <w:r w:rsidRPr="0044022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положений, раскрывающих суть понятия обращения,</w:t>
            </w:r>
            <w:r w:rsidRPr="0044022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под обращением клиента понимается любое обращение</w:t>
            </w:r>
            <w:r w:rsidRPr="0044022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целях проведения операции, в том числе личное</w:t>
            </w:r>
            <w:r w:rsidRPr="0044022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обращение клиента, использование клиентом</w:t>
            </w:r>
            <w:r w:rsidRPr="0044022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дистанционного банковского обслуживания,</w:t>
            </w:r>
            <w:r w:rsidRPr="0044022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использование клиентом банкомата кредитной</w:t>
            </w:r>
            <w:r w:rsidRPr="00440229">
              <w:rPr>
                <w:rFonts w:eastAsia="Times New Roman"/>
                <w:sz w:val="24"/>
                <w:szCs w:val="24"/>
              </w:rPr>
              <w:t xml:space="preserve"> организации.</w:t>
            </w:r>
          </w:p>
        </w:tc>
      </w:tr>
      <w:tr w:rsidR="001C03AB" w:rsidTr="00FD0A21">
        <w:tc>
          <w:tcPr>
            <w:tcW w:w="1134" w:type="dxa"/>
          </w:tcPr>
          <w:p w:rsidR="001C03AB" w:rsidRPr="000B7C3A" w:rsidRDefault="000B7C3A" w:rsidP="001C03A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797" w:type="dxa"/>
          </w:tcPr>
          <w:p w:rsidR="000B7C3A" w:rsidRDefault="000B7C3A" w:rsidP="000B7C3A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В соответствии с п.4.2 Положения Банка России от 15.10.2015 № 499-П кредитная организация при совершении операций с использованием платежной (банковской) карты без участия уполномоченного сотрудника </w:t>
            </w:r>
            <w:r>
              <w:rPr>
                <w:rFonts w:eastAsia="Times New Roman"/>
                <w:sz w:val="24"/>
                <w:szCs w:val="24"/>
              </w:rPr>
              <w:lastRenderedPageBreak/>
              <w:t xml:space="preserve">кредитной организации 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эквайрера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или иной кредитной организации, не являющейся кредитной организацией - эмитентом, обязана проводить идентификацию на основе реквизитов платежной (банковской) карты, а также кодов и паролей.</w:t>
            </w:r>
            <w:proofErr w:type="gramEnd"/>
          </w:p>
          <w:p w:rsidR="001C03AB" w:rsidRDefault="000B7C3A" w:rsidP="000B7C3A">
            <w:r>
              <w:rPr>
                <w:rFonts w:eastAsia="Times New Roman"/>
                <w:sz w:val="24"/>
                <w:szCs w:val="24"/>
              </w:rPr>
              <w:t>В целях исполнения вышеуказанного требования является ли достаточным фиксирование реквизитов платежной карты, а также кода авторизации, полученного кредитной организацией от банка-эмитента в процессе информационного обмена данными в электронном виде?</w:t>
            </w:r>
          </w:p>
        </w:tc>
        <w:tc>
          <w:tcPr>
            <w:tcW w:w="6314" w:type="dxa"/>
          </w:tcPr>
          <w:p w:rsidR="001C03AB" w:rsidRDefault="000B7C3A" w:rsidP="001C03AB">
            <w:r>
              <w:rPr>
                <w:rFonts w:eastAsia="Times New Roman"/>
                <w:sz w:val="24"/>
                <w:szCs w:val="24"/>
              </w:rPr>
              <w:lastRenderedPageBreak/>
              <w:t xml:space="preserve">При обслуживании клиента с использованием платежной (банковской) карты, осуществляемом кредитной организацией 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эквайрером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либо иной кредитной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организацией, не являющейся эмитентом, без участия их уполномоченных сотрудников, идентификация проводится в соответствии с требованиями пункта 4.2 Положения № 499-П на основе реквизитов платежной (банковской) карты, а также кодов и паролей. По результатам проведенной идентификации в досье (анкету) клиента включаются сведения, зафиксированные на банковской карте</w:t>
            </w:r>
            <w:r w:rsidR="000C468C">
              <w:rPr>
                <w:rStyle w:val="a6"/>
                <w:rFonts w:eastAsia="Times New Roman"/>
                <w:sz w:val="24"/>
                <w:szCs w:val="24"/>
              </w:rPr>
              <w:footnoteReference w:id="1"/>
            </w:r>
            <w:r>
              <w:rPr>
                <w:rFonts w:eastAsia="Times New Roman"/>
                <w:sz w:val="24"/>
                <w:szCs w:val="24"/>
              </w:rPr>
              <w:t>, а также результаты проверки принадлежности банковской карты ее держателю.</w:t>
            </w:r>
          </w:p>
        </w:tc>
      </w:tr>
      <w:tr w:rsidR="001C03AB" w:rsidTr="00FD0A21">
        <w:tc>
          <w:tcPr>
            <w:tcW w:w="1134" w:type="dxa"/>
          </w:tcPr>
          <w:p w:rsidR="001C03AB" w:rsidRPr="000C468C" w:rsidRDefault="000C468C" w:rsidP="001C03A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7797" w:type="dxa"/>
          </w:tcPr>
          <w:p w:rsidR="001C03AB" w:rsidRDefault="000C468C" w:rsidP="001C03AB">
            <w:r>
              <w:rPr>
                <w:rFonts w:eastAsia="Times New Roman"/>
                <w:sz w:val="24"/>
                <w:szCs w:val="24"/>
              </w:rPr>
              <w:t xml:space="preserve">Вправе ли банк осуществлять получение документов бухгалтерской, финансовой отчетности клиента с использованием ДБО? (то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есть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может ли банк считать их заверенными надлежащим образом?)</w:t>
            </w:r>
          </w:p>
        </w:tc>
        <w:tc>
          <w:tcPr>
            <w:tcW w:w="6314" w:type="dxa"/>
          </w:tcPr>
          <w:p w:rsidR="000C468C" w:rsidRDefault="000C468C" w:rsidP="000C468C">
            <w:pPr>
              <w:shd w:val="clear" w:color="auto" w:fill="FFFFFF"/>
              <w:spacing w:line="274" w:lineRule="exact"/>
              <w:ind w:right="29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В соответствии с пунктами 1-2 статьи 6 Федерального закона от 06.04.2011 № 63-ФЗ «Об электронной подписи»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когда федеральными законами или принимаемыми в соответствии с ними нормативными правовыми актами установлено требование о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необходимости составления документа исключительно </w:t>
            </w:r>
            <w:r>
              <w:rPr>
                <w:rFonts w:eastAsia="Times New Roman"/>
                <w:sz w:val="24"/>
                <w:szCs w:val="24"/>
              </w:rPr>
              <w:t>на бумажном носителе.</w:t>
            </w:r>
            <w:proofErr w:type="gramEnd"/>
          </w:p>
          <w:p w:rsidR="001C03AB" w:rsidRPr="000C468C" w:rsidRDefault="000C468C" w:rsidP="000C468C">
            <w:r>
              <w:rPr>
                <w:rFonts w:eastAsia="Times New Roman"/>
                <w:sz w:val="24"/>
                <w:szCs w:val="24"/>
              </w:rPr>
              <w:t>При этом информация в электронной форме, подписанная простой электронной подписью или неквалифицированной электронной подписью, признается электронным документом, равнозначным</w:t>
            </w:r>
            <w:r w:rsidRPr="000C468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документу на бумажном носителе, подписанному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собственноручной подписью, в случаях, </w:t>
            </w:r>
            <w:r>
              <w:rPr>
                <w:rFonts w:eastAsia="Times New Roman"/>
                <w:sz w:val="24"/>
                <w:szCs w:val="24"/>
              </w:rPr>
              <w:t xml:space="preserve">установленных федеральными законами, принимаемыми в соответствии с ними нормативными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правовыми актами или соглашением между </w:t>
            </w:r>
            <w:r>
              <w:rPr>
                <w:rFonts w:eastAsia="Times New Roman"/>
                <w:sz w:val="24"/>
                <w:szCs w:val="24"/>
              </w:rPr>
              <w:t xml:space="preserve">участниками </w:t>
            </w:r>
            <w:r>
              <w:rPr>
                <w:rFonts w:eastAsia="Times New Roman"/>
                <w:sz w:val="24"/>
                <w:szCs w:val="24"/>
              </w:rPr>
              <w:lastRenderedPageBreak/>
              <w:t xml:space="preserve">электронного взаимодействия.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Поскольку Закон № 115-ФЗ и нормативные акты в сфере ПОД/ФТ не содержат запрета на использование электронных средств связи и заверение представляемых в целях идентификации</w:t>
            </w:r>
            <w:r w:rsidRPr="000E1678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клиентов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документов электронными подписями клиента </w:t>
            </w:r>
            <w:r>
              <w:rPr>
                <w:rFonts w:eastAsia="Times New Roman"/>
                <w:sz w:val="24"/>
                <w:szCs w:val="24"/>
              </w:rPr>
              <w:t xml:space="preserve">(нотариуса), по мнению Департамента, кредитная организация вправе использовать указанный способ заверения (представления) документов, при условии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соблюдения иных положений законодательства в сфере </w:t>
            </w:r>
            <w:r>
              <w:rPr>
                <w:rFonts w:eastAsia="Times New Roman"/>
                <w:sz w:val="24"/>
                <w:szCs w:val="24"/>
              </w:rPr>
              <w:t>ПОД/ФТ.</w:t>
            </w:r>
            <w:proofErr w:type="gramEnd"/>
          </w:p>
        </w:tc>
      </w:tr>
      <w:tr w:rsidR="007D6123" w:rsidTr="00FD0A21">
        <w:tc>
          <w:tcPr>
            <w:tcW w:w="15245" w:type="dxa"/>
            <w:gridSpan w:val="3"/>
          </w:tcPr>
          <w:p w:rsidR="007D6123" w:rsidRDefault="007D6123" w:rsidP="001C03AB"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Правила внутреннего контроля</w:t>
            </w:r>
          </w:p>
        </w:tc>
      </w:tr>
      <w:tr w:rsidR="000C468C" w:rsidTr="00FD0A21">
        <w:tc>
          <w:tcPr>
            <w:tcW w:w="1134" w:type="dxa"/>
          </w:tcPr>
          <w:p w:rsidR="000C468C" w:rsidRPr="007D6123" w:rsidRDefault="007D6123" w:rsidP="001C03A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797" w:type="dxa"/>
          </w:tcPr>
          <w:p w:rsidR="000C468C" w:rsidRDefault="007D6123" w:rsidP="001C03AB">
            <w:r>
              <w:rPr>
                <w:rFonts w:eastAsia="Times New Roman"/>
                <w:sz w:val="24"/>
                <w:szCs w:val="24"/>
              </w:rPr>
              <w:t>Обязана ли кредитная организация  отражать в ПВК нормы ФЗ-115, которые к данной кредитной организации не применимы?</w:t>
            </w:r>
          </w:p>
        </w:tc>
        <w:tc>
          <w:tcPr>
            <w:tcW w:w="6314" w:type="dxa"/>
          </w:tcPr>
          <w:p w:rsidR="000C468C" w:rsidRDefault="007D6123" w:rsidP="001C03AB">
            <w:r>
              <w:rPr>
                <w:rFonts w:eastAsia="Times New Roman"/>
                <w:sz w:val="24"/>
                <w:szCs w:val="24"/>
              </w:rPr>
              <w:t>Кредитная организация вправе не включать в свои Правила положения, не связанные с осуществляемой ей деятельностью (например, программу, определяющей порядок взаимодействия с лицами, которым поручено проведение идентификации, в случае, если кредитной организацией не реализовано такое право).</w:t>
            </w:r>
          </w:p>
        </w:tc>
      </w:tr>
      <w:tr w:rsidR="000C468C" w:rsidTr="00FD0A21">
        <w:tc>
          <w:tcPr>
            <w:tcW w:w="1134" w:type="dxa"/>
          </w:tcPr>
          <w:p w:rsidR="000C468C" w:rsidRPr="007D6123" w:rsidRDefault="007D6123" w:rsidP="001C03A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797" w:type="dxa"/>
          </w:tcPr>
          <w:p w:rsidR="007D6123" w:rsidRPr="007D6123" w:rsidRDefault="007D6123" w:rsidP="007D6123">
            <w:pPr>
              <w:shd w:val="clear" w:color="auto" w:fill="FFFFFF"/>
              <w:spacing w:line="274" w:lineRule="exact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 применении Положения №375-П в части направления сообщений об операциях клиентов, связанных с выдачей (перечислением) остатка денежных сре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и закрытии банковского счета (вклада) по инициативе клиента вследствие осуществления кредитной организацией внутреннего контроля (код 1131) или в связи с расторжением договора банковского счета (вклада) в соответствии с ФЗ-115 (код 1132): </w:t>
            </w:r>
          </w:p>
          <w:p w:rsidR="007F5462" w:rsidRDefault="007D6123" w:rsidP="007F5462">
            <w:pPr>
              <w:shd w:val="clear" w:color="auto" w:fill="FFFFFF"/>
              <w:spacing w:line="274" w:lineRule="exact"/>
              <w:ind w:right="29"/>
            </w:pPr>
            <w:r>
              <w:rPr>
                <w:rFonts w:eastAsia="Times New Roman"/>
                <w:sz w:val="24"/>
                <w:szCs w:val="24"/>
              </w:rPr>
              <w:t>В соответствии со ст.859 ГК РФ под выдачей (перечислением) остатка денежных сре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 закрытии банковского счета понимается выдача (перечисление) денежных средств клиенту - владельцу счета. При этом закрытию банковского счета (вклада) клиента по вышеуказанным основаниям могут предшествовать расходные операции, связанные с</w:t>
            </w:r>
            <w:r w:rsidRPr="007D6123">
              <w:rPr>
                <w:rFonts w:eastAsia="Times New Roman"/>
                <w:sz w:val="24"/>
                <w:szCs w:val="24"/>
              </w:rPr>
              <w:t xml:space="preserve"> </w:t>
            </w:r>
            <w:r w:rsidR="007F5462">
              <w:rPr>
                <w:rFonts w:eastAsia="Times New Roman"/>
                <w:sz w:val="24"/>
                <w:szCs w:val="24"/>
              </w:rPr>
              <w:t xml:space="preserve">выдачей и перечислением денежных </w:t>
            </w:r>
            <w:proofErr w:type="gramStart"/>
            <w:r w:rsidR="007F5462">
              <w:rPr>
                <w:rFonts w:eastAsia="Times New Roman"/>
                <w:sz w:val="24"/>
                <w:szCs w:val="24"/>
              </w:rPr>
              <w:t>средств</w:t>
            </w:r>
            <w:proofErr w:type="gramEnd"/>
            <w:r w:rsidR="007F5462">
              <w:rPr>
                <w:rFonts w:eastAsia="Times New Roman"/>
                <w:sz w:val="24"/>
                <w:szCs w:val="24"/>
              </w:rPr>
              <w:t xml:space="preserve"> как самому клиенту, так и в пользу третьих лиц. Учитывая вышеизложенное, а также, принимая во внимание, что </w:t>
            </w:r>
            <w:proofErr w:type="gramStart"/>
            <w:r w:rsidR="007F5462">
              <w:rPr>
                <w:rFonts w:eastAsia="Times New Roman"/>
                <w:sz w:val="24"/>
                <w:szCs w:val="24"/>
              </w:rPr>
              <w:t>КО</w:t>
            </w:r>
            <w:proofErr w:type="gramEnd"/>
            <w:r w:rsidR="007F5462">
              <w:rPr>
                <w:rFonts w:eastAsia="Times New Roman"/>
                <w:sz w:val="24"/>
                <w:szCs w:val="24"/>
              </w:rPr>
              <w:t xml:space="preserve"> не всегда может располагать объективной информацией о причинах закрытия клиентом счета (вклада), просим разъяснить следующее:</w:t>
            </w:r>
          </w:p>
          <w:p w:rsidR="007F5462" w:rsidRDefault="007F5462" w:rsidP="007F5462">
            <w:pPr>
              <w:shd w:val="clear" w:color="auto" w:fill="FFFFFF"/>
              <w:tabs>
                <w:tab w:val="left" w:pos="475"/>
              </w:tabs>
              <w:spacing w:before="5" w:line="274" w:lineRule="exact"/>
              <w:ind w:right="29"/>
            </w:pPr>
            <w:r>
              <w:rPr>
                <w:spacing w:val="-11"/>
                <w:sz w:val="24"/>
                <w:szCs w:val="24"/>
              </w:rPr>
              <w:t>4.1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ребуется ли направлять сообщения по кодам 1131-1132 при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осуществлении следующих операций:</w:t>
            </w:r>
          </w:p>
          <w:p w:rsidR="007F5462" w:rsidRDefault="007F5462" w:rsidP="007F5462">
            <w:pPr>
              <w:shd w:val="clear" w:color="auto" w:fill="FFFFFF"/>
              <w:tabs>
                <w:tab w:val="left" w:pos="202"/>
              </w:tabs>
              <w:spacing w:line="274" w:lineRule="exact"/>
              <w:ind w:left="10" w:right="2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перечисление клиентом денежных сре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дств в 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ользу третьего лица, в результате которого остаток денежных средств на счете (вкладе) обнуляется;</w:t>
            </w:r>
          </w:p>
          <w:p w:rsidR="007F5462" w:rsidRDefault="007F5462" w:rsidP="007F5462">
            <w:pPr>
              <w:shd w:val="clear" w:color="auto" w:fill="FFFFFF"/>
              <w:tabs>
                <w:tab w:val="left" w:pos="202"/>
              </w:tabs>
              <w:spacing w:before="5" w:line="274" w:lineRule="exact"/>
              <w:ind w:left="10" w:right="1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перечисление денежных сре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дств в 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ользу третьего лица в рамках бесспорного 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безакцептного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списания, в результате которого остаток денежных средств на счете (вкладе) обнуляется;</w:t>
            </w:r>
          </w:p>
          <w:p w:rsidR="007F5462" w:rsidRDefault="007F5462" w:rsidP="007F5462">
            <w:pPr>
              <w:shd w:val="clear" w:color="auto" w:fill="FFFFFF"/>
              <w:tabs>
                <w:tab w:val="left" w:pos="298"/>
              </w:tabs>
              <w:spacing w:line="274" w:lineRule="exact"/>
              <w:ind w:left="14" w:right="19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 xml:space="preserve">получение клиентом наличных денежных средств для выплаты заработной платы/командировочных расходов,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результате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которого остаток денежных средств на счете обнуляется;</w:t>
            </w:r>
          </w:p>
          <w:p w:rsidR="007F5462" w:rsidRPr="00FA6B1D" w:rsidRDefault="007F5462" w:rsidP="007F5462">
            <w:pPr>
              <w:shd w:val="clear" w:color="auto" w:fill="FFFFFF"/>
              <w:tabs>
                <w:tab w:val="left" w:pos="192"/>
              </w:tabs>
              <w:spacing w:line="274" w:lineRule="exact"/>
              <w:ind w:left="19" w:right="19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перечисление остатка денежных средств на специальный счет в Банке России в день закрытия счета (вклада) по вышеуказанным основаниям?</w:t>
            </w:r>
          </w:p>
          <w:p w:rsidR="007F5462" w:rsidRDefault="007F5462" w:rsidP="007F5462">
            <w:pPr>
              <w:shd w:val="clear" w:color="auto" w:fill="FFFFFF"/>
              <w:tabs>
                <w:tab w:val="left" w:pos="475"/>
              </w:tabs>
              <w:spacing w:line="274" w:lineRule="exact"/>
              <w:ind w:right="10"/>
            </w:pPr>
            <w:r>
              <w:rPr>
                <w:spacing w:val="-6"/>
                <w:sz w:val="24"/>
                <w:szCs w:val="24"/>
              </w:rPr>
              <w:t>4.2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случае необходимости направления сообщений по операциям, указанным в п. 4.1 - в какие сроки необходимо направить сообщения об указанных операциях при наличии временного разрыва между проведением последней операции, в результате которой остаток на счете (вкладе) обнулился, и закрытием счета (вклада)?</w:t>
            </w:r>
          </w:p>
          <w:p w:rsidR="007F5462" w:rsidRDefault="007F5462" w:rsidP="007F5462">
            <w:pPr>
              <w:shd w:val="clear" w:color="auto" w:fill="FFFFFF"/>
              <w:tabs>
                <w:tab w:val="left" w:pos="403"/>
              </w:tabs>
              <w:spacing w:line="274" w:lineRule="exact"/>
              <w:ind w:left="19" w:right="14"/>
            </w:pPr>
            <w:r>
              <w:rPr>
                <w:spacing w:val="-10"/>
                <w:sz w:val="24"/>
                <w:szCs w:val="24"/>
              </w:rPr>
              <w:t>4.3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Достаточно ли при установлении критериев операций, подпадающих под коды 1131-1132, руководствоваться следующими признаками:</w:t>
            </w:r>
          </w:p>
          <w:p w:rsidR="007F5462" w:rsidRDefault="007F5462" w:rsidP="007F5462">
            <w:pPr>
              <w:shd w:val="clear" w:color="auto" w:fill="FFFFFF"/>
              <w:tabs>
                <w:tab w:val="left" w:pos="283"/>
              </w:tabs>
              <w:spacing w:before="5" w:line="274" w:lineRule="exact"/>
              <w:ind w:left="29" w:right="10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выдача (перечисление) остатка денежных средств осуществляется непосредственно клиенту-владельцу счета (вклада);</w:t>
            </w:r>
          </w:p>
          <w:p w:rsidR="000C468C" w:rsidRPr="007D6123" w:rsidRDefault="007F5462" w:rsidP="007F5462">
            <w:pPr>
              <w:shd w:val="clear" w:color="auto" w:fill="FFFFFF"/>
              <w:tabs>
                <w:tab w:val="left" w:pos="168"/>
              </w:tabs>
              <w:spacing w:before="5" w:line="274" w:lineRule="exact"/>
              <w:ind w:left="24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выдача (перечисление) остатка денежных средств осуществляется в день </w:t>
            </w:r>
            <w:r>
              <w:rPr>
                <w:rFonts w:eastAsia="Times New Roman"/>
                <w:sz w:val="24"/>
                <w:szCs w:val="24"/>
              </w:rPr>
              <w:t>закрытия счета (вклада), как по инициативе клиента вследствие осуществления кредитной организацией внутреннего контроля (например, в связи с направлением кредитной организацией запроса о представлении обосновывающих документов), так и в связи с расторжением договора банковского счета (вклада) в соответствии с ФЗ-115?</w:t>
            </w:r>
          </w:p>
        </w:tc>
        <w:tc>
          <w:tcPr>
            <w:tcW w:w="6314" w:type="dxa"/>
          </w:tcPr>
          <w:p w:rsidR="007F5462" w:rsidRDefault="007F5462" w:rsidP="007F5462">
            <w:pPr>
              <w:shd w:val="clear" w:color="auto" w:fill="FFFFFF"/>
              <w:spacing w:line="274" w:lineRule="exact"/>
              <w:ind w:right="67"/>
            </w:pP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 xml:space="preserve">В соответствии с пунктом 5.2 Положения Банка России </w:t>
            </w:r>
            <w:r>
              <w:rPr>
                <w:rFonts w:eastAsia="Times New Roman"/>
                <w:sz w:val="24"/>
                <w:szCs w:val="24"/>
              </w:rPr>
              <w:t>от 02.03.2012 № 375-П «О требованиях к правилам внутреннего контроля кредитной организации в целях противодействия легализации (отмыванию) доходов, полученных преступным путем, и финансированию терроризма» решение о квалификации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неквалификации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 операции клиента в качестве подозрительной операции кредитная организация принимает самостоятельно на основании имеющейся в ее распоряжении информации и документов, характеризующих статус и деятельность клиента, осуществляющего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операцию, а также его представителя и (или)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выгодоприобретателя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(при их наличии).</w:t>
            </w:r>
          </w:p>
          <w:p w:rsidR="007F5462" w:rsidRDefault="007F5462" w:rsidP="007F5462">
            <w:pPr>
              <w:shd w:val="clear" w:color="auto" w:fill="FFFFFF"/>
              <w:spacing w:line="274" w:lineRule="exact"/>
              <w:ind w:left="5" w:right="29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Согласно пункту 2.11 Положения Банка России от 29.08.2008 № 321-П «О порядке представления кредитными организациями в уполномоченный орган сведений, предусмотренных Федеральным законом «О </w:t>
            </w:r>
            <w:r>
              <w:rPr>
                <w:rFonts w:eastAsia="Times New Roman"/>
                <w:sz w:val="24"/>
                <w:szCs w:val="24"/>
              </w:rPr>
              <w:lastRenderedPageBreak/>
              <w:t xml:space="preserve">противодействии легализации (отмыванию) доходов, полученных преступным путем, и финансированию терроризма» днем выявления операции, указанной в пункте 3 статьи 7 Закона № 115-ФЗ, следует считать день, в который в результате применения ПВК по ПОД/ФТ кредитной организацией было принято </w:t>
            </w:r>
            <w:r>
              <w:rPr>
                <w:rFonts w:eastAsia="Times New Roman"/>
                <w:spacing w:val="-2"/>
                <w:sz w:val="24"/>
                <w:szCs w:val="24"/>
              </w:rPr>
              <w:t>окончательное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решение о признании операции клиента </w:t>
            </w:r>
            <w:r>
              <w:rPr>
                <w:rFonts w:eastAsia="Times New Roman"/>
                <w:sz w:val="24"/>
                <w:szCs w:val="24"/>
              </w:rPr>
              <w:t>подозрительной.</w:t>
            </w:r>
          </w:p>
          <w:p w:rsidR="007F5462" w:rsidRPr="00440229" w:rsidRDefault="007F5462" w:rsidP="007F5462">
            <w:pPr>
              <w:shd w:val="clear" w:color="auto" w:fill="FFFFFF"/>
              <w:spacing w:line="274" w:lineRule="exact"/>
              <w:ind w:left="19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Банк России рекомендует кредитным организациям в рамках реализации правил внутреннего контроля в целях противодействия легализации (отмыванию) доходов, полученных преступным путем, и финансированию терроризма рассматривать операции, указанные в пунктах 1-3 Письма Банка России от 10.11.2014 № 191-Т «О направлении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Росфинмониторинг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информации по отдельным операциям клиентов» (далее - Письмо № 191-Т), в качестве подозрительных и направлять на основании пункта 3 статьи 7 Закона № 115-ФЗ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сведения о них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Росфинмониторинг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 учетом особенностей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формирования отчетов в виде электронного сообщения </w:t>
            </w:r>
            <w:r>
              <w:rPr>
                <w:rFonts w:eastAsia="Times New Roman"/>
                <w:sz w:val="24"/>
                <w:szCs w:val="24"/>
              </w:rPr>
              <w:t>(далее - ОЭС), указанных в пунктах 1-3 Письма № 191-Т.</w:t>
            </w:r>
          </w:p>
          <w:p w:rsidR="000C468C" w:rsidRPr="007F5462" w:rsidRDefault="000C468C" w:rsidP="001C03AB"/>
        </w:tc>
      </w:tr>
    </w:tbl>
    <w:p w:rsidR="001C03AB" w:rsidRDefault="001C03AB" w:rsidP="001C03AB"/>
    <w:sectPr w:rsidR="001C03AB" w:rsidSect="001C03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68C" w:rsidRDefault="000C468C" w:rsidP="000C468C">
      <w:r>
        <w:separator/>
      </w:r>
    </w:p>
  </w:endnote>
  <w:endnote w:type="continuationSeparator" w:id="0">
    <w:p w:rsidR="000C468C" w:rsidRDefault="000C468C" w:rsidP="000C4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68C" w:rsidRDefault="000C468C" w:rsidP="000C468C">
      <w:r>
        <w:separator/>
      </w:r>
    </w:p>
  </w:footnote>
  <w:footnote w:type="continuationSeparator" w:id="0">
    <w:p w:rsidR="000C468C" w:rsidRDefault="000C468C" w:rsidP="000C468C">
      <w:r>
        <w:continuationSeparator/>
      </w:r>
    </w:p>
  </w:footnote>
  <w:footnote w:id="1">
    <w:p w:rsidR="000C468C" w:rsidRPr="000C468C" w:rsidRDefault="000C468C" w:rsidP="000C468C">
      <w:pPr>
        <w:shd w:val="clear" w:color="auto" w:fill="FFFFFF"/>
        <w:spacing w:line="274" w:lineRule="exact"/>
        <w:ind w:left="176" w:firstLine="170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rPr>
          <w:rFonts w:eastAsia="Times New Roman"/>
          <w:spacing w:val="-2"/>
          <w:sz w:val="24"/>
          <w:szCs w:val="24"/>
        </w:rPr>
        <w:t>Принимая во внимание, что «Стандарт безопасности данных индустрии платежных карт» (</w:t>
      </w:r>
      <w:r>
        <w:rPr>
          <w:rFonts w:eastAsia="Times New Roman"/>
          <w:spacing w:val="-2"/>
          <w:sz w:val="24"/>
          <w:szCs w:val="24"/>
          <w:lang w:val="en-US"/>
        </w:rPr>
        <w:t>Payment</w:t>
      </w:r>
      <w:r w:rsidRPr="007932F8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  <w:lang w:val="en-US"/>
        </w:rPr>
        <w:t>Card</w:t>
      </w:r>
      <w:r w:rsidRPr="007932F8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  <w:lang w:val="en-US"/>
        </w:rPr>
        <w:t>Industry</w:t>
      </w:r>
      <w:r w:rsidRPr="007932F8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  <w:lang w:val="en-US"/>
        </w:rPr>
        <w:t>Security</w:t>
      </w:r>
      <w:r w:rsidRPr="007932F8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  <w:lang w:val="en-US"/>
        </w:rPr>
        <w:t>Standard</w:t>
      </w:r>
      <w:r>
        <w:rPr>
          <w:rFonts w:eastAsia="Times New Roman"/>
          <w:spacing w:val="-2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(далее - стандарт </w:t>
      </w:r>
      <w:r>
        <w:rPr>
          <w:rFonts w:eastAsia="Times New Roman"/>
          <w:sz w:val="24"/>
          <w:szCs w:val="24"/>
          <w:lang w:val="en-US"/>
        </w:rPr>
        <w:t>PCI</w:t>
      </w:r>
      <w:r w:rsidRPr="007932F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DSS</w:t>
      </w:r>
      <w:r>
        <w:rPr>
          <w:rFonts w:eastAsia="Times New Roman"/>
          <w:sz w:val="24"/>
          <w:szCs w:val="24"/>
        </w:rPr>
        <w:t xml:space="preserve">) устанавливает запрет на хранение кодов </w:t>
      </w:r>
      <w:r>
        <w:rPr>
          <w:rFonts w:eastAsia="Times New Roman"/>
          <w:sz w:val="24"/>
          <w:szCs w:val="24"/>
          <w:lang w:val="en-US"/>
        </w:rPr>
        <w:t>CAV</w:t>
      </w:r>
      <w:r>
        <w:rPr>
          <w:rFonts w:eastAsia="Times New Roman"/>
          <w:sz w:val="24"/>
          <w:szCs w:val="24"/>
        </w:rPr>
        <w:t>2/</w:t>
      </w:r>
      <w:r>
        <w:rPr>
          <w:rFonts w:eastAsia="Times New Roman"/>
          <w:sz w:val="24"/>
          <w:szCs w:val="24"/>
          <w:lang w:val="en-US"/>
        </w:rPr>
        <w:t>CVC</w:t>
      </w:r>
      <w:r>
        <w:rPr>
          <w:rFonts w:eastAsia="Times New Roman"/>
          <w:sz w:val="24"/>
          <w:szCs w:val="24"/>
        </w:rPr>
        <w:t>2/</w:t>
      </w:r>
      <w:r>
        <w:rPr>
          <w:rFonts w:eastAsia="Times New Roman"/>
          <w:sz w:val="24"/>
          <w:szCs w:val="24"/>
          <w:lang w:val="en-US"/>
        </w:rPr>
        <w:t>CVV</w:t>
      </w:r>
      <w:r>
        <w:rPr>
          <w:rFonts w:eastAsia="Times New Roman"/>
          <w:sz w:val="24"/>
          <w:szCs w:val="24"/>
        </w:rPr>
        <w:t>2/</w:t>
      </w:r>
      <w:r>
        <w:rPr>
          <w:rFonts w:eastAsia="Times New Roman"/>
          <w:sz w:val="24"/>
          <w:szCs w:val="24"/>
          <w:lang w:val="en-US"/>
        </w:rPr>
        <w:t>CID</w:t>
      </w:r>
      <w:r>
        <w:rPr>
          <w:rFonts w:eastAsia="Times New Roman"/>
          <w:sz w:val="24"/>
          <w:szCs w:val="24"/>
        </w:rPr>
        <w:t xml:space="preserve"> после завершения процедуры авторизации при совершении операций с использованием платежных карт (пункт 3.2.2 стандарта </w:t>
      </w:r>
      <w:r>
        <w:rPr>
          <w:rFonts w:eastAsia="Times New Roman"/>
          <w:sz w:val="24"/>
          <w:szCs w:val="24"/>
          <w:lang w:val="en-US"/>
        </w:rPr>
        <w:t>PCI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  <w:lang w:val="en-US"/>
        </w:rPr>
        <w:t>DSS</w:t>
      </w:r>
      <w:r>
        <w:rPr>
          <w:rFonts w:eastAsia="Times New Roman"/>
          <w:sz w:val="24"/>
          <w:szCs w:val="24"/>
        </w:rPr>
        <w:t xml:space="preserve">), в целях предотвращения несанкционированных операций с использованием платежных карт коды </w:t>
      </w:r>
      <w:r>
        <w:rPr>
          <w:rFonts w:eastAsia="Times New Roman"/>
          <w:sz w:val="24"/>
          <w:szCs w:val="24"/>
          <w:lang w:val="en-US"/>
        </w:rPr>
        <w:t>CAV</w:t>
      </w:r>
      <w:r>
        <w:rPr>
          <w:rFonts w:eastAsia="Times New Roman"/>
          <w:sz w:val="24"/>
          <w:szCs w:val="24"/>
        </w:rPr>
        <w:t>2/</w:t>
      </w:r>
      <w:r>
        <w:rPr>
          <w:rFonts w:eastAsia="Times New Roman"/>
          <w:sz w:val="24"/>
          <w:szCs w:val="24"/>
          <w:lang w:val="en-US"/>
        </w:rPr>
        <w:t>CVC</w:t>
      </w:r>
      <w:r>
        <w:rPr>
          <w:rFonts w:eastAsia="Times New Roman"/>
          <w:sz w:val="24"/>
          <w:szCs w:val="24"/>
        </w:rPr>
        <w:t>2/</w:t>
      </w:r>
      <w:r>
        <w:rPr>
          <w:rFonts w:eastAsia="Times New Roman"/>
          <w:sz w:val="24"/>
          <w:szCs w:val="24"/>
          <w:lang w:val="en-US"/>
        </w:rPr>
        <w:t>CVV</w:t>
      </w:r>
      <w:r>
        <w:rPr>
          <w:rFonts w:eastAsia="Times New Roman"/>
          <w:sz w:val="24"/>
          <w:szCs w:val="24"/>
        </w:rPr>
        <w:t>2/</w:t>
      </w:r>
      <w:r>
        <w:rPr>
          <w:rFonts w:eastAsia="Times New Roman"/>
          <w:sz w:val="24"/>
          <w:szCs w:val="24"/>
          <w:lang w:val="en-US"/>
        </w:rPr>
        <w:t>CID</w:t>
      </w:r>
      <w:r>
        <w:rPr>
          <w:rFonts w:eastAsia="Times New Roman"/>
          <w:sz w:val="24"/>
          <w:szCs w:val="24"/>
        </w:rPr>
        <w:t xml:space="preserve"> не должны включаться</w:t>
      </w:r>
      <w:proofErr w:type="gramEnd"/>
      <w:r>
        <w:rPr>
          <w:rFonts w:eastAsia="Times New Roman"/>
          <w:sz w:val="24"/>
          <w:szCs w:val="24"/>
        </w:rPr>
        <w:t xml:space="preserve"> в анкету (досье) клиента, формируемую при идентификации клиента, проводимой в соответствии с пунктом 4.2 Положения № 499-П.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3AB"/>
    <w:rsid w:val="000B7C3A"/>
    <w:rsid w:val="000C468C"/>
    <w:rsid w:val="00183B58"/>
    <w:rsid w:val="001C03AB"/>
    <w:rsid w:val="002B6043"/>
    <w:rsid w:val="002C37D3"/>
    <w:rsid w:val="004218C1"/>
    <w:rsid w:val="004A0BAE"/>
    <w:rsid w:val="004F6E7A"/>
    <w:rsid w:val="007D6123"/>
    <w:rsid w:val="007F5462"/>
    <w:rsid w:val="00870761"/>
    <w:rsid w:val="0091189B"/>
    <w:rsid w:val="0096300B"/>
    <w:rsid w:val="009A0C34"/>
    <w:rsid w:val="009B4983"/>
    <w:rsid w:val="00C4272C"/>
    <w:rsid w:val="00E14483"/>
    <w:rsid w:val="00EE4988"/>
    <w:rsid w:val="00EE780B"/>
    <w:rsid w:val="00FD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AB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C468C"/>
  </w:style>
  <w:style w:type="character" w:customStyle="1" w:styleId="a5">
    <w:name w:val="Текст сноски Знак"/>
    <w:basedOn w:val="a0"/>
    <w:link w:val="a4"/>
    <w:uiPriority w:val="99"/>
    <w:semiHidden/>
    <w:rsid w:val="000C468C"/>
    <w:rPr>
      <w:rFonts w:eastAsiaTheme="minorEastAsia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C46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5A67A-8C89-4D44-95C3-D6F7416B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2</cp:revision>
  <dcterms:created xsi:type="dcterms:W3CDTF">2016-07-13T09:42:00Z</dcterms:created>
  <dcterms:modified xsi:type="dcterms:W3CDTF">2016-07-13T09:42:00Z</dcterms:modified>
</cp:coreProperties>
</file>