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77" w:rsidRDefault="00B143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22860</wp:posOffset>
                </wp:positionV>
                <wp:extent cx="4991100" cy="1257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D" w:rsidRPr="00B143FD" w:rsidRDefault="00B23060" w:rsidP="00D353E5">
                            <w:pPr>
                              <w:tabs>
                                <w:tab w:val="left" w:pos="7938"/>
                              </w:tabs>
                              <w:adjustRightInd w:val="0"/>
                              <w:ind w:right="1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Ответы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на вопросы,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поступившие в Оргкомитет от участников к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встрече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руководителей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 </w:t>
                            </w:r>
                            <w:r w:rsidRPr="005D643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руководителями коммерческих банков 1-2 февраля 2018г. в ОПК «БОР» </w:t>
                            </w:r>
                            <w:r w:rsidR="005D6433" w:rsidRPr="005D643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="00D353E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деятельности Службы анализа рисков ЦБ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3.5pt;margin-top:1.8pt;width:39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hBmA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" stroked="f">
                <v:textbox>
                  <w:txbxContent>
                    <w:p w:rsidR="00B143FD" w:rsidRPr="00B143FD" w:rsidRDefault="00B23060" w:rsidP="00D353E5">
                      <w:pPr>
                        <w:tabs>
                          <w:tab w:val="left" w:pos="7938"/>
                        </w:tabs>
                        <w:adjustRightInd w:val="0"/>
                        <w:ind w:right="17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Ответы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на вопросы,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поступившие в Оргкомитет от участников к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встрече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руководителей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 </w:t>
                      </w:r>
                      <w:r w:rsidRPr="005D643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руководителями коммерческих банков 1-2 февраля 2018г. в ОПК «БОР» </w:t>
                      </w:r>
                      <w:r w:rsidR="005D6433" w:rsidRPr="005D643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 </w:t>
                      </w:r>
                      <w:r w:rsidR="00D353E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деятельности Службы анализа рисков ЦБ РФ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1A94A6" wp14:editId="4EC554C8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E5" w:rsidRDefault="00D353E5" w:rsidP="00D353E5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042"/>
        </w:tabs>
        <w:spacing w:after="100" w:line="298" w:lineRule="auto"/>
        <w:ind w:left="0" w:firstLine="720"/>
      </w:pPr>
      <w:bookmarkStart w:id="0" w:name="bookmark54"/>
      <w:r>
        <w:rPr>
          <w:rStyle w:val="21"/>
          <w:b/>
          <w:bCs/>
          <w:color w:val="000000"/>
        </w:rPr>
        <w:t>По вопросам формирования Реестра залогов.</w:t>
      </w:r>
      <w:bookmarkEnd w:id="0"/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Целью создания Реестра залогов</w:t>
      </w:r>
      <w:r>
        <w:rPr>
          <w:rStyle w:val="1"/>
          <w:color w:val="000000"/>
          <w:vertAlign w:val="superscript"/>
        </w:rPr>
        <w:footnoteReference w:id="1"/>
      </w:r>
      <w:r>
        <w:rPr>
          <w:rStyle w:val="1"/>
          <w:color w:val="000000"/>
        </w:rPr>
        <w:t xml:space="preserve"> на базе Банка России является решение следующих задач как внутреннего, так и внешнего характера:</w:t>
      </w:r>
    </w:p>
    <w:p w:rsidR="00D353E5" w:rsidRDefault="00D353E5" w:rsidP="00D353E5">
      <w:pPr>
        <w:pStyle w:val="aa"/>
        <w:shd w:val="clear" w:color="auto" w:fill="auto"/>
        <w:ind w:firstLine="440"/>
      </w:pPr>
      <w:r>
        <w:rPr>
          <w:rStyle w:val="1"/>
          <w:color w:val="000000"/>
        </w:rPr>
        <w:t>осуществление Банком России для целей банковского надзора комплексного анализа рисков, связанных с обеспечением ссуд, выданных кредитными организациями (в том числе риска ликвидности имущества, являющегося предметом залога (в зависимости от вида имущества), на различных уровнях (кредитная организация, банковская группа, банковская система Российской Федерации);</w:t>
      </w:r>
    </w:p>
    <w:p w:rsidR="00D353E5" w:rsidRDefault="00D353E5" w:rsidP="00D353E5">
      <w:pPr>
        <w:pStyle w:val="aa"/>
        <w:shd w:val="clear" w:color="auto" w:fill="auto"/>
        <w:ind w:firstLine="440"/>
      </w:pPr>
      <w:r>
        <w:rPr>
          <w:rStyle w:val="1"/>
          <w:color w:val="000000"/>
        </w:rPr>
        <w:t>доведение Банком России информации о заключении последующих договоров залога имущества до сведения кредитных организаций для учета ими данных фактов при оценке кредитного риска.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настоящее время на базе Банка России осуществляются мероприятия по формированию постоянно действующей рабочей группы, в состав которой планируется включить представителей двух крупнейших ассоциаций банков - Ассоциации российских банков и Ассоциации «Россия».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Предполагается, что в рамках данной рабочей группы будут подготовлены предложения относительно:</w:t>
      </w:r>
    </w:p>
    <w:p w:rsidR="00D353E5" w:rsidRDefault="00D353E5" w:rsidP="00D353E5">
      <w:pPr>
        <w:pStyle w:val="aa"/>
        <w:shd w:val="clear" w:color="auto" w:fill="auto"/>
        <w:ind w:firstLine="440"/>
      </w:pPr>
      <w:r>
        <w:rPr>
          <w:rStyle w:val="1"/>
          <w:color w:val="000000"/>
        </w:rPr>
        <w:t>видов имущества, сведения о которых будут включены в Реестр залогов, состава данных сведений для каждого вида и их формата;</w:t>
      </w:r>
    </w:p>
    <w:p w:rsidR="00D353E5" w:rsidRDefault="00D353E5" w:rsidP="00D353E5">
      <w:pPr>
        <w:pStyle w:val="aa"/>
        <w:shd w:val="clear" w:color="auto" w:fill="auto"/>
        <w:ind w:firstLine="440"/>
      </w:pPr>
      <w:r>
        <w:rPr>
          <w:rStyle w:val="1"/>
          <w:color w:val="000000"/>
        </w:rPr>
        <w:t>последовательных этапов формирования Реестра залогов;</w:t>
      </w:r>
    </w:p>
    <w:p w:rsidR="00D353E5" w:rsidRDefault="00D353E5" w:rsidP="00D353E5">
      <w:pPr>
        <w:pStyle w:val="aa"/>
        <w:shd w:val="clear" w:color="auto" w:fill="auto"/>
        <w:ind w:firstLine="440"/>
      </w:pPr>
      <w:r>
        <w:rPr>
          <w:rStyle w:val="1"/>
          <w:color w:val="000000"/>
        </w:rPr>
        <w:t>механизма обмена кредитными организациями с Банком России информацией о предметах залога, периодичности представления сведений кредитными организациями в Банк России.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рамках реализации процедур по созданию Реестра залогов планируется проведение пилотного тестирования системы обмена информацией между Банком России и кредитными организациями, состав участников которого будет определен позднее.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К настоящему моменту можно сделать вывод о том, что содержащиеся в Реестре залогов сведения будут доступны только кредитным организациям на безвозмездной основе.</w:t>
      </w:r>
    </w:p>
    <w:p w:rsidR="00D353E5" w:rsidRDefault="00D353E5" w:rsidP="00D353E5">
      <w:pPr>
        <w:pStyle w:val="aa"/>
        <w:shd w:val="clear" w:color="auto" w:fill="auto"/>
        <w:spacing w:after="360"/>
        <w:ind w:firstLine="720"/>
      </w:pPr>
      <w:r>
        <w:rPr>
          <w:rStyle w:val="1"/>
          <w:color w:val="000000"/>
        </w:rPr>
        <w:lastRenderedPageBreak/>
        <w:t xml:space="preserve">Отмечаем, что синхронизация сведений, содержащихся в Реестре залогов, со сведениями, содержащимися в иных реестрах (Реестр уведомлений о залоге движимого имущества, Единый государственный реестр недвижимости, иные реестры), требует обсуждения вопросов правового и технологического характера с операторами соответствующих реестров (Федеральная нотариальная палата, </w:t>
      </w:r>
      <w:proofErr w:type="spellStart"/>
      <w:r>
        <w:rPr>
          <w:rStyle w:val="1"/>
          <w:color w:val="000000"/>
        </w:rPr>
        <w:t>Росреестр</w:t>
      </w:r>
      <w:proofErr w:type="spellEnd"/>
      <w:r>
        <w:rPr>
          <w:rStyle w:val="1"/>
          <w:color w:val="000000"/>
        </w:rPr>
        <w:t>).</w:t>
      </w:r>
    </w:p>
    <w:p w:rsidR="00D353E5" w:rsidRDefault="00D353E5" w:rsidP="00D353E5">
      <w:pPr>
        <w:pStyle w:val="aa"/>
        <w:numPr>
          <w:ilvl w:val="0"/>
          <w:numId w:val="12"/>
        </w:numPr>
        <w:shd w:val="clear" w:color="auto" w:fill="auto"/>
        <w:tabs>
          <w:tab w:val="left" w:pos="720"/>
        </w:tabs>
        <w:ind w:firstLine="851"/>
      </w:pPr>
      <w:r>
        <w:rPr>
          <w:rStyle w:val="1"/>
          <w:b/>
          <w:bCs/>
          <w:color w:val="000000"/>
        </w:rPr>
        <w:t>По вопросам проведения оценки активов кредитных организаций и экспертизы предметов залога, принятых кредитными организациями в качестве обеспечения по ссудам.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соответствии с пунктом 1.4 Положения Банка России № 448-П</w:t>
      </w:r>
      <w:r>
        <w:rPr>
          <w:rStyle w:val="1"/>
          <w:color w:val="000000"/>
          <w:vertAlign w:val="superscript"/>
        </w:rPr>
        <w:footnoteReference w:id="2"/>
      </w:r>
      <w:r>
        <w:rPr>
          <w:rStyle w:val="1"/>
          <w:color w:val="000000"/>
        </w:rPr>
        <w:t xml:space="preserve"> оценка справедливой стоимости основных средств, недвижимости, временно неиспользуемой в основной деятельности, долгосрочных активов, предназначенных для продажи, осуществляется кредитной организацией в порядке, определенном Международным стандартом финансовой отчетности </w:t>
      </w:r>
      <w:r w:rsidRPr="00C94C55">
        <w:rPr>
          <w:rStyle w:val="1"/>
          <w:color w:val="000000"/>
        </w:rPr>
        <w:t>(</w:t>
      </w:r>
      <w:r>
        <w:rPr>
          <w:rStyle w:val="1"/>
          <w:color w:val="000000"/>
          <w:lang w:val="en-US"/>
        </w:rPr>
        <w:t>IFRS</w:t>
      </w:r>
      <w:r w:rsidRPr="00C94C55">
        <w:rPr>
          <w:rStyle w:val="1"/>
          <w:color w:val="000000"/>
        </w:rPr>
        <w:t xml:space="preserve">) </w:t>
      </w:r>
      <w:r>
        <w:rPr>
          <w:rStyle w:val="1"/>
          <w:color w:val="000000"/>
        </w:rPr>
        <w:t>13 «Оценка справедливой стоимости» (далее - МСФО 13).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Служба при проведении оценки указанных активов кредитных организаций также руководствуется МСФО 13, выбирая подходы и методы оценки при одновременном выполнении следующих условий:</w:t>
      </w:r>
    </w:p>
    <w:p w:rsidR="00D353E5" w:rsidRDefault="00D353E5" w:rsidP="00D353E5">
      <w:pPr>
        <w:pStyle w:val="aa"/>
        <w:numPr>
          <w:ilvl w:val="0"/>
          <w:numId w:val="11"/>
        </w:numPr>
        <w:shd w:val="clear" w:color="auto" w:fill="auto"/>
        <w:tabs>
          <w:tab w:val="left" w:pos="729"/>
        </w:tabs>
        <w:ind w:firstLine="440"/>
      </w:pPr>
      <w:r>
        <w:rPr>
          <w:rStyle w:val="1"/>
          <w:color w:val="000000"/>
        </w:rPr>
        <w:t>они уместны в данных обстоятельствах;</w:t>
      </w:r>
    </w:p>
    <w:p w:rsidR="00D353E5" w:rsidRDefault="00D353E5" w:rsidP="00D353E5">
      <w:pPr>
        <w:pStyle w:val="aa"/>
        <w:numPr>
          <w:ilvl w:val="0"/>
          <w:numId w:val="11"/>
        </w:numPr>
        <w:shd w:val="clear" w:color="auto" w:fill="auto"/>
        <w:tabs>
          <w:tab w:val="left" w:pos="729"/>
        </w:tabs>
        <w:ind w:firstLine="440"/>
      </w:pPr>
      <w:r>
        <w:rPr>
          <w:rStyle w:val="1"/>
          <w:color w:val="000000"/>
        </w:rPr>
        <w:t>для них доступны данные, достаточные для оценки справедливой стоимости;</w:t>
      </w:r>
    </w:p>
    <w:p w:rsidR="00D353E5" w:rsidRDefault="00D353E5" w:rsidP="00D353E5">
      <w:pPr>
        <w:pStyle w:val="aa"/>
        <w:numPr>
          <w:ilvl w:val="0"/>
          <w:numId w:val="11"/>
        </w:numPr>
        <w:shd w:val="clear" w:color="auto" w:fill="auto"/>
        <w:tabs>
          <w:tab w:val="left" w:pos="721"/>
        </w:tabs>
        <w:ind w:firstLine="440"/>
      </w:pPr>
      <w:r>
        <w:rPr>
          <w:rStyle w:val="1"/>
          <w:color w:val="000000"/>
        </w:rPr>
        <w:t>они позволяют максимально использовать релевантные наблюдаемые исходные данные и свести к минимуму использование ненаблюдаемых исходных данных.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Тремя наиболее широко используемыми подходами являются рыночный, затратный и доходный (основные аспекты данных подходов описаны в МСФО 13). Для оценки справедливой стоимости Служба использует методы оценки, соответствующие одному или нескольким из данных подходов.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соответствии с частью девятой статьи 72 Федерального закона от 10.07.2002 № 86-ФЗ «О Центральном банке Российской Федерации (Банке России)» Банк России выносит суждение о стоимости предмета залога на основании федеральных стандартов оценки, предусмотренных статьей 20 Федерального закона от 29.07.1998 № 135-ФЗ «Об оценочной деятельности в Российской Федерации» (далее - ФСО).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Служба в процессе проведения экспертизы предмета залога руководствуется </w:t>
      </w:r>
      <w:r>
        <w:rPr>
          <w:rStyle w:val="1"/>
          <w:color w:val="000000"/>
        </w:rPr>
        <w:lastRenderedPageBreak/>
        <w:t>подходами к оценке, предусмотренными (рекомендованными) ФСО, а также методами оценки в рамках указанных подходов. Суть каждого из методов оценки, а также предпосылки для их использования также описаны в ФСО.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связи с вышеизложенным сообщаем, что в процессе проведения оценки активов кредитных организаций и экспертизы предметов залога Служба анализирует выбор кредитной организацией (оценщиком, составившим отчет об оценке актива (предмета залога) для кредитной организации) подходов к оценке и методов оценки и, в случае обоснованности их применения, также использует данные подходы и методы.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При этом различия в результатах, полученных Службой и кредитной организацией (оценщиком), главным образом обусловлены качеством их применения лицом, осуществившим оценку. Например, в практике работы Службы часто встречаются случаи некорректного выбора объектов-аналогов, </w:t>
      </w:r>
      <w:proofErr w:type="spellStart"/>
      <w:r>
        <w:rPr>
          <w:rStyle w:val="1"/>
          <w:color w:val="000000"/>
        </w:rPr>
        <w:t>неучета</w:t>
      </w:r>
      <w:proofErr w:type="spellEnd"/>
      <w:r>
        <w:rPr>
          <w:rStyle w:val="1"/>
          <w:color w:val="000000"/>
        </w:rPr>
        <w:t xml:space="preserve"> обременений в отношении оцениваемого имущества, использования наиболее оптимистичных прогнозов, приводящих к искажению его стоимости и иных нарушений стандартов.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Полагаем, что кредитные организации имеют в составе соответствующих внутренних структурных подразделений специалистов по оценке имущества с должным уровнем подготовки. В связи с этим, действуя с должной степенью осторожности, кредитные организации имеют возможность при использовании отчета об оценке имущества (как собственного, так и принятого в залог) проанализировать процесс определения оценщиком стоимости указанного имущества и при необходимости скорректировать полученные им результаты для целей отражения в отчетности справедливой стоимости актива (залога). Например, кредитная организация может провести анализ соответствия требованиям (рекомендациям) ФСО выбранных оценщиком подходов и методов оценки, проверку стоимости указанных в отчёте объектов-аналогов. Кроме того, зачастую кредитные организации могут осуществить осмотр имущества с целью уточнения его количественных и качественных характеристик, влияющих на стоимость.</w:t>
      </w:r>
    </w:p>
    <w:p w:rsidR="00D353E5" w:rsidRDefault="00D353E5" w:rsidP="00D353E5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Отмечаем, что в соответствии с требованиями Федерального стандарта оценки «Требования к отчету об оценке (ФСО № 3)» в отчете об оценке должно содержаться описание процесса оценки в части применения подходов к оценке, позволяющее пользователю такого отчета понять логику процесса определения стоимости объекта оценки, с приведением соответствующих расчетов.</w:t>
      </w:r>
    </w:p>
    <w:p w:rsidR="00D353E5" w:rsidRDefault="00D353E5" w:rsidP="00D353E5">
      <w:pPr>
        <w:pStyle w:val="aa"/>
        <w:shd w:val="clear" w:color="auto" w:fill="auto"/>
        <w:ind w:firstLine="720"/>
        <w:rPr>
          <w:rStyle w:val="1"/>
          <w:color w:val="000000"/>
        </w:rPr>
      </w:pPr>
      <w:r>
        <w:rPr>
          <w:rStyle w:val="1"/>
          <w:color w:val="000000"/>
        </w:rPr>
        <w:t>Дополнительно сообщаем, что законодательством Российской Федерации процедура аккредитации Банком России оценочных компаний не предусмотрена.</w:t>
      </w:r>
    </w:p>
    <w:p w:rsidR="00D353E5" w:rsidRDefault="00D353E5" w:rsidP="00D353E5">
      <w:pPr>
        <w:pStyle w:val="aa"/>
        <w:shd w:val="clear" w:color="auto" w:fill="auto"/>
        <w:ind w:firstLine="720"/>
        <w:rPr>
          <w:rStyle w:val="1"/>
          <w:color w:val="000000"/>
        </w:rPr>
      </w:pPr>
    </w:p>
    <w:p w:rsidR="00D353E5" w:rsidRDefault="00D353E5" w:rsidP="00D353E5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298" w:lineRule="auto"/>
        <w:ind w:left="0" w:firstLine="700"/>
      </w:pPr>
      <w:bookmarkStart w:id="1" w:name="bookmark55"/>
      <w:r>
        <w:rPr>
          <w:rStyle w:val="21"/>
          <w:b/>
          <w:bCs/>
          <w:color w:val="000000"/>
        </w:rPr>
        <w:t>По вопросам внесения изменений в федеральные стандарты оценки.</w:t>
      </w:r>
      <w:bookmarkEnd w:id="1"/>
    </w:p>
    <w:p w:rsidR="00D353E5" w:rsidRDefault="00D353E5" w:rsidP="00D353E5">
      <w:pPr>
        <w:pStyle w:val="aa"/>
        <w:shd w:val="clear" w:color="auto" w:fill="auto"/>
        <w:ind w:firstLine="700"/>
      </w:pPr>
      <w:r>
        <w:rPr>
          <w:rStyle w:val="1"/>
          <w:color w:val="000000"/>
        </w:rPr>
        <w:t xml:space="preserve">Вопросы регулирования оценочной деятельности относятся к компетенции </w:t>
      </w:r>
      <w:r>
        <w:rPr>
          <w:rStyle w:val="1"/>
          <w:color w:val="000000"/>
        </w:rPr>
        <w:lastRenderedPageBreak/>
        <w:t>Минэкономразвития России как федерального органа, осуществляющего нормативно-правовое регулирование в области оценочной деятельности.</w:t>
      </w:r>
    </w:p>
    <w:p w:rsidR="000F6041" w:rsidRPr="00EC1673" w:rsidRDefault="000F6041" w:rsidP="00EC1673">
      <w:pPr>
        <w:pStyle w:val="aa"/>
        <w:shd w:val="clear" w:color="auto" w:fill="auto"/>
        <w:ind w:firstLine="720"/>
        <w:rPr>
          <w:color w:val="000000"/>
          <w:shd w:val="clear" w:color="auto" w:fill="FFFFFF"/>
        </w:rPr>
      </w:pPr>
      <w:bookmarkStart w:id="2" w:name="_GoBack"/>
      <w:bookmarkEnd w:id="2"/>
    </w:p>
    <w:sectPr w:rsidR="000F6041" w:rsidRPr="00EC1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E7" w:rsidRDefault="00A365E7" w:rsidP="00A365E7">
      <w:pPr>
        <w:spacing w:after="0" w:line="240" w:lineRule="auto"/>
      </w:pPr>
      <w:r>
        <w:separator/>
      </w:r>
    </w:p>
  </w:endnote>
  <w:end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4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5E7" w:rsidRPr="00A365E7" w:rsidRDefault="00A365E7" w:rsidP="00A365E7">
        <w:pPr>
          <w:pStyle w:val="a6"/>
          <w:jc w:val="right"/>
          <w:rPr>
            <w:rFonts w:ascii="Times New Roman" w:hAnsi="Times New Roman" w:cs="Times New Roman"/>
          </w:rPr>
        </w:pPr>
        <w:r w:rsidRPr="00A365E7">
          <w:rPr>
            <w:rFonts w:ascii="Times New Roman" w:hAnsi="Times New Roman" w:cs="Times New Roman"/>
          </w:rPr>
          <w:fldChar w:fldCharType="begin"/>
        </w:r>
        <w:r w:rsidRPr="00A365E7">
          <w:rPr>
            <w:rFonts w:ascii="Times New Roman" w:hAnsi="Times New Roman" w:cs="Times New Roman"/>
          </w:rPr>
          <w:instrText>PAGE   \* MERGEFORMAT</w:instrText>
        </w:r>
        <w:r w:rsidRPr="00A365E7">
          <w:rPr>
            <w:rFonts w:ascii="Times New Roman" w:hAnsi="Times New Roman" w:cs="Times New Roman"/>
          </w:rPr>
          <w:fldChar w:fldCharType="separate"/>
        </w:r>
        <w:r w:rsidR="00D353E5">
          <w:rPr>
            <w:rFonts w:ascii="Times New Roman" w:hAnsi="Times New Roman" w:cs="Times New Roman"/>
            <w:noProof/>
          </w:rPr>
          <w:t>4</w:t>
        </w:r>
        <w:r w:rsidRPr="00A365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E7" w:rsidRDefault="00A365E7" w:rsidP="00A365E7">
      <w:pPr>
        <w:spacing w:after="0" w:line="240" w:lineRule="auto"/>
      </w:pPr>
      <w:r>
        <w:separator/>
      </w:r>
    </w:p>
  </w:footnote>
  <w:foot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footnote>
  <w:footnote w:id="1">
    <w:p w:rsidR="00D353E5" w:rsidRDefault="00D353E5" w:rsidP="00D353E5">
      <w:pPr>
        <w:pStyle w:val="a9"/>
        <w:shd w:val="clear" w:color="auto" w:fill="auto"/>
        <w:tabs>
          <w:tab w:val="left" w:pos="567"/>
        </w:tabs>
        <w:ind w:firstLine="284"/>
      </w:pPr>
      <w:r>
        <w:rPr>
          <w:rStyle w:val="a8"/>
          <w:color w:val="000000"/>
          <w:vertAlign w:val="superscript"/>
        </w:rPr>
        <w:footnoteRef/>
      </w:r>
      <w:r>
        <w:rPr>
          <w:rStyle w:val="a8"/>
          <w:color w:val="000000"/>
        </w:rPr>
        <w:t xml:space="preserve"> Реестр залогов - сводный перечень данных о предметах залога, принятых кредитными организациями в качестве обеспечения по ссудам, включающих в себя количественные и качественные характеристики заложенного имущества</w:t>
      </w:r>
    </w:p>
  </w:footnote>
  <w:footnote w:id="2">
    <w:p w:rsidR="00D353E5" w:rsidRDefault="00D353E5" w:rsidP="00D353E5">
      <w:pPr>
        <w:pStyle w:val="a9"/>
        <w:shd w:val="clear" w:color="auto" w:fill="auto"/>
        <w:tabs>
          <w:tab w:val="left" w:pos="567"/>
        </w:tabs>
        <w:spacing w:line="262" w:lineRule="auto"/>
        <w:ind w:firstLine="284"/>
      </w:pPr>
      <w:r>
        <w:rPr>
          <w:rStyle w:val="a8"/>
          <w:color w:val="000000"/>
          <w:vertAlign w:val="superscript"/>
        </w:rPr>
        <w:footnoteRef/>
      </w:r>
      <w:r>
        <w:rPr>
          <w:rStyle w:val="a8"/>
          <w:color w:val="000000"/>
        </w:rPr>
        <w:t xml:space="preserve"> Положение Банка России от 22.12.2014 № 448-П 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EE62AC4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D"/>
    <w:multiLevelType w:val="multilevel"/>
    <w:tmpl w:val="B8866F34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3B7C3CEB"/>
    <w:multiLevelType w:val="hybridMultilevel"/>
    <w:tmpl w:val="5A68B654"/>
    <w:lvl w:ilvl="0" w:tplc="1108D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2E4071"/>
    <w:multiLevelType w:val="hybridMultilevel"/>
    <w:tmpl w:val="F1A4D9D0"/>
    <w:lvl w:ilvl="0" w:tplc="1D0EE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D"/>
    <w:rsid w:val="000264CF"/>
    <w:rsid w:val="00064484"/>
    <w:rsid w:val="000F6041"/>
    <w:rsid w:val="00146987"/>
    <w:rsid w:val="002353DB"/>
    <w:rsid w:val="00434DCB"/>
    <w:rsid w:val="004A3D77"/>
    <w:rsid w:val="005D6433"/>
    <w:rsid w:val="008865BD"/>
    <w:rsid w:val="008C2D9E"/>
    <w:rsid w:val="00A365E7"/>
    <w:rsid w:val="00AF102E"/>
    <w:rsid w:val="00B143FD"/>
    <w:rsid w:val="00B23060"/>
    <w:rsid w:val="00B8785A"/>
    <w:rsid w:val="00C20A06"/>
    <w:rsid w:val="00C30FDE"/>
    <w:rsid w:val="00C408F0"/>
    <w:rsid w:val="00D353E5"/>
    <w:rsid w:val="00E718AF"/>
    <w:rsid w:val="00EB7D3A"/>
    <w:rsid w:val="00EC1673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D0AF9F-5218-4942-BE2E-471C1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14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43FD"/>
    <w:pPr>
      <w:widowControl w:val="0"/>
      <w:shd w:val="clear" w:color="auto" w:fill="FFFFFF"/>
      <w:spacing w:before="126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604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E7"/>
  </w:style>
  <w:style w:type="paragraph" w:styleId="a6">
    <w:name w:val="footer"/>
    <w:basedOn w:val="a"/>
    <w:link w:val="a7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E7"/>
  </w:style>
  <w:style w:type="character" w:customStyle="1" w:styleId="a8">
    <w:name w:val="Сноска_"/>
    <w:basedOn w:val="a0"/>
    <w:link w:val="a9"/>
    <w:uiPriority w:val="99"/>
    <w:locked/>
    <w:rsid w:val="00EB7D3A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EB7D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uiPriority w:val="99"/>
    <w:locked/>
    <w:rsid w:val="00EB7D3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EB7D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EB7D3A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EB7D3A"/>
    <w:pPr>
      <w:widowControl w:val="0"/>
      <w:shd w:val="clear" w:color="auto" w:fill="FFFFFF"/>
      <w:spacing w:after="0" w:line="264" w:lineRule="auto"/>
      <w:ind w:firstLine="740"/>
      <w:jc w:val="both"/>
    </w:pPr>
    <w:rPr>
      <w:rFonts w:ascii="Times New Roman" w:hAnsi="Times New Roman" w:cs="Times New Roman"/>
    </w:rPr>
  </w:style>
  <w:style w:type="paragraph" w:styleId="aa">
    <w:name w:val="Body Text"/>
    <w:basedOn w:val="a"/>
    <w:link w:val="1"/>
    <w:uiPriority w:val="99"/>
    <w:rsid w:val="00EB7D3A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EB7D3A"/>
  </w:style>
  <w:style w:type="paragraph" w:customStyle="1" w:styleId="20">
    <w:name w:val="Колонтитул (2)"/>
    <w:basedOn w:val="a"/>
    <w:link w:val="2"/>
    <w:uiPriority w:val="99"/>
    <w:rsid w:val="00EB7D3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EB7D3A"/>
    <w:pPr>
      <w:widowControl w:val="0"/>
      <w:shd w:val="clear" w:color="auto" w:fill="FFFFFF"/>
      <w:spacing w:after="220" w:line="300" w:lineRule="auto"/>
      <w:ind w:left="9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EB7D3A"/>
    <w:pPr>
      <w:widowControl w:val="0"/>
      <w:shd w:val="clear" w:color="auto" w:fill="FFFFFF"/>
      <w:spacing w:after="300" w:line="293" w:lineRule="auto"/>
      <w:ind w:left="3380"/>
      <w:jc w:val="right"/>
    </w:pPr>
    <w:rPr>
      <w:rFonts w:ascii="Times New Roman" w:hAnsi="Times New Roman" w:cs="Times New Roman"/>
    </w:rPr>
  </w:style>
  <w:style w:type="character" w:customStyle="1" w:styleId="ac">
    <w:name w:val="Колонтитул_"/>
    <w:basedOn w:val="a0"/>
    <w:link w:val="ad"/>
    <w:uiPriority w:val="99"/>
    <w:locked/>
    <w:rsid w:val="00EC1673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ad">
    <w:name w:val="Колонтитул"/>
    <w:basedOn w:val="a"/>
    <w:link w:val="ac"/>
    <w:uiPriority w:val="99"/>
    <w:rsid w:val="00EC1673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Елена Самохина</cp:lastModifiedBy>
  <cp:revision>3</cp:revision>
  <dcterms:created xsi:type="dcterms:W3CDTF">2018-03-19T02:40:00Z</dcterms:created>
  <dcterms:modified xsi:type="dcterms:W3CDTF">2018-03-19T02:44:00Z</dcterms:modified>
</cp:coreProperties>
</file>