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F8" w:rsidRDefault="00D91B5F" w:rsidP="00D91B5F">
      <w:pPr>
        <w:spacing w:line="276" w:lineRule="auto"/>
        <w:jc w:val="center"/>
      </w:pPr>
      <w:r>
        <w:rPr>
          <w:b/>
        </w:rPr>
        <w:t>П</w:t>
      </w:r>
      <w:r w:rsidR="001417F8">
        <w:rPr>
          <w:b/>
        </w:rPr>
        <w:t>рограмм</w:t>
      </w:r>
      <w:r>
        <w:rPr>
          <w:b/>
        </w:rPr>
        <w:t>а</w:t>
      </w:r>
      <w:r w:rsidR="001417F8">
        <w:rPr>
          <w:b/>
        </w:rPr>
        <w:t xml:space="preserve"> «На</w:t>
      </w:r>
      <w:bookmarkStart w:id="0" w:name="_GoBack"/>
      <w:bookmarkEnd w:id="0"/>
      <w:r w:rsidR="001417F8">
        <w:rPr>
          <w:b/>
        </w:rPr>
        <w:t>копительная ипотека»</w:t>
      </w:r>
      <w:r>
        <w:rPr>
          <w:b/>
        </w:rPr>
        <w:t xml:space="preserve"> </w:t>
      </w:r>
      <w:r w:rsidR="001417F8" w:rsidRPr="00535853">
        <w:rPr>
          <w:b/>
        </w:rPr>
        <w:t>Краснодарского края</w:t>
      </w:r>
    </w:p>
    <w:p w:rsidR="001417F8" w:rsidRDefault="001417F8" w:rsidP="00FB357D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B95C05" w:rsidRDefault="00B95C05" w:rsidP="00FB357D">
      <w:pPr>
        <w:spacing w:line="276" w:lineRule="auto"/>
        <w:ind w:firstLine="708"/>
        <w:jc w:val="both"/>
      </w:pPr>
      <w:r>
        <w:t xml:space="preserve">Программа </w:t>
      </w:r>
      <w:r w:rsidRPr="00252E73">
        <w:t>«Накопительная ипотека»</w:t>
      </w:r>
      <w:r>
        <w:t xml:space="preserve"> реализуется в Краснодарском крае с октября 2011 года в рамках постановления  главы администрации Краснодарского края от 29 июля 2011 года № 824 «Об утверждении Порядка предоставления социальных выплат физическим лицам, открывающим вклады (счета) в кредитных организациях с целью накопления средств для улучшения жилищных условий». </w:t>
      </w:r>
    </w:p>
    <w:p w:rsidR="00B95C05" w:rsidRDefault="00B95C05" w:rsidP="00FB357D">
      <w:pPr>
        <w:spacing w:line="276" w:lineRule="auto"/>
        <w:ind w:firstLine="708"/>
        <w:jc w:val="both"/>
      </w:pPr>
      <w:r>
        <w:t>Партнером администрации Краснодарского края выступает ПАО Сбербанк</w:t>
      </w:r>
      <w:r w:rsidR="007B2A76">
        <w:t xml:space="preserve"> (далее – Банк)</w:t>
      </w:r>
      <w:r>
        <w:t>, выбранный по результатам конкурсного отбора, проведенного среди кредитных организаций, на право обслуживания банковских счетов для зачисления социальной выплаты.</w:t>
      </w:r>
    </w:p>
    <w:p w:rsidR="00B95C05" w:rsidRPr="004B1CE6" w:rsidRDefault="00B95C05" w:rsidP="00FB357D">
      <w:pPr>
        <w:spacing w:line="276" w:lineRule="auto"/>
        <w:ind w:firstLine="708"/>
        <w:jc w:val="both"/>
      </w:pPr>
      <w:r w:rsidRPr="004B1CE6">
        <w:t>Краснодарский край первый из субъектов РФ начал разработку и реализацию данного проекта, опыту которого в настоящее время последовали другие регионы (Ростовская область, республика Башкортостан, Ханты-Мансийский автономный округ).</w:t>
      </w:r>
    </w:p>
    <w:p w:rsidR="001417F8" w:rsidRPr="004B1CE6" w:rsidRDefault="001417F8" w:rsidP="00FB357D">
      <w:pPr>
        <w:spacing w:line="276" w:lineRule="auto"/>
        <w:ind w:firstLine="709"/>
        <w:jc w:val="both"/>
      </w:pPr>
      <w:r w:rsidRPr="004B1CE6">
        <w:t xml:space="preserve">Программа «Накопительная ипотека» рассчитана на широкий круг граждан со средним уровнем доходов. В ее разработке приняли участие администрация Краснодарского края, ПАО Сбербанк, Агентство развития Краснодарского края и ученые Новой экономической ассоциации. Проект опирался на опыт Германии, Австрии, Франции, Чехии и Словакии, где накопительная ипотека была успешно реализована для обеспечения жильем широких слоев населения.  </w:t>
      </w:r>
    </w:p>
    <w:p w:rsidR="001417F8" w:rsidRPr="00014E48" w:rsidRDefault="001417F8" w:rsidP="00FB357D">
      <w:pPr>
        <w:spacing w:line="276" w:lineRule="auto"/>
        <w:ind w:firstLine="708"/>
        <w:jc w:val="both"/>
      </w:pPr>
      <w:r w:rsidRPr="00014E48">
        <w:t>Программа «Накопительная ипотека» важна потому, что имеет ряд преимуществ: программа рассчитана не для отдельных категорий граждан (бюджетники, молодые и многодетные семьи, учителя и так далее), а для всех граждан, нуждающихся в жилье, но не имеющих возможности накопить  первоначальный взнос на ипотечный кредит, то есть  фактически имеющих невысокий среднемесячный доход. Для участников программы ежемесячные платежи по кредиту значительно снижаются в сравнении с классической ипотекой и среднемесячный платеж по кредиту участника «Накопительной ипотеки» незначительно превышает его среднемесячный взнос на вклад в накопительном периоде.</w:t>
      </w:r>
    </w:p>
    <w:p w:rsidR="001417F8" w:rsidRDefault="001417F8" w:rsidP="00FB357D">
      <w:pPr>
        <w:spacing w:line="276" w:lineRule="auto"/>
        <w:ind w:firstLine="708"/>
        <w:jc w:val="both"/>
      </w:pPr>
      <w:r w:rsidRPr="00100DAD">
        <w:t>Программа состоит из двух этапов: накопление первоначального взноса на приобретение жилья на вкладе и получение льготного ипотечного кредита. Накопление осуществляется в течение 4-6 лет</w:t>
      </w:r>
      <w:r>
        <w:t>. В</w:t>
      </w:r>
      <w:r w:rsidRPr="00100DAD">
        <w:t xml:space="preserve"> этот период участник ежемесячно вносит на свой вклад от 3 до 10 тысяч рублей. При соблюдении условий накопления каждый квартал на свой накопительный счет </w:t>
      </w:r>
      <w:r>
        <w:t>гражданин</w:t>
      </w:r>
      <w:r w:rsidRPr="00100DAD">
        <w:t xml:space="preserve"> </w:t>
      </w:r>
      <w:r w:rsidRPr="00100DAD">
        <w:lastRenderedPageBreak/>
        <w:t>получает, кроме процентов по вкладу, социальную выплату из бюджета Краснодарского края</w:t>
      </w:r>
      <w:r>
        <w:t xml:space="preserve">, в размере </w:t>
      </w:r>
      <w:r w:rsidRPr="00100DAD">
        <w:t>30% от суммы ежемесячного платежа</w:t>
      </w:r>
      <w:r>
        <w:t xml:space="preserve">, но не более 3 тысяч рублей в месяц. </w:t>
      </w:r>
    </w:p>
    <w:p w:rsidR="00B95C05" w:rsidRDefault="001417F8" w:rsidP="00FB357D">
      <w:pPr>
        <w:spacing w:line="276" w:lineRule="auto"/>
        <w:ind w:firstLine="708"/>
        <w:jc w:val="both"/>
      </w:pPr>
      <w:r w:rsidRPr="00100DAD">
        <w:t xml:space="preserve">В случае успешного завершения накопительного </w:t>
      </w:r>
      <w:r>
        <w:t>этапа</w:t>
      </w:r>
      <w:r w:rsidRPr="00100DAD">
        <w:t xml:space="preserve">, участник программы </w:t>
      </w:r>
      <w:r>
        <w:t xml:space="preserve">имеет право на получение </w:t>
      </w:r>
      <w:r w:rsidRPr="00100DAD">
        <w:t>ипотечн</w:t>
      </w:r>
      <w:r>
        <w:t xml:space="preserve">ого </w:t>
      </w:r>
      <w:r w:rsidRPr="00100DAD">
        <w:t>кредит</w:t>
      </w:r>
      <w:r>
        <w:t>а</w:t>
      </w:r>
      <w:r w:rsidRPr="00100DAD">
        <w:t xml:space="preserve"> по</w:t>
      </w:r>
      <w:r>
        <w:t xml:space="preserve"> льготной </w:t>
      </w:r>
      <w:r w:rsidRPr="00100DAD">
        <w:t>процентн</w:t>
      </w:r>
      <w:r>
        <w:t xml:space="preserve">ой </w:t>
      </w:r>
      <w:r w:rsidRPr="00100DAD">
        <w:t>ставк</w:t>
      </w:r>
      <w:r>
        <w:t xml:space="preserve">е </w:t>
      </w:r>
      <w:r w:rsidRPr="00100DAD">
        <w:t xml:space="preserve">(6-7% годовых), что </w:t>
      </w:r>
      <w:r w:rsidR="007D65C6">
        <w:t xml:space="preserve">позволяет выполнять </w:t>
      </w:r>
      <w:r w:rsidR="00723C9C">
        <w:t>Указ Президента РФ от 7 мая 2018 года №204 «О национальных целях и стратегических задачах развития Российской Федерации на период до 2024 года» (далее – Указ Президента РФ).</w:t>
      </w:r>
    </w:p>
    <w:p w:rsidR="001417F8" w:rsidRDefault="001417F8" w:rsidP="00FB357D">
      <w:pPr>
        <w:spacing w:line="276" w:lineRule="auto"/>
        <w:ind w:firstLine="708"/>
        <w:jc w:val="both"/>
      </w:pPr>
      <w:r>
        <w:t>Основные параметры программы «Накопительная ипотека»:</w:t>
      </w:r>
    </w:p>
    <w:p w:rsidR="001417F8" w:rsidRDefault="001417F8" w:rsidP="00FB357D">
      <w:pPr>
        <w:spacing w:line="276" w:lineRule="auto"/>
        <w:ind w:firstLine="708"/>
        <w:jc w:val="both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089"/>
        <w:gridCol w:w="1771"/>
        <w:gridCol w:w="1393"/>
        <w:gridCol w:w="1210"/>
      </w:tblGrid>
      <w:tr w:rsidR="001417F8" w:rsidRPr="00D47CCF" w:rsidTr="00C00EF0">
        <w:tc>
          <w:tcPr>
            <w:tcW w:w="5245" w:type="dxa"/>
          </w:tcPr>
          <w:p w:rsidR="001417F8" w:rsidRPr="00D47CCF" w:rsidRDefault="001417F8" w:rsidP="00FB357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 w:rsidRPr="00D47CCF">
              <w:rPr>
                <w:color w:val="000000"/>
              </w:rPr>
              <w:t>Срок договора вклада (лет)</w:t>
            </w:r>
          </w:p>
        </w:tc>
        <w:tc>
          <w:tcPr>
            <w:tcW w:w="1824" w:type="dxa"/>
          </w:tcPr>
          <w:p w:rsidR="001417F8" w:rsidRPr="00D47CCF" w:rsidRDefault="001417F8" w:rsidP="00FB357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</w:rPr>
            </w:pPr>
            <w:r w:rsidRPr="00D47CCF">
              <w:rPr>
                <w:color w:val="000000"/>
              </w:rPr>
              <w:t>4</w:t>
            </w:r>
          </w:p>
        </w:tc>
        <w:tc>
          <w:tcPr>
            <w:tcW w:w="1430" w:type="dxa"/>
          </w:tcPr>
          <w:p w:rsidR="001417F8" w:rsidRPr="00D47CCF" w:rsidRDefault="001417F8" w:rsidP="00FB357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</w:rPr>
            </w:pPr>
            <w:r w:rsidRPr="00D47CCF">
              <w:rPr>
                <w:color w:val="000000"/>
              </w:rPr>
              <w:t>5</w:t>
            </w:r>
          </w:p>
        </w:tc>
        <w:tc>
          <w:tcPr>
            <w:tcW w:w="1248" w:type="dxa"/>
          </w:tcPr>
          <w:p w:rsidR="001417F8" w:rsidRPr="00D47CCF" w:rsidRDefault="001417F8" w:rsidP="00FB357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</w:rPr>
            </w:pPr>
            <w:r w:rsidRPr="00D47CCF">
              <w:rPr>
                <w:color w:val="000000"/>
              </w:rPr>
              <w:t>6</w:t>
            </w:r>
          </w:p>
        </w:tc>
      </w:tr>
      <w:tr w:rsidR="001417F8" w:rsidRPr="00D47CCF" w:rsidTr="00C00EF0">
        <w:tc>
          <w:tcPr>
            <w:tcW w:w="5245" w:type="dxa"/>
          </w:tcPr>
          <w:p w:rsidR="001417F8" w:rsidRPr="00D47CCF" w:rsidRDefault="001417F8" w:rsidP="00FB357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 w:rsidRPr="00D47CCF">
              <w:rPr>
                <w:color w:val="000000"/>
              </w:rPr>
              <w:t>Ставка по вкладу (процентов годовых)</w:t>
            </w:r>
          </w:p>
        </w:tc>
        <w:tc>
          <w:tcPr>
            <w:tcW w:w="1824" w:type="dxa"/>
          </w:tcPr>
          <w:p w:rsidR="001417F8" w:rsidRPr="00D47CCF" w:rsidRDefault="001417F8" w:rsidP="00FB357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</w:rPr>
            </w:pPr>
            <w:r w:rsidRPr="00D47CCF">
              <w:rPr>
                <w:color w:val="000000"/>
              </w:rPr>
              <w:t>1,5</w:t>
            </w:r>
          </w:p>
        </w:tc>
        <w:tc>
          <w:tcPr>
            <w:tcW w:w="1430" w:type="dxa"/>
          </w:tcPr>
          <w:p w:rsidR="001417F8" w:rsidRPr="00D47CCF" w:rsidRDefault="001417F8" w:rsidP="00FB357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</w:rPr>
            </w:pPr>
            <w:r w:rsidRPr="00D47CCF">
              <w:rPr>
                <w:color w:val="000000"/>
              </w:rPr>
              <w:t>2</w:t>
            </w:r>
          </w:p>
        </w:tc>
        <w:tc>
          <w:tcPr>
            <w:tcW w:w="1248" w:type="dxa"/>
          </w:tcPr>
          <w:p w:rsidR="001417F8" w:rsidRPr="00D47CCF" w:rsidRDefault="001417F8" w:rsidP="00FB357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</w:rPr>
            </w:pPr>
            <w:r w:rsidRPr="00D47CCF">
              <w:rPr>
                <w:color w:val="000000"/>
              </w:rPr>
              <w:t>2</w:t>
            </w:r>
          </w:p>
        </w:tc>
      </w:tr>
      <w:tr w:rsidR="001417F8" w:rsidRPr="00D47CCF" w:rsidTr="00C00EF0">
        <w:tc>
          <w:tcPr>
            <w:tcW w:w="5245" w:type="dxa"/>
          </w:tcPr>
          <w:p w:rsidR="001417F8" w:rsidRPr="00D47CCF" w:rsidRDefault="001417F8" w:rsidP="00FB357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 w:rsidRPr="00D47CCF">
              <w:rPr>
                <w:color w:val="000000"/>
              </w:rPr>
              <w:t>Срок льготного кредита (лет)</w:t>
            </w:r>
          </w:p>
        </w:tc>
        <w:tc>
          <w:tcPr>
            <w:tcW w:w="1824" w:type="dxa"/>
          </w:tcPr>
          <w:p w:rsidR="001417F8" w:rsidRPr="00D47CCF" w:rsidRDefault="001417F8" w:rsidP="00FB357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</w:rPr>
            </w:pPr>
            <w:r w:rsidRPr="00D47CCF">
              <w:rPr>
                <w:color w:val="000000"/>
              </w:rPr>
              <w:t>6</w:t>
            </w:r>
          </w:p>
        </w:tc>
        <w:tc>
          <w:tcPr>
            <w:tcW w:w="1430" w:type="dxa"/>
          </w:tcPr>
          <w:p w:rsidR="001417F8" w:rsidRPr="00D47CCF" w:rsidRDefault="001417F8" w:rsidP="00FB357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</w:rPr>
            </w:pPr>
            <w:r w:rsidRPr="00D47CCF">
              <w:rPr>
                <w:color w:val="000000"/>
              </w:rPr>
              <w:t>7,5</w:t>
            </w:r>
          </w:p>
        </w:tc>
        <w:tc>
          <w:tcPr>
            <w:tcW w:w="1248" w:type="dxa"/>
          </w:tcPr>
          <w:p w:rsidR="001417F8" w:rsidRPr="00D47CCF" w:rsidRDefault="001417F8" w:rsidP="00FB357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</w:rPr>
            </w:pPr>
            <w:r w:rsidRPr="00D47CCF">
              <w:rPr>
                <w:color w:val="000000"/>
              </w:rPr>
              <w:t>9</w:t>
            </w:r>
          </w:p>
        </w:tc>
      </w:tr>
      <w:tr w:rsidR="001417F8" w:rsidRPr="00D47CCF" w:rsidTr="00C00EF0">
        <w:tc>
          <w:tcPr>
            <w:tcW w:w="5245" w:type="dxa"/>
          </w:tcPr>
          <w:p w:rsidR="001417F8" w:rsidRPr="00D47CCF" w:rsidRDefault="001417F8" w:rsidP="00FB357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 w:rsidRPr="00D47CCF">
              <w:rPr>
                <w:color w:val="000000"/>
              </w:rPr>
              <w:t>Ставка по льготному кредиту (процентов годовых)</w:t>
            </w:r>
          </w:p>
        </w:tc>
        <w:tc>
          <w:tcPr>
            <w:tcW w:w="1824" w:type="dxa"/>
          </w:tcPr>
          <w:p w:rsidR="001417F8" w:rsidRPr="00D47CCF" w:rsidRDefault="001417F8" w:rsidP="00FB357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</w:rPr>
            </w:pPr>
            <w:r w:rsidRPr="00D47CCF">
              <w:rPr>
                <w:color w:val="000000"/>
              </w:rPr>
              <w:t>7</w:t>
            </w:r>
          </w:p>
        </w:tc>
        <w:tc>
          <w:tcPr>
            <w:tcW w:w="1430" w:type="dxa"/>
          </w:tcPr>
          <w:p w:rsidR="001417F8" w:rsidRPr="00D47CCF" w:rsidRDefault="001417F8" w:rsidP="00FB357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</w:rPr>
            </w:pPr>
            <w:r w:rsidRPr="00D47CCF">
              <w:rPr>
                <w:color w:val="000000"/>
              </w:rPr>
              <w:t>6</w:t>
            </w:r>
          </w:p>
        </w:tc>
        <w:tc>
          <w:tcPr>
            <w:tcW w:w="1248" w:type="dxa"/>
          </w:tcPr>
          <w:p w:rsidR="001417F8" w:rsidRPr="00D47CCF" w:rsidRDefault="001417F8" w:rsidP="00FB357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</w:rPr>
            </w:pPr>
            <w:r w:rsidRPr="00D47CCF">
              <w:rPr>
                <w:color w:val="000000"/>
              </w:rPr>
              <w:t>6</w:t>
            </w:r>
          </w:p>
        </w:tc>
      </w:tr>
    </w:tbl>
    <w:p w:rsidR="001417F8" w:rsidRDefault="001417F8" w:rsidP="00FB357D">
      <w:pPr>
        <w:spacing w:line="276" w:lineRule="auto"/>
        <w:ind w:firstLine="708"/>
        <w:jc w:val="both"/>
      </w:pPr>
    </w:p>
    <w:p w:rsidR="00B95C05" w:rsidRDefault="00B95C05" w:rsidP="00FB357D">
      <w:pPr>
        <w:spacing w:line="276" w:lineRule="auto"/>
        <w:ind w:firstLine="708"/>
        <w:jc w:val="both"/>
        <w:rPr>
          <w:i/>
        </w:rPr>
      </w:pPr>
      <w:r>
        <w:t>В результате успешно проведенной совместной работы с Банком более 4000 жителей Кубани стали участниками программы «Накопительная ипотека»</w:t>
      </w:r>
      <w:r w:rsidR="00023F93">
        <w:t>,</w:t>
      </w:r>
      <w:r>
        <w:t xml:space="preserve"> накопив на своих вкладах в банке более 1,2 млрд. рублей. </w:t>
      </w:r>
      <w:r w:rsidR="00E6333E">
        <w:t xml:space="preserve">Согласно  предоставленных Банком отчетов на 01.06.2018 - </w:t>
      </w:r>
      <w:r w:rsidR="00E6333E" w:rsidRPr="003F4D80">
        <w:t>168</w:t>
      </w:r>
      <w:r w:rsidR="003F4D80" w:rsidRPr="003F4D80">
        <w:t>4</w:t>
      </w:r>
      <w:r w:rsidR="00E6333E" w:rsidRPr="003F4D80">
        <w:t xml:space="preserve"> человека</w:t>
      </w:r>
      <w:r w:rsidR="00E6333E">
        <w:t xml:space="preserve"> воспользовались средствами социальной выплаты и улучшили жилищные условия, причем более 70% из них воспользовались ипотечным кредитом </w:t>
      </w:r>
      <w:r w:rsidR="00E6333E">
        <w:rPr>
          <w:i/>
        </w:rPr>
        <w:t>(</w:t>
      </w:r>
      <w:proofErr w:type="spellStart"/>
      <w:r w:rsidR="00E6333E">
        <w:rPr>
          <w:i/>
        </w:rPr>
        <w:t>справочно</w:t>
      </w:r>
      <w:proofErr w:type="spellEnd"/>
      <w:r w:rsidR="00E6333E">
        <w:rPr>
          <w:i/>
        </w:rPr>
        <w:t>: объем привлеченных кредитных сре</w:t>
      </w:r>
      <w:proofErr w:type="gramStart"/>
      <w:r w:rsidR="00E6333E">
        <w:rPr>
          <w:i/>
        </w:rPr>
        <w:t>дств пр</w:t>
      </w:r>
      <w:proofErr w:type="gramEnd"/>
      <w:r w:rsidR="00E6333E">
        <w:rPr>
          <w:i/>
        </w:rPr>
        <w:t>и этом составил более 1 млрд. рублей)</w:t>
      </w:r>
    </w:p>
    <w:p w:rsidR="001417F8" w:rsidRPr="00C50888" w:rsidRDefault="001417F8" w:rsidP="00FB357D">
      <w:pPr>
        <w:spacing w:line="276" w:lineRule="auto"/>
        <w:ind w:firstLine="708"/>
        <w:jc w:val="both"/>
      </w:pPr>
      <w:r w:rsidRPr="00AB595C">
        <w:t xml:space="preserve">Условием целевого использования социальной выплаты является приобретение (строительство) жилого помещения на территории Краснодарского края, в том числе </w:t>
      </w:r>
      <w:r>
        <w:t>приобретение</w:t>
      </w:r>
      <w:r w:rsidRPr="00AB595C">
        <w:t xml:space="preserve"> готового жилого помещения, участие в долевом строительстве, строительс</w:t>
      </w:r>
      <w:r>
        <w:t xml:space="preserve">тво индивидуального жилого дома. Но для отдельных категорий граждан: </w:t>
      </w:r>
      <w:r w:rsidRPr="00AB595C">
        <w:t>инвалиды, ветераны, пенсионеры, малоимущие граждане, граждане</w:t>
      </w:r>
      <w:r>
        <w:t>,</w:t>
      </w:r>
      <w:r w:rsidRPr="00AB595C">
        <w:t xml:space="preserve"> имею</w:t>
      </w:r>
      <w:r>
        <w:t>щие детей, члены молодых семей,</w:t>
      </w:r>
      <w:r w:rsidRPr="00924621">
        <w:t xml:space="preserve"> открывши</w:t>
      </w:r>
      <w:r>
        <w:t xml:space="preserve">х </w:t>
      </w:r>
      <w:r w:rsidRPr="00924621">
        <w:t xml:space="preserve">вклад </w:t>
      </w:r>
      <w:r>
        <w:t>сроком</w:t>
      </w:r>
      <w:r w:rsidRPr="00924621">
        <w:t xml:space="preserve"> </w:t>
      </w:r>
      <w:r>
        <w:t xml:space="preserve">на </w:t>
      </w:r>
      <w:r w:rsidRPr="00924621">
        <w:t>5-6 лет</w:t>
      </w:r>
      <w:r>
        <w:t xml:space="preserve">, существует право не </w:t>
      </w:r>
      <w:r w:rsidRPr="00C50888">
        <w:t>осуществлять возврат социальных выплат, в случае неиспользования их на цели улучшения жилищных условий.</w:t>
      </w:r>
    </w:p>
    <w:p w:rsidR="001417F8" w:rsidRPr="00C50888" w:rsidRDefault="001417F8" w:rsidP="00FB35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67"/>
        <w:jc w:val="both"/>
        <w:rPr>
          <w:rFonts w:eastAsia="ヒラギノ角ゴ Pro W3"/>
          <w:color w:val="000000"/>
        </w:rPr>
      </w:pPr>
      <w:r w:rsidRPr="00C50888">
        <w:rPr>
          <w:rFonts w:eastAsia="ヒラギノ角ゴ Pro W3"/>
          <w:color w:val="000000"/>
        </w:rPr>
        <w:t xml:space="preserve">На </w:t>
      </w:r>
      <w:r w:rsidR="00C50888">
        <w:rPr>
          <w:rFonts w:eastAsia="ヒラギノ角ゴ Pro W3"/>
          <w:color w:val="000000"/>
        </w:rPr>
        <w:t>1</w:t>
      </w:r>
      <w:r w:rsidR="00023F93">
        <w:rPr>
          <w:rFonts w:eastAsia="ヒラギノ角ゴ Pro W3"/>
          <w:color w:val="000000"/>
        </w:rPr>
        <w:t>8</w:t>
      </w:r>
      <w:r w:rsidR="00C50888">
        <w:rPr>
          <w:rFonts w:eastAsia="ヒラギノ角ゴ Pro W3"/>
          <w:color w:val="000000"/>
        </w:rPr>
        <w:t xml:space="preserve">.06.2018 - </w:t>
      </w:r>
      <w:r w:rsidRPr="00C50888">
        <w:rPr>
          <w:rFonts w:eastAsia="ヒラギノ角ゴ Pro W3"/>
          <w:color w:val="000000"/>
        </w:rPr>
        <w:t xml:space="preserve"> </w:t>
      </w:r>
      <w:r w:rsidR="003F4D80">
        <w:rPr>
          <w:rFonts w:eastAsia="ヒラギノ角ゴ Pro W3"/>
          <w:color w:val="000000"/>
        </w:rPr>
        <w:t>352</w:t>
      </w:r>
      <w:r w:rsidRPr="003F4D80">
        <w:rPr>
          <w:rFonts w:eastAsia="ヒラギノ角ゴ Pro W3"/>
          <w:color w:val="000000"/>
        </w:rPr>
        <w:t xml:space="preserve"> участника программы, относящиеся</w:t>
      </w:r>
      <w:r w:rsidRPr="00C50888">
        <w:rPr>
          <w:rFonts w:eastAsia="ヒラギノ角ゴ Pro W3"/>
          <w:color w:val="000000"/>
        </w:rPr>
        <w:t xml:space="preserve"> к льготным категориям, получили возможность использовать средства социальной выплаты по своему усмотрению, при этом</w:t>
      </w:r>
      <w:r w:rsidR="003F4D80">
        <w:rPr>
          <w:rFonts w:eastAsia="ヒラギノ角ゴ Pro W3"/>
          <w:color w:val="000000"/>
        </w:rPr>
        <w:t xml:space="preserve"> следует отметить, что </w:t>
      </w:r>
      <w:r w:rsidR="00BF5082">
        <w:rPr>
          <w:rFonts w:eastAsia="ヒラギノ角ゴ Pro W3"/>
          <w:color w:val="000000"/>
        </w:rPr>
        <w:t>40</w:t>
      </w:r>
      <w:r w:rsidRPr="00C50888">
        <w:rPr>
          <w:rFonts w:eastAsia="ヒラギノ角ゴ Pro W3"/>
          <w:color w:val="000000"/>
        </w:rPr>
        <w:t>% из них направили средства на улучшение</w:t>
      </w:r>
      <w:r w:rsidR="003F4D80">
        <w:rPr>
          <w:rFonts w:eastAsia="ヒラギノ角ゴ Pro W3"/>
          <w:color w:val="000000"/>
        </w:rPr>
        <w:t xml:space="preserve"> своих</w:t>
      </w:r>
      <w:r w:rsidRPr="00C50888">
        <w:rPr>
          <w:rFonts w:eastAsia="ヒラギノ角ゴ Pro W3"/>
          <w:color w:val="000000"/>
        </w:rPr>
        <w:t xml:space="preserve"> жилищных условий.</w:t>
      </w:r>
    </w:p>
    <w:p w:rsidR="00BF5082" w:rsidRDefault="00BF5082" w:rsidP="00FB357D">
      <w:pPr>
        <w:spacing w:line="276" w:lineRule="auto"/>
        <w:ind w:firstLine="708"/>
        <w:jc w:val="both"/>
      </w:pPr>
      <w:r>
        <w:lastRenderedPageBreak/>
        <w:t>Высокий показатель количества граждан, улучшивших жилищные условия, подтверждает, что данная программа является одним из немногих инструментов, помогающим улучшить жилищные условия гражданам края со средним достатком</w:t>
      </w:r>
      <w:r w:rsidR="00723C9C">
        <w:t>, то есть категориям</w:t>
      </w:r>
      <w:r w:rsidR="00023F93">
        <w:t xml:space="preserve"> граждан</w:t>
      </w:r>
      <w:r w:rsidR="00723C9C">
        <w:t>, определенным в Указе Президента РФ</w:t>
      </w:r>
      <w:r>
        <w:t xml:space="preserve">. </w:t>
      </w:r>
    </w:p>
    <w:p w:rsidR="00BF5082" w:rsidRPr="00C50888" w:rsidRDefault="00BF5082" w:rsidP="00FB35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67"/>
        <w:jc w:val="both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Средства краевого бюджета, ежегодно выделяемые на финансирование программы «Накопительная ипотека», полностью обеспечивают взятые обязательства перед участниками программы.</w:t>
      </w:r>
      <w:r w:rsidRPr="00D42A7A">
        <w:rPr>
          <w:rFonts w:eastAsia="ヒラギノ角ゴ Pro W3"/>
          <w:color w:val="000000"/>
        </w:rPr>
        <w:t xml:space="preserve"> При этом следует отметить, что средний размер социальной выплаты, начисленной из бюджета одному участнику программы «Накопительная ипотека» за год </w:t>
      </w:r>
      <w:r w:rsidR="00023F93">
        <w:rPr>
          <w:rFonts w:eastAsia="ヒラギノ角ゴ Pro W3"/>
          <w:color w:val="000000"/>
        </w:rPr>
        <w:t xml:space="preserve">в среднем </w:t>
      </w:r>
      <w:r w:rsidRPr="00D42A7A">
        <w:rPr>
          <w:rFonts w:eastAsia="ヒラギノ角ゴ Pro W3"/>
          <w:color w:val="000000"/>
        </w:rPr>
        <w:t xml:space="preserve">составляет 28,5 тыс. </w:t>
      </w:r>
      <w:r w:rsidRPr="00C50888">
        <w:rPr>
          <w:rFonts w:eastAsia="ヒラギノ角ゴ Pro W3"/>
          <w:color w:val="000000"/>
        </w:rPr>
        <w:t>рублей, что значительно ниже в сравнении с другими программами и позволяет снизить бюджетные расходы в календарном году. Ежеквартальный порядок начисления социальной выплаты позволяет планомерно распределить нагрузку на бюджет, на весь период накопления Претендентами.</w:t>
      </w:r>
    </w:p>
    <w:p w:rsidR="00BF5082" w:rsidRDefault="00E6333E" w:rsidP="00FB357D">
      <w:pPr>
        <w:spacing w:line="276" w:lineRule="auto"/>
        <w:ind w:firstLine="708"/>
        <w:jc w:val="both"/>
        <w:rPr>
          <w:rFonts w:eastAsia="ヒラギノ角ゴ Pro W3"/>
          <w:color w:val="000000"/>
        </w:rPr>
      </w:pPr>
      <w:r>
        <w:t>Таким образом, п</w:t>
      </w:r>
      <w:r w:rsidRPr="00014E48">
        <w:t>ри минимальном расходе бюджетных средств, предусмотренных для реализации программы «Накопительная  ипотека», максимально увеличивается количество граждан, имеющих возможность улучшить жилищные условия.</w:t>
      </w:r>
      <w:r w:rsidRPr="007B2A76">
        <w:rPr>
          <w:rFonts w:eastAsia="ヒラギノ角ゴ Pro W3"/>
          <w:color w:val="000000"/>
        </w:rPr>
        <w:t xml:space="preserve"> </w:t>
      </w:r>
      <w:r w:rsidR="00BF5082">
        <w:rPr>
          <w:rFonts w:eastAsia="ヒラギノ角ゴ Pro W3"/>
          <w:color w:val="000000"/>
        </w:rPr>
        <w:t>При этом</w:t>
      </w:r>
      <w:proofErr w:type="gramStart"/>
      <w:r>
        <w:rPr>
          <w:rFonts w:eastAsia="ヒラギノ角ゴ Pro W3"/>
          <w:color w:val="000000"/>
        </w:rPr>
        <w:t>,</w:t>
      </w:r>
      <w:proofErr w:type="gramEnd"/>
      <w:r w:rsidR="00BF5082">
        <w:rPr>
          <w:rFonts w:eastAsia="ヒラギノ角ゴ Pro W3"/>
          <w:color w:val="000000"/>
        </w:rPr>
        <w:t xml:space="preserve"> объем использованных бюджетных средств для предоставления социальных выплат гражданам на улучшение жилищных условий </w:t>
      </w:r>
      <w:r w:rsidR="00723C9C">
        <w:rPr>
          <w:rFonts w:eastAsia="ヒラギノ角ゴ Pro W3"/>
          <w:color w:val="000000"/>
        </w:rPr>
        <w:t xml:space="preserve">за период реализации программы на территории края </w:t>
      </w:r>
      <w:r w:rsidR="00BF5082">
        <w:rPr>
          <w:rFonts w:eastAsia="ヒラギノ角ゴ Pro W3"/>
          <w:color w:val="000000"/>
        </w:rPr>
        <w:t>составил</w:t>
      </w:r>
      <w:r w:rsidR="003F4D80">
        <w:rPr>
          <w:rFonts w:eastAsia="ヒラギノ角ゴ Pro W3"/>
          <w:color w:val="000000"/>
        </w:rPr>
        <w:t xml:space="preserve"> 224,7</w:t>
      </w:r>
      <w:r w:rsidR="00BF5082" w:rsidRPr="003F4D80">
        <w:rPr>
          <w:rFonts w:eastAsia="ヒラギノ角ゴ Pro W3"/>
          <w:color w:val="000000"/>
        </w:rPr>
        <w:t xml:space="preserve"> млн. руб.</w:t>
      </w:r>
      <w:r w:rsidR="00BF5082">
        <w:rPr>
          <w:rFonts w:eastAsia="ヒラギノ角ゴ Pro W3"/>
          <w:color w:val="000000"/>
        </w:rPr>
        <w:t xml:space="preserve"> </w:t>
      </w:r>
    </w:p>
    <w:p w:rsidR="00BF5082" w:rsidRPr="00E6333E" w:rsidRDefault="00E6333E" w:rsidP="00FB35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67"/>
        <w:jc w:val="both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Кроме того, с</w:t>
      </w:r>
      <w:r w:rsidR="00BF5082" w:rsidRPr="00E6333E">
        <w:rPr>
          <w:rFonts w:eastAsia="ヒラギノ角ゴ Pro W3"/>
          <w:color w:val="000000"/>
        </w:rPr>
        <w:t xml:space="preserve">равнительный анализ эффективности использования бюджетных средств </w:t>
      </w:r>
      <w:r w:rsidRPr="00E6333E">
        <w:rPr>
          <w:rFonts w:eastAsia="ヒラギノ角ゴ Pro W3"/>
          <w:color w:val="000000"/>
        </w:rPr>
        <w:t xml:space="preserve">показывает, что </w:t>
      </w:r>
      <w:r w:rsidR="00723C9C">
        <w:rPr>
          <w:rFonts w:eastAsia="ヒラギノ角ゴ Pro W3"/>
          <w:color w:val="000000"/>
        </w:rPr>
        <w:t xml:space="preserve">предоставление государственной поддержки гражданам на улучшение жилищных условий </w:t>
      </w:r>
      <w:r w:rsidRPr="00E6333E">
        <w:rPr>
          <w:rFonts w:eastAsia="ヒラギノ角ゴ Pro W3"/>
          <w:color w:val="000000"/>
        </w:rPr>
        <w:t>по программе «Накопительная ипотека»</w:t>
      </w:r>
      <w:r w:rsidR="00926A11">
        <w:rPr>
          <w:rFonts w:eastAsia="ヒラギノ角ゴ Pro W3"/>
          <w:color w:val="000000"/>
        </w:rPr>
        <w:t xml:space="preserve"> наименее </w:t>
      </w:r>
      <w:proofErr w:type="spellStart"/>
      <w:r w:rsidR="00926A11">
        <w:rPr>
          <w:rFonts w:eastAsia="ヒラギノ角ゴ Pro W3"/>
          <w:color w:val="000000"/>
        </w:rPr>
        <w:t>затратно</w:t>
      </w:r>
      <w:proofErr w:type="spellEnd"/>
      <w:r w:rsidR="00926A11">
        <w:rPr>
          <w:rFonts w:eastAsia="ヒラギノ角ゴ Pro W3"/>
          <w:color w:val="000000"/>
        </w:rPr>
        <w:t xml:space="preserve"> для бюджета</w:t>
      </w:r>
      <w:r w:rsidRPr="00E6333E">
        <w:rPr>
          <w:rFonts w:eastAsia="ヒラギノ角ゴ Pro W3"/>
          <w:color w:val="000000"/>
        </w:rPr>
        <w:t xml:space="preserve">, так как: </w:t>
      </w:r>
    </w:p>
    <w:p w:rsidR="00BF5082" w:rsidRPr="00E6333E" w:rsidRDefault="00BF5082" w:rsidP="00FB35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67"/>
        <w:jc w:val="both"/>
        <w:rPr>
          <w:rFonts w:eastAsia="ヒラギノ角ゴ Pro W3"/>
          <w:color w:val="000000"/>
        </w:rPr>
      </w:pPr>
      <w:r w:rsidRPr="00E6333E">
        <w:rPr>
          <w:rFonts w:eastAsia="ヒラギノ角ゴ Pro W3"/>
          <w:color w:val="000000"/>
        </w:rPr>
        <w:t xml:space="preserve">- по ряду федеральных программ </w:t>
      </w:r>
      <w:r w:rsidR="00E6333E" w:rsidRPr="00E6333E">
        <w:rPr>
          <w:rFonts w:eastAsia="ヒラギノ角ゴ Pro W3"/>
          <w:color w:val="000000"/>
        </w:rPr>
        <w:t xml:space="preserve">затраты составляют </w:t>
      </w:r>
      <w:r w:rsidRPr="00E6333E">
        <w:rPr>
          <w:rFonts w:eastAsia="ヒラギノ角ゴ Pro W3"/>
          <w:color w:val="000000"/>
        </w:rPr>
        <w:t xml:space="preserve">от 750 до 1100 тысяч рублей </w:t>
      </w:r>
      <w:r w:rsidR="00723C9C">
        <w:rPr>
          <w:rFonts w:eastAsia="ヒラギノ角ゴ Pro W3"/>
          <w:color w:val="000000"/>
        </w:rPr>
        <w:t>для участников программы</w:t>
      </w:r>
      <w:r w:rsidRPr="00E6333E">
        <w:rPr>
          <w:rFonts w:eastAsia="ヒラギノ角ゴ Pro W3"/>
          <w:color w:val="000000"/>
        </w:rPr>
        <w:t>,</w:t>
      </w:r>
    </w:p>
    <w:p w:rsidR="00BF5082" w:rsidRPr="00E6333E" w:rsidRDefault="00BF5082" w:rsidP="00FB35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67"/>
        <w:jc w:val="both"/>
        <w:rPr>
          <w:rFonts w:eastAsia="ヒラギノ角ゴ Pro W3"/>
          <w:color w:val="000000"/>
        </w:rPr>
      </w:pPr>
      <w:r w:rsidRPr="00E6333E">
        <w:rPr>
          <w:rFonts w:eastAsia="ヒラギノ角ゴ Pro W3"/>
          <w:color w:val="000000"/>
        </w:rPr>
        <w:t xml:space="preserve">- по краевым программам </w:t>
      </w:r>
      <w:r w:rsidR="00926A11">
        <w:rPr>
          <w:rFonts w:eastAsia="ヒラギノ角ゴ Pro W3"/>
          <w:color w:val="000000"/>
        </w:rPr>
        <w:t xml:space="preserve">от </w:t>
      </w:r>
      <w:r w:rsidRPr="00E6333E">
        <w:rPr>
          <w:rFonts w:eastAsia="ヒラギノ角ゴ Pro W3"/>
          <w:color w:val="000000"/>
        </w:rPr>
        <w:t>300</w:t>
      </w:r>
      <w:r w:rsidR="00926A11">
        <w:rPr>
          <w:rFonts w:eastAsia="ヒラギノ角ゴ Pro W3"/>
          <w:color w:val="000000"/>
        </w:rPr>
        <w:t xml:space="preserve"> до </w:t>
      </w:r>
      <w:r w:rsidR="00723C9C">
        <w:rPr>
          <w:rFonts w:eastAsia="ヒラギノ角ゴ Pro W3"/>
          <w:color w:val="000000"/>
        </w:rPr>
        <w:t>550</w:t>
      </w:r>
      <w:r w:rsidRPr="00E6333E">
        <w:rPr>
          <w:rFonts w:eastAsia="ヒラギノ角ゴ Pro W3"/>
          <w:color w:val="000000"/>
        </w:rPr>
        <w:t xml:space="preserve"> тысяч рублей;</w:t>
      </w:r>
    </w:p>
    <w:p w:rsidR="006F693B" w:rsidRDefault="00BF5082" w:rsidP="00FB35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67"/>
        <w:jc w:val="both"/>
      </w:pPr>
      <w:r w:rsidRPr="00E6333E">
        <w:rPr>
          <w:rFonts w:eastAsia="ヒラギノ角ゴ Pro W3"/>
          <w:color w:val="000000"/>
        </w:rPr>
        <w:t xml:space="preserve">- по программе «Накопительная ипотека» </w:t>
      </w:r>
      <w:r w:rsidR="00E6333E" w:rsidRPr="00E6333E">
        <w:rPr>
          <w:rFonts w:eastAsia="ヒラギノ角ゴ Pro W3"/>
          <w:color w:val="000000"/>
        </w:rPr>
        <w:t xml:space="preserve">затраты составляют </w:t>
      </w:r>
      <w:r w:rsidRPr="00E6333E">
        <w:rPr>
          <w:rFonts w:eastAsia="ヒラギノ角ゴ Pro W3"/>
          <w:color w:val="000000"/>
        </w:rPr>
        <w:t>110-130 тысяч рублей.</w:t>
      </w:r>
      <w:r>
        <w:rPr>
          <w:rFonts w:eastAsia="ヒラギノ角ゴ Pro W3"/>
          <w:color w:val="000000"/>
        </w:rPr>
        <w:t xml:space="preserve">   </w:t>
      </w:r>
    </w:p>
    <w:sectPr w:rsidR="006F693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C7" w:rsidRDefault="000E34C7" w:rsidP="00FB357D">
      <w:r>
        <w:separator/>
      </w:r>
    </w:p>
  </w:endnote>
  <w:endnote w:type="continuationSeparator" w:id="0">
    <w:p w:rsidR="000E34C7" w:rsidRDefault="000E34C7" w:rsidP="00FB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698352"/>
      <w:docPartObj>
        <w:docPartGallery w:val="Page Numbers (Bottom of Page)"/>
        <w:docPartUnique/>
      </w:docPartObj>
    </w:sdtPr>
    <w:sdtEndPr/>
    <w:sdtContent>
      <w:p w:rsidR="00FB357D" w:rsidRDefault="00FB357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B5F">
          <w:rPr>
            <w:noProof/>
          </w:rPr>
          <w:t>1</w:t>
        </w:r>
        <w:r>
          <w:fldChar w:fldCharType="end"/>
        </w:r>
      </w:p>
    </w:sdtContent>
  </w:sdt>
  <w:p w:rsidR="00FB357D" w:rsidRDefault="00FB3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C7" w:rsidRDefault="000E34C7" w:rsidP="00FB357D">
      <w:r>
        <w:separator/>
      </w:r>
    </w:p>
  </w:footnote>
  <w:footnote w:type="continuationSeparator" w:id="0">
    <w:p w:rsidR="000E34C7" w:rsidRDefault="000E34C7" w:rsidP="00FB3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64"/>
    <w:rsid w:val="00023F93"/>
    <w:rsid w:val="000E34C7"/>
    <w:rsid w:val="001417F8"/>
    <w:rsid w:val="00161BE7"/>
    <w:rsid w:val="003F4D80"/>
    <w:rsid w:val="004B1CE6"/>
    <w:rsid w:val="006F693B"/>
    <w:rsid w:val="00723C9C"/>
    <w:rsid w:val="007B2A76"/>
    <w:rsid w:val="007D65C6"/>
    <w:rsid w:val="00926A11"/>
    <w:rsid w:val="00A30E9E"/>
    <w:rsid w:val="00A629DD"/>
    <w:rsid w:val="00A73164"/>
    <w:rsid w:val="00B95C05"/>
    <w:rsid w:val="00BF5082"/>
    <w:rsid w:val="00C00EF0"/>
    <w:rsid w:val="00C50888"/>
    <w:rsid w:val="00D91B5F"/>
    <w:rsid w:val="00E22F3B"/>
    <w:rsid w:val="00E43902"/>
    <w:rsid w:val="00E47D22"/>
    <w:rsid w:val="00E6333E"/>
    <w:rsid w:val="00FB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F8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902"/>
    <w:pPr>
      <w:spacing w:line="240" w:lineRule="auto"/>
    </w:pPr>
  </w:style>
  <w:style w:type="paragraph" w:styleId="a4">
    <w:name w:val="List Paragraph"/>
    <w:basedOn w:val="a"/>
    <w:uiPriority w:val="34"/>
    <w:qFormat/>
    <w:rsid w:val="001417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417F8"/>
    <w:pPr>
      <w:spacing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1C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C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B35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35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FB35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357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F8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902"/>
    <w:pPr>
      <w:spacing w:line="240" w:lineRule="auto"/>
    </w:pPr>
  </w:style>
  <w:style w:type="paragraph" w:styleId="a4">
    <w:name w:val="List Paragraph"/>
    <w:basedOn w:val="a"/>
    <w:uiPriority w:val="34"/>
    <w:qFormat/>
    <w:rsid w:val="001417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417F8"/>
    <w:pPr>
      <w:spacing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1C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C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B35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35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FB35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357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Мария Петровна</dc:creator>
  <cp:lastModifiedBy>Иванов Олег Михайлович</cp:lastModifiedBy>
  <cp:revision>6</cp:revision>
  <cp:lastPrinted>2018-06-15T07:50:00Z</cp:lastPrinted>
  <dcterms:created xsi:type="dcterms:W3CDTF">2018-06-18T07:49:00Z</dcterms:created>
  <dcterms:modified xsi:type="dcterms:W3CDTF">2018-07-13T13:46:00Z</dcterms:modified>
</cp:coreProperties>
</file>