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47" w:rsidRDefault="00507547" w:rsidP="00507547">
      <w:pPr>
        <w:spacing w:before="120" w:after="1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Письму № 06</w:t>
      </w:r>
      <w:r w:rsidRPr="00507547">
        <w:rPr>
          <w:rFonts w:ascii="Times New Roman" w:eastAsia="Times New Roman" w:hAnsi="Times New Roman" w:cs="Times New Roman"/>
          <w:sz w:val="24"/>
          <w:szCs w:val="24"/>
        </w:rPr>
        <w:t>/</w:t>
      </w:r>
      <w:r>
        <w:rPr>
          <w:rFonts w:ascii="Times New Roman" w:eastAsia="Times New Roman" w:hAnsi="Times New Roman" w:cs="Times New Roman"/>
          <w:sz w:val="24"/>
          <w:szCs w:val="24"/>
        </w:rPr>
        <w:t>61 от 16.03.2015</w:t>
      </w:r>
    </w:p>
    <w:p w:rsidR="00507547" w:rsidRPr="00507547" w:rsidRDefault="00507547" w:rsidP="00507547">
      <w:pPr>
        <w:spacing w:before="120" w:after="120"/>
        <w:contextualSpacing/>
        <w:jc w:val="right"/>
        <w:rPr>
          <w:rFonts w:ascii="Times New Roman" w:eastAsia="Times New Roman" w:hAnsi="Times New Roman" w:cs="Times New Roman"/>
          <w:sz w:val="24"/>
          <w:szCs w:val="24"/>
        </w:rPr>
      </w:pPr>
    </w:p>
    <w:p w:rsidR="00507547" w:rsidRPr="00507547" w:rsidRDefault="00507547" w:rsidP="00507547">
      <w:pPr>
        <w:spacing w:before="120" w:after="120"/>
        <w:ind w:firstLine="0"/>
        <w:contextualSpacing/>
        <w:rPr>
          <w:rFonts w:ascii="Times New Roman" w:hAnsi="Times New Roman" w:cs="Times New Roman"/>
          <w:sz w:val="24"/>
          <w:szCs w:val="24"/>
        </w:rPr>
      </w:pPr>
    </w:p>
    <w:p w:rsidR="008602EF" w:rsidRPr="00C45208" w:rsidRDefault="00A55AF4" w:rsidP="008602EF">
      <w:pPr>
        <w:numPr>
          <w:ilvl w:val="0"/>
          <w:numId w:val="1"/>
        </w:numPr>
        <w:spacing w:before="120" w:after="120"/>
        <w:ind w:left="0" w:firstLine="0"/>
        <w:contextualSpacing/>
        <w:rPr>
          <w:rFonts w:ascii="Times New Roman" w:hAnsi="Times New Roman" w:cs="Times New Roman"/>
          <w:sz w:val="24"/>
          <w:szCs w:val="24"/>
        </w:rPr>
      </w:pPr>
      <w:r w:rsidRPr="00C45208">
        <w:rPr>
          <w:rFonts w:ascii="Times New Roman" w:eastAsia="Times New Roman" w:hAnsi="Times New Roman" w:cs="Times New Roman"/>
          <w:sz w:val="24"/>
          <w:szCs w:val="24"/>
        </w:rPr>
        <w:t xml:space="preserve">Сроки действия </w:t>
      </w:r>
      <w:r w:rsidR="00D361F4" w:rsidRPr="00C45208">
        <w:rPr>
          <w:rFonts w:ascii="Times New Roman" w:eastAsia="Times New Roman" w:hAnsi="Times New Roman" w:cs="Times New Roman"/>
          <w:sz w:val="24"/>
          <w:szCs w:val="24"/>
        </w:rPr>
        <w:t>Письма 209-Т</w:t>
      </w:r>
    </w:p>
    <w:p w:rsidR="00A55AF4" w:rsidRPr="00605065" w:rsidRDefault="00416F6B" w:rsidP="00416F6B">
      <w:pPr>
        <w:spacing w:before="120" w:after="120"/>
        <w:ind w:firstLine="708"/>
        <w:rPr>
          <w:rFonts w:ascii="Times New Roman" w:hAnsi="Times New Roman" w:cs="Times New Roman"/>
          <w:sz w:val="24"/>
          <w:szCs w:val="24"/>
        </w:rPr>
      </w:pPr>
      <w:r>
        <w:rPr>
          <w:rFonts w:ascii="Times New Roman" w:hAnsi="Times New Roman" w:cs="Times New Roman"/>
          <w:sz w:val="24"/>
          <w:szCs w:val="24"/>
        </w:rPr>
        <w:t xml:space="preserve">1.1. </w:t>
      </w:r>
      <w:r w:rsidR="00605065" w:rsidRPr="00416F6B">
        <w:rPr>
          <w:rFonts w:ascii="Times New Roman" w:hAnsi="Times New Roman" w:cs="Times New Roman"/>
          <w:sz w:val="24"/>
          <w:szCs w:val="24"/>
        </w:rPr>
        <w:t xml:space="preserve">Каким </w:t>
      </w:r>
      <w:r w:rsidR="00D361F4" w:rsidRPr="00416F6B">
        <w:rPr>
          <w:rFonts w:ascii="Times New Roman" w:hAnsi="Times New Roman" w:cs="Times New Roman"/>
          <w:sz w:val="24"/>
          <w:szCs w:val="24"/>
        </w:rPr>
        <w:t xml:space="preserve">образом </w:t>
      </w:r>
      <w:r w:rsidR="0020143D">
        <w:rPr>
          <w:rFonts w:ascii="Times New Roman" w:hAnsi="Times New Roman" w:cs="Times New Roman"/>
          <w:sz w:val="24"/>
          <w:szCs w:val="24"/>
        </w:rPr>
        <w:t>кредитной организации</w:t>
      </w:r>
      <w:r w:rsidR="00D361F4" w:rsidRPr="00416F6B">
        <w:rPr>
          <w:rFonts w:ascii="Times New Roman" w:hAnsi="Times New Roman" w:cs="Times New Roman"/>
          <w:sz w:val="24"/>
          <w:szCs w:val="24"/>
        </w:rPr>
        <w:t xml:space="preserve"> следует классифицировать ссуды, реструктурированные в рамках положения Письма 209-Т, после 30.06.2015 года? </w:t>
      </w:r>
      <w:r w:rsidR="00FC02F8" w:rsidRPr="00A55AF4">
        <w:rPr>
          <w:rFonts w:ascii="Times New Roman" w:hAnsi="Times New Roman" w:cs="Times New Roman"/>
          <w:sz w:val="24"/>
          <w:szCs w:val="24"/>
        </w:rPr>
        <w:t>Возможно ли сохранение оценки качества обслуживания долга по ссудам, реструктурированным в период с 01.12.2014 г. по 30.06.2015 г., после 30.06.2015 г.?</w:t>
      </w:r>
      <w:r w:rsidR="00D51BF7" w:rsidRPr="00416F6B">
        <w:rPr>
          <w:rFonts w:ascii="Times New Roman" w:hAnsi="Times New Roman" w:cs="Times New Roman"/>
          <w:sz w:val="24"/>
          <w:szCs w:val="24"/>
        </w:rPr>
        <w:t xml:space="preserve"> Необходимо ли будет проводить переоценку качества обслуживания долга по ссудам, к которым применялась данное письмо после 30.06.2015 г.?</w:t>
      </w:r>
    </w:p>
    <w:p w:rsidR="00A55AF4" w:rsidRPr="00416F6B" w:rsidRDefault="00416F6B" w:rsidP="00416F6B">
      <w:pPr>
        <w:spacing w:before="120" w:after="120"/>
        <w:ind w:firstLine="708"/>
        <w:rPr>
          <w:rFonts w:ascii="Times New Roman" w:hAnsi="Times New Roman" w:cs="Times New Roman"/>
          <w:sz w:val="24"/>
          <w:szCs w:val="24"/>
        </w:rPr>
      </w:pPr>
      <w:r>
        <w:rPr>
          <w:rFonts w:ascii="Times New Roman" w:hAnsi="Times New Roman" w:cs="Times New Roman"/>
          <w:sz w:val="24"/>
          <w:szCs w:val="24"/>
        </w:rPr>
        <w:t xml:space="preserve">1.2. </w:t>
      </w:r>
      <w:r w:rsidR="00A55AF4" w:rsidRPr="00416F6B">
        <w:rPr>
          <w:rFonts w:ascii="Times New Roman" w:hAnsi="Times New Roman" w:cs="Times New Roman"/>
          <w:sz w:val="24"/>
          <w:szCs w:val="24"/>
        </w:rPr>
        <w:t xml:space="preserve">Если банк не принимает решение о реструктуризации и оставляет ссуду на счетах просроченной задолженности, то будет ли решение уполномоченного органа о </w:t>
      </w:r>
      <w:proofErr w:type="spellStart"/>
      <w:r w:rsidR="00A55AF4" w:rsidRPr="00416F6B">
        <w:rPr>
          <w:rFonts w:ascii="Times New Roman" w:hAnsi="Times New Roman" w:cs="Times New Roman"/>
          <w:sz w:val="24"/>
          <w:szCs w:val="24"/>
        </w:rPr>
        <w:t>неухудшении</w:t>
      </w:r>
      <w:proofErr w:type="spellEnd"/>
      <w:r w:rsidR="00A55AF4" w:rsidRPr="00416F6B">
        <w:rPr>
          <w:rFonts w:ascii="Times New Roman" w:hAnsi="Times New Roman" w:cs="Times New Roman"/>
          <w:sz w:val="24"/>
          <w:szCs w:val="24"/>
        </w:rPr>
        <w:t xml:space="preserve"> качества обслуживания долга действовать независимо от срока просроченных платежей и неограниченный период времени? Необходимо ли повторное решение, если срок просроченной задолженности превысит 30 дней (для юридических лиц) и 60 дней для физических?</w:t>
      </w:r>
    </w:p>
    <w:p w:rsidR="00A55AF4" w:rsidRPr="00C45208" w:rsidRDefault="00FD7746" w:rsidP="008602EF">
      <w:pPr>
        <w:numPr>
          <w:ilvl w:val="0"/>
          <w:numId w:val="1"/>
        </w:numPr>
        <w:spacing w:before="120" w:after="120"/>
        <w:ind w:left="0" w:firstLine="0"/>
        <w:contextualSpacing/>
        <w:rPr>
          <w:rFonts w:ascii="Times New Roman" w:hAnsi="Times New Roman" w:cs="Times New Roman"/>
          <w:sz w:val="24"/>
          <w:szCs w:val="24"/>
        </w:rPr>
      </w:pPr>
      <w:r w:rsidRPr="00C45208">
        <w:rPr>
          <w:rFonts w:ascii="Times New Roman" w:hAnsi="Times New Roman" w:cs="Times New Roman"/>
          <w:sz w:val="24"/>
          <w:szCs w:val="24"/>
        </w:rPr>
        <w:t>Финансовое положение заемщика</w:t>
      </w:r>
    </w:p>
    <w:p w:rsidR="008602EF" w:rsidRDefault="00D361F4" w:rsidP="00A55AF4">
      <w:pPr>
        <w:spacing w:before="120" w:after="120"/>
        <w:ind w:firstLine="0"/>
        <w:contextualSpacing/>
        <w:rPr>
          <w:rFonts w:ascii="Times New Roman" w:hAnsi="Times New Roman" w:cs="Times New Roman"/>
          <w:sz w:val="24"/>
          <w:szCs w:val="24"/>
        </w:rPr>
      </w:pPr>
      <w:r w:rsidRPr="00FC02F8">
        <w:rPr>
          <w:rFonts w:ascii="Times New Roman" w:hAnsi="Times New Roman" w:cs="Times New Roman"/>
          <w:sz w:val="24"/>
          <w:szCs w:val="24"/>
        </w:rPr>
        <w:t>Письмом Банка России № 209-Т от 18.12.2014г. (1 абзац) при реструктуризации ссуды предусмотрена возможность принятия уполномоченным органом управления (органом) банка решения о признании качества обслуживания долга «хорошим» без указания на зависимость решения от оценки финансового положения заемщика. Однако</w:t>
      </w:r>
      <w:r w:rsidR="008602EF">
        <w:rPr>
          <w:rFonts w:ascii="Times New Roman" w:hAnsi="Times New Roman" w:cs="Times New Roman"/>
          <w:sz w:val="24"/>
          <w:szCs w:val="24"/>
        </w:rPr>
        <w:t xml:space="preserve"> </w:t>
      </w:r>
      <w:r w:rsidRPr="00FC02F8">
        <w:rPr>
          <w:rFonts w:ascii="Times New Roman" w:hAnsi="Times New Roman" w:cs="Times New Roman"/>
          <w:sz w:val="24"/>
          <w:szCs w:val="24"/>
        </w:rPr>
        <w:t xml:space="preserve">в абзаце 2 письма даётся ссылка на пункт 3.10 Положения Банка России № 254-П, в котором банк должен учитывать оценку финансового положения заёмщика. </w:t>
      </w:r>
    </w:p>
    <w:p w:rsidR="006B5C79" w:rsidRPr="006B5C79" w:rsidRDefault="006B5C79" w:rsidP="006B5C79">
      <w:pPr>
        <w:spacing w:before="120" w:after="120"/>
        <w:ind w:firstLine="0"/>
        <w:rPr>
          <w:rFonts w:ascii="Times New Roman" w:hAnsi="Times New Roman" w:cs="Times New Roman"/>
          <w:sz w:val="24"/>
          <w:szCs w:val="24"/>
        </w:rPr>
      </w:pPr>
      <w:r w:rsidRPr="006B5C79">
        <w:rPr>
          <w:rFonts w:ascii="Times New Roman" w:hAnsi="Times New Roman" w:cs="Times New Roman"/>
          <w:sz w:val="24"/>
          <w:szCs w:val="24"/>
        </w:rPr>
        <w:t xml:space="preserve">В данном письме не указывается может ли уполномоченный орган управления (орган) кредитной организации по ссудам, реструктурированным с 1 декабря 2014 года  принять решение о признании таких ссуд реструктурированными без ухудшения оценки качества обслуживания долга </w:t>
      </w:r>
      <w:r w:rsidRPr="006B5C79">
        <w:rPr>
          <w:rFonts w:ascii="Times New Roman" w:hAnsi="Times New Roman" w:cs="Times New Roman"/>
          <w:sz w:val="24"/>
          <w:szCs w:val="24"/>
          <w:u w:val="single"/>
        </w:rPr>
        <w:t>при ухудшении финансового положения заемщика до плохого</w:t>
      </w:r>
      <w:r w:rsidRPr="006B5C79">
        <w:rPr>
          <w:rFonts w:ascii="Times New Roman" w:hAnsi="Times New Roman" w:cs="Times New Roman"/>
          <w:sz w:val="24"/>
          <w:szCs w:val="24"/>
        </w:rPr>
        <w:t>.</w:t>
      </w:r>
      <w:r w:rsidR="00FD7746">
        <w:rPr>
          <w:rFonts w:ascii="Times New Roman" w:hAnsi="Times New Roman" w:cs="Times New Roman"/>
          <w:sz w:val="24"/>
          <w:szCs w:val="24"/>
        </w:rPr>
        <w:t xml:space="preserve"> Без данной оговорки Письмо ЦБ РФ</w:t>
      </w:r>
      <w:r w:rsidRPr="006B5C79">
        <w:rPr>
          <w:rFonts w:ascii="Times New Roman" w:hAnsi="Times New Roman" w:cs="Times New Roman"/>
          <w:sz w:val="24"/>
          <w:szCs w:val="24"/>
        </w:rPr>
        <w:t xml:space="preserve"> 209-Т несет туже самую смысловую нагрузку, что и пункт 3.10. Положения № 254-П и не дает никаких послаблений кредитным организациям в части оценки кредитных рисков при сложившихся неблагоприятных условиях на финансовом рынке, в конце 2014 года. </w:t>
      </w:r>
    </w:p>
    <w:p w:rsidR="006B5C79" w:rsidRDefault="006B5C79" w:rsidP="006B5C79">
      <w:pPr>
        <w:spacing w:before="120" w:after="120"/>
        <w:ind w:firstLine="0"/>
        <w:rPr>
          <w:rFonts w:ascii="Times New Roman" w:hAnsi="Times New Roman" w:cs="Times New Roman"/>
          <w:sz w:val="24"/>
          <w:szCs w:val="24"/>
        </w:rPr>
      </w:pPr>
      <w:r w:rsidRPr="00FC02F8">
        <w:rPr>
          <w:rFonts w:ascii="Times New Roman" w:hAnsi="Times New Roman" w:cs="Times New Roman"/>
          <w:sz w:val="24"/>
          <w:szCs w:val="24"/>
        </w:rPr>
        <w:t>Имеет ли банк право при реструктуризации ссуды принимать решение о признании качества обслуживания «хорошим» независимо от оценки финансового положения заёмщика на момент реструктуризации?</w:t>
      </w:r>
      <w:r>
        <w:rPr>
          <w:rFonts w:ascii="Times New Roman" w:hAnsi="Times New Roman" w:cs="Times New Roman"/>
          <w:sz w:val="24"/>
          <w:szCs w:val="24"/>
        </w:rPr>
        <w:t xml:space="preserve"> </w:t>
      </w:r>
    </w:p>
    <w:p w:rsidR="00A55AF4" w:rsidRPr="00C45208" w:rsidRDefault="00FD7746" w:rsidP="008B2C1A">
      <w:pPr>
        <w:numPr>
          <w:ilvl w:val="0"/>
          <w:numId w:val="1"/>
        </w:numPr>
        <w:spacing w:before="120" w:after="120"/>
        <w:ind w:left="0" w:firstLine="0"/>
        <w:rPr>
          <w:rFonts w:ascii="Times New Roman" w:hAnsi="Times New Roman" w:cs="Times New Roman"/>
          <w:sz w:val="24"/>
          <w:szCs w:val="24"/>
        </w:rPr>
      </w:pPr>
      <w:r w:rsidRPr="00C45208">
        <w:rPr>
          <w:rFonts w:ascii="Times New Roman" w:hAnsi="Times New Roman" w:cs="Times New Roman"/>
          <w:sz w:val="24"/>
          <w:szCs w:val="24"/>
        </w:rPr>
        <w:t>Просроченные ссуды</w:t>
      </w:r>
    </w:p>
    <w:p w:rsidR="00FC02F8" w:rsidRPr="00FC02F8" w:rsidRDefault="00FD7A7A" w:rsidP="00A55AF4">
      <w:pPr>
        <w:spacing w:before="120" w:after="120"/>
        <w:ind w:firstLine="0"/>
        <w:rPr>
          <w:rFonts w:ascii="Times New Roman" w:hAnsi="Times New Roman" w:cs="Times New Roman"/>
          <w:sz w:val="24"/>
          <w:szCs w:val="24"/>
        </w:rPr>
      </w:pPr>
      <w:r w:rsidRPr="00FC02F8">
        <w:rPr>
          <w:rFonts w:ascii="Times New Roman" w:hAnsi="Times New Roman" w:cs="Times New Roman"/>
          <w:color w:val="000000"/>
          <w:sz w:val="24"/>
          <w:szCs w:val="24"/>
        </w:rPr>
        <w:t xml:space="preserve">Правильно ли понимать, что в соответствии с Письмом №209-Т </w:t>
      </w:r>
      <w:r w:rsidR="00FC02F8" w:rsidRPr="00FC02F8">
        <w:rPr>
          <w:rFonts w:ascii="Times New Roman" w:hAnsi="Times New Roman" w:cs="Times New Roman"/>
          <w:color w:val="000000"/>
          <w:sz w:val="24"/>
          <w:szCs w:val="24"/>
        </w:rPr>
        <w:t>«</w:t>
      </w:r>
      <w:r w:rsidRPr="00FC02F8">
        <w:rPr>
          <w:rFonts w:ascii="Times New Roman" w:hAnsi="Times New Roman" w:cs="Times New Roman"/>
          <w:i/>
          <w:color w:val="000000"/>
          <w:sz w:val="24"/>
          <w:szCs w:val="24"/>
        </w:rPr>
        <w:t>решение о признании ссуд реструктурированными без ухудшения оценки качества обслуживания долга</w:t>
      </w:r>
      <w:r w:rsidR="00FC02F8" w:rsidRPr="00FC02F8">
        <w:rPr>
          <w:rFonts w:ascii="Times New Roman" w:hAnsi="Times New Roman" w:cs="Times New Roman"/>
          <w:i/>
          <w:color w:val="000000"/>
          <w:sz w:val="24"/>
          <w:szCs w:val="24"/>
        </w:rPr>
        <w:t>»</w:t>
      </w:r>
      <w:r w:rsidRPr="00FC02F8">
        <w:rPr>
          <w:rFonts w:ascii="Times New Roman" w:hAnsi="Times New Roman" w:cs="Times New Roman"/>
          <w:i/>
          <w:color w:val="000000"/>
          <w:sz w:val="24"/>
          <w:szCs w:val="24"/>
        </w:rPr>
        <w:t xml:space="preserve"> </w:t>
      </w:r>
      <w:r w:rsidRPr="00FC02F8">
        <w:rPr>
          <w:rFonts w:ascii="Times New Roman" w:hAnsi="Times New Roman" w:cs="Times New Roman"/>
          <w:color w:val="000000"/>
          <w:sz w:val="24"/>
          <w:szCs w:val="24"/>
        </w:rPr>
        <w:t>принимается, в том числе</w:t>
      </w:r>
      <w:r w:rsidR="00FE41DF">
        <w:rPr>
          <w:rFonts w:ascii="Times New Roman" w:hAnsi="Times New Roman" w:cs="Times New Roman"/>
          <w:color w:val="000000"/>
          <w:sz w:val="24"/>
          <w:szCs w:val="24"/>
        </w:rPr>
        <w:t xml:space="preserve">, в отношении ссуд, по которым </w:t>
      </w:r>
      <w:r w:rsidRPr="00FC02F8">
        <w:rPr>
          <w:rFonts w:ascii="Times New Roman" w:hAnsi="Times New Roman" w:cs="Times New Roman"/>
          <w:color w:val="000000"/>
          <w:sz w:val="24"/>
          <w:szCs w:val="24"/>
        </w:rPr>
        <w:t>реструктуризация не влияет на качество обслуживания долга</w:t>
      </w:r>
      <w:r w:rsidR="00FC02F8" w:rsidRPr="00FC02F8">
        <w:rPr>
          <w:rFonts w:ascii="Times New Roman" w:hAnsi="Times New Roman" w:cs="Times New Roman"/>
          <w:color w:val="000000"/>
          <w:sz w:val="24"/>
          <w:szCs w:val="24"/>
        </w:rPr>
        <w:t xml:space="preserve">? </w:t>
      </w:r>
      <w:r w:rsidR="00FC02F8" w:rsidRPr="00FC02F8">
        <w:rPr>
          <w:rFonts w:ascii="Times New Roman" w:hAnsi="Times New Roman" w:cs="Times New Roman"/>
          <w:sz w:val="24"/>
          <w:szCs w:val="24"/>
        </w:rPr>
        <w:t>Вправе ли кредитная организация не ухудшать оценку качества обслуживания долга по реструктурированной ссуде в случае:</w:t>
      </w:r>
    </w:p>
    <w:p w:rsidR="00FC02F8" w:rsidRPr="00FC02F8" w:rsidRDefault="00FC02F8" w:rsidP="009475AB">
      <w:pPr>
        <w:pStyle w:val="a3"/>
        <w:numPr>
          <w:ilvl w:val="1"/>
          <w:numId w:val="1"/>
        </w:numPr>
        <w:spacing w:before="120" w:after="120" w:line="276" w:lineRule="auto"/>
        <w:ind w:left="284" w:firstLine="425"/>
        <w:jc w:val="both"/>
        <w:rPr>
          <w:rFonts w:ascii="Times New Roman" w:hAnsi="Times New Roman"/>
          <w:sz w:val="24"/>
          <w:szCs w:val="24"/>
        </w:rPr>
      </w:pPr>
      <w:r w:rsidRPr="00FC02F8">
        <w:rPr>
          <w:rFonts w:ascii="Times New Roman" w:hAnsi="Times New Roman"/>
          <w:sz w:val="24"/>
          <w:szCs w:val="24"/>
        </w:rPr>
        <w:t xml:space="preserve">если </w:t>
      </w:r>
      <w:proofErr w:type="spellStart"/>
      <w:r w:rsidRPr="00FC02F8">
        <w:rPr>
          <w:rFonts w:ascii="Times New Roman" w:hAnsi="Times New Roman"/>
          <w:sz w:val="24"/>
          <w:szCs w:val="24"/>
        </w:rPr>
        <w:t>реструктурируется</w:t>
      </w:r>
      <w:proofErr w:type="spellEnd"/>
      <w:r w:rsidRPr="00FC02F8">
        <w:rPr>
          <w:rFonts w:ascii="Times New Roman" w:hAnsi="Times New Roman"/>
          <w:sz w:val="24"/>
          <w:szCs w:val="24"/>
        </w:rPr>
        <w:t xml:space="preserve"> ссуда, которая на текущей момент является просроченной свыше 5 календарных дней?</w:t>
      </w:r>
    </w:p>
    <w:p w:rsidR="00FC02F8" w:rsidRPr="00FC02F8" w:rsidRDefault="00FC02F8" w:rsidP="009475AB">
      <w:pPr>
        <w:pStyle w:val="a3"/>
        <w:numPr>
          <w:ilvl w:val="1"/>
          <w:numId w:val="1"/>
        </w:numPr>
        <w:spacing w:before="120" w:after="120" w:line="276" w:lineRule="auto"/>
        <w:ind w:left="284" w:firstLine="425"/>
        <w:jc w:val="both"/>
        <w:rPr>
          <w:rFonts w:ascii="Times New Roman" w:hAnsi="Times New Roman"/>
          <w:sz w:val="24"/>
          <w:szCs w:val="24"/>
        </w:rPr>
      </w:pPr>
      <w:r w:rsidRPr="00FC02F8">
        <w:rPr>
          <w:rFonts w:ascii="Times New Roman" w:hAnsi="Times New Roman"/>
          <w:sz w:val="24"/>
          <w:szCs w:val="24"/>
        </w:rPr>
        <w:lastRenderedPageBreak/>
        <w:t xml:space="preserve">если </w:t>
      </w:r>
      <w:proofErr w:type="spellStart"/>
      <w:r w:rsidRPr="00FC02F8">
        <w:rPr>
          <w:rFonts w:ascii="Times New Roman" w:hAnsi="Times New Roman"/>
          <w:sz w:val="24"/>
          <w:szCs w:val="24"/>
        </w:rPr>
        <w:t>реструктурируется</w:t>
      </w:r>
      <w:proofErr w:type="spellEnd"/>
      <w:r w:rsidRPr="00FC02F8">
        <w:rPr>
          <w:rFonts w:ascii="Times New Roman" w:hAnsi="Times New Roman"/>
          <w:sz w:val="24"/>
          <w:szCs w:val="24"/>
        </w:rPr>
        <w:t xml:space="preserve"> ссуда, которая на текущей момент является просроченной свыше 30 календарных дней?</w:t>
      </w:r>
    </w:p>
    <w:p w:rsidR="00FD7A7A" w:rsidRPr="00FC02F8" w:rsidRDefault="00FC02F8" w:rsidP="009475AB">
      <w:pPr>
        <w:pStyle w:val="a3"/>
        <w:numPr>
          <w:ilvl w:val="1"/>
          <w:numId w:val="1"/>
        </w:numPr>
        <w:spacing w:before="120" w:after="120" w:line="276" w:lineRule="auto"/>
        <w:ind w:left="284" w:firstLine="425"/>
        <w:jc w:val="both"/>
        <w:rPr>
          <w:rFonts w:ascii="Times New Roman" w:hAnsi="Times New Roman"/>
          <w:sz w:val="24"/>
          <w:szCs w:val="24"/>
        </w:rPr>
      </w:pPr>
      <w:r w:rsidRPr="00FC02F8">
        <w:rPr>
          <w:rFonts w:ascii="Times New Roman" w:hAnsi="Times New Roman"/>
          <w:sz w:val="24"/>
          <w:szCs w:val="24"/>
        </w:rPr>
        <w:t xml:space="preserve">если </w:t>
      </w:r>
      <w:proofErr w:type="spellStart"/>
      <w:r w:rsidRPr="00FC02F8">
        <w:rPr>
          <w:rFonts w:ascii="Times New Roman" w:hAnsi="Times New Roman"/>
          <w:sz w:val="24"/>
          <w:szCs w:val="24"/>
        </w:rPr>
        <w:t>реструктурируется</w:t>
      </w:r>
      <w:proofErr w:type="spellEnd"/>
      <w:r w:rsidRPr="00FC02F8">
        <w:rPr>
          <w:rFonts w:ascii="Times New Roman" w:hAnsi="Times New Roman"/>
          <w:sz w:val="24"/>
          <w:szCs w:val="24"/>
        </w:rPr>
        <w:t xml:space="preserve"> ссуда, которая на текущей момент является просроченной (срок просрочки менее 5 календарных дней, и ранее был допущен единичный случай просрочки сроком менее 5 дней; общий срок просрочки на дату реструктуризации не превышает 5 дней)?</w:t>
      </w:r>
    </w:p>
    <w:p w:rsidR="00FC02F8" w:rsidRPr="00FC02F8" w:rsidRDefault="00FC02F8" w:rsidP="009475AB">
      <w:pPr>
        <w:pStyle w:val="a3"/>
        <w:numPr>
          <w:ilvl w:val="1"/>
          <w:numId w:val="1"/>
        </w:numPr>
        <w:spacing w:before="120" w:after="120" w:line="276" w:lineRule="auto"/>
        <w:ind w:left="284" w:firstLine="425"/>
        <w:jc w:val="both"/>
        <w:rPr>
          <w:rFonts w:ascii="Times New Roman" w:hAnsi="Times New Roman"/>
          <w:sz w:val="24"/>
          <w:szCs w:val="24"/>
        </w:rPr>
      </w:pPr>
      <w:r w:rsidRPr="00FC02F8">
        <w:rPr>
          <w:rFonts w:ascii="Times New Roman" w:hAnsi="Times New Roman"/>
          <w:sz w:val="24"/>
          <w:szCs w:val="24"/>
        </w:rPr>
        <w:t xml:space="preserve">если </w:t>
      </w:r>
      <w:proofErr w:type="spellStart"/>
      <w:r w:rsidRPr="00FC02F8">
        <w:rPr>
          <w:rFonts w:ascii="Times New Roman" w:hAnsi="Times New Roman"/>
          <w:sz w:val="24"/>
          <w:szCs w:val="24"/>
        </w:rPr>
        <w:t>реструктурируется</w:t>
      </w:r>
      <w:proofErr w:type="spellEnd"/>
      <w:r w:rsidRPr="00FC02F8">
        <w:rPr>
          <w:rFonts w:ascii="Times New Roman" w:hAnsi="Times New Roman"/>
          <w:sz w:val="24"/>
          <w:szCs w:val="24"/>
        </w:rPr>
        <w:t xml:space="preserve"> ссуда, по которой в течение предшествующих 180 дней заемщик не осуществлял фактических платежей в силу установленных условий кредитования?</w:t>
      </w:r>
    </w:p>
    <w:p w:rsidR="008602EF" w:rsidRDefault="008602EF" w:rsidP="008602EF">
      <w:pPr>
        <w:pStyle w:val="a3"/>
        <w:numPr>
          <w:ilvl w:val="0"/>
          <w:numId w:val="1"/>
        </w:numPr>
        <w:spacing w:before="120" w:after="120" w:line="276" w:lineRule="auto"/>
        <w:ind w:left="0" w:firstLine="0"/>
        <w:contextualSpacing/>
        <w:jc w:val="both"/>
        <w:rPr>
          <w:rFonts w:ascii="Times New Roman" w:hAnsi="Times New Roman"/>
          <w:sz w:val="24"/>
          <w:szCs w:val="24"/>
        </w:rPr>
      </w:pPr>
      <w:r w:rsidRPr="008602EF">
        <w:rPr>
          <w:rFonts w:ascii="Times New Roman" w:hAnsi="Times New Roman"/>
          <w:spacing w:val="-1"/>
          <w:sz w:val="24"/>
          <w:szCs w:val="24"/>
        </w:rPr>
        <w:t xml:space="preserve">Согласно абзацу 1 Письма Банка России от 18.12.2014 № 209-Т «Об особенностях применения нормативных актов Банка России» ссуда признается реструктурированной в случае изменения валюты, в </w:t>
      </w:r>
      <w:r w:rsidRPr="008602EF">
        <w:rPr>
          <w:rFonts w:ascii="Times New Roman" w:hAnsi="Times New Roman"/>
          <w:sz w:val="24"/>
          <w:szCs w:val="24"/>
        </w:rPr>
        <w:t xml:space="preserve">которой она номинирована. </w:t>
      </w:r>
    </w:p>
    <w:p w:rsidR="008602EF" w:rsidRDefault="008602EF" w:rsidP="008602EF">
      <w:pPr>
        <w:pStyle w:val="a3"/>
        <w:spacing w:before="120" w:after="120" w:line="276" w:lineRule="auto"/>
        <w:jc w:val="both"/>
        <w:rPr>
          <w:rFonts w:ascii="Times New Roman" w:hAnsi="Times New Roman"/>
          <w:spacing w:val="-1"/>
          <w:sz w:val="24"/>
          <w:szCs w:val="24"/>
        </w:rPr>
      </w:pPr>
      <w:r>
        <w:rPr>
          <w:rFonts w:ascii="Times New Roman" w:hAnsi="Times New Roman"/>
          <w:sz w:val="24"/>
          <w:szCs w:val="24"/>
        </w:rPr>
        <w:t>П</w:t>
      </w:r>
      <w:r w:rsidRPr="008602EF">
        <w:rPr>
          <w:rFonts w:ascii="Times New Roman" w:hAnsi="Times New Roman"/>
          <w:sz w:val="24"/>
          <w:szCs w:val="24"/>
        </w:rPr>
        <w:t xml:space="preserve">ризнается ли ссуда реструктурированной в случае изменения валюты, в которой номинирована ссуда, при одновременном изменении размера </w:t>
      </w:r>
      <w:r w:rsidRPr="008602EF">
        <w:rPr>
          <w:rFonts w:ascii="Times New Roman" w:hAnsi="Times New Roman"/>
          <w:spacing w:val="-1"/>
          <w:sz w:val="24"/>
          <w:szCs w:val="24"/>
        </w:rPr>
        <w:t>процентной ставки до уровня действующих среднерыночных ставок по сопоставимым кредитам</w:t>
      </w:r>
      <w:r>
        <w:rPr>
          <w:rFonts w:ascii="Times New Roman" w:hAnsi="Times New Roman"/>
          <w:spacing w:val="-1"/>
          <w:sz w:val="24"/>
          <w:szCs w:val="24"/>
        </w:rPr>
        <w:t>?</w:t>
      </w:r>
    </w:p>
    <w:p w:rsidR="00EA612D" w:rsidRPr="00CA13FC" w:rsidRDefault="00EA612D" w:rsidP="00EA612D">
      <w:pPr>
        <w:numPr>
          <w:ilvl w:val="0"/>
          <w:numId w:val="1"/>
        </w:numPr>
        <w:spacing w:before="120" w:after="120"/>
        <w:ind w:left="0" w:firstLine="0"/>
        <w:rPr>
          <w:rFonts w:ascii="Times New Roman" w:eastAsia="Times New Roman" w:hAnsi="Times New Roman" w:cs="Times New Roman"/>
          <w:sz w:val="24"/>
          <w:szCs w:val="24"/>
        </w:rPr>
      </w:pPr>
      <w:r w:rsidRPr="00CA13FC">
        <w:rPr>
          <w:rFonts w:ascii="Times New Roman" w:eastAsia="Times New Roman" w:hAnsi="Times New Roman" w:cs="Times New Roman"/>
          <w:sz w:val="24"/>
          <w:szCs w:val="24"/>
        </w:rPr>
        <w:t xml:space="preserve">В соответствии с пунктом 3.7.2.2. Положения 254-П ссуда признается реструктурированной, если по соглашению с заемщиком изменены существенные условия первоначального договора, на основании </w:t>
      </w:r>
      <w:r w:rsidRPr="008602EF">
        <w:rPr>
          <w:rFonts w:ascii="Times New Roman" w:eastAsia="Times New Roman" w:hAnsi="Times New Roman" w:cs="Times New Roman"/>
          <w:sz w:val="24"/>
          <w:szCs w:val="24"/>
        </w:rPr>
        <w:t xml:space="preserve">которого ссуда предоставлена, при наступлении которых заемщик получает право исполнять </w:t>
      </w:r>
      <w:r w:rsidRPr="00CA13FC">
        <w:rPr>
          <w:rFonts w:ascii="Times New Roman" w:eastAsia="Times New Roman" w:hAnsi="Times New Roman" w:cs="Times New Roman"/>
          <w:sz w:val="24"/>
          <w:szCs w:val="24"/>
        </w:rPr>
        <w:t xml:space="preserve">обязательства по ссуде в более благоприятном режиме. Признается ли ссуда </w:t>
      </w:r>
      <w:r w:rsidRPr="008602EF">
        <w:rPr>
          <w:rFonts w:ascii="Times New Roman" w:eastAsia="Times New Roman" w:hAnsi="Times New Roman" w:cs="Times New Roman"/>
          <w:sz w:val="24"/>
          <w:szCs w:val="24"/>
        </w:rPr>
        <w:t>реструктурированной в случае, если размер процентной ставки был увеличен относительно первоначальных условий договора на 5 процентных пунктов, а затем снижен на 2 процентных пункта (после понижения на 2 процентных пункта ставка остается выше первоначальной ставки по кредитному договору</w:t>
      </w:r>
      <w:r>
        <w:rPr>
          <w:rFonts w:ascii="Times New Roman" w:eastAsia="Times New Roman" w:hAnsi="Times New Roman" w:cs="Times New Roman"/>
          <w:sz w:val="24"/>
          <w:szCs w:val="24"/>
        </w:rPr>
        <w:t>)?</w:t>
      </w:r>
    </w:p>
    <w:p w:rsidR="006B5C79" w:rsidRPr="006B5C79" w:rsidRDefault="006B5C79" w:rsidP="006B5C79">
      <w:pPr>
        <w:pStyle w:val="a3"/>
        <w:numPr>
          <w:ilvl w:val="0"/>
          <w:numId w:val="1"/>
        </w:numPr>
        <w:spacing w:before="120" w:after="120" w:line="276" w:lineRule="auto"/>
        <w:ind w:left="0" w:firstLine="0"/>
        <w:contextualSpacing/>
        <w:jc w:val="both"/>
        <w:rPr>
          <w:rFonts w:ascii="Times New Roman" w:hAnsi="Times New Roman"/>
          <w:spacing w:val="-1"/>
          <w:sz w:val="24"/>
          <w:szCs w:val="24"/>
        </w:rPr>
      </w:pPr>
      <w:r w:rsidRPr="006B5C79">
        <w:rPr>
          <w:rFonts w:ascii="Times New Roman" w:hAnsi="Times New Roman"/>
          <w:spacing w:val="-1"/>
          <w:sz w:val="24"/>
          <w:szCs w:val="24"/>
        </w:rPr>
        <w:t xml:space="preserve">Если в соответствии с письмом 209-Т решение в целях </w:t>
      </w:r>
      <w:proofErr w:type="spellStart"/>
      <w:r w:rsidRPr="006B5C79">
        <w:rPr>
          <w:rFonts w:ascii="Times New Roman" w:hAnsi="Times New Roman"/>
          <w:spacing w:val="-1"/>
          <w:sz w:val="24"/>
          <w:szCs w:val="24"/>
        </w:rPr>
        <w:t>неухудшения</w:t>
      </w:r>
      <w:proofErr w:type="spellEnd"/>
      <w:r w:rsidRPr="006B5C79">
        <w:rPr>
          <w:rFonts w:ascii="Times New Roman" w:hAnsi="Times New Roman"/>
          <w:spacing w:val="-1"/>
          <w:sz w:val="24"/>
          <w:szCs w:val="24"/>
        </w:rPr>
        <w:t xml:space="preserve"> оценки качества обслуживания долга принимается при реструктуризации ссуды, находящейся в портфеле, может ли данная ссуда оставаться в текущем портфеле однородных ссуд?</w:t>
      </w:r>
    </w:p>
    <w:p w:rsidR="00EA7FD2" w:rsidRPr="00EA7FD2" w:rsidRDefault="00EA7FD2" w:rsidP="00EA7FD2">
      <w:pPr>
        <w:pStyle w:val="a3"/>
        <w:numPr>
          <w:ilvl w:val="0"/>
          <w:numId w:val="1"/>
        </w:numPr>
        <w:spacing w:before="120" w:after="120" w:line="276" w:lineRule="auto"/>
        <w:ind w:left="0" w:firstLine="0"/>
        <w:contextualSpacing/>
        <w:jc w:val="both"/>
        <w:rPr>
          <w:rFonts w:ascii="Times New Roman" w:hAnsi="Times New Roman"/>
          <w:spacing w:val="-1"/>
          <w:sz w:val="24"/>
          <w:szCs w:val="24"/>
        </w:rPr>
      </w:pPr>
      <w:r w:rsidRPr="00EA7FD2">
        <w:rPr>
          <w:rFonts w:ascii="Times New Roman" w:hAnsi="Times New Roman"/>
          <w:spacing w:val="-1"/>
          <w:sz w:val="24"/>
          <w:szCs w:val="24"/>
        </w:rPr>
        <w:t>В соответствии с Указанием Банка России от 12 ноября 2009 года N 2332-У ссудная задолженность, по которой кредитной организацией принималось решение в соответствии с п. 3.10. Положения № 254-П, подлежит отражению по строке 4.1.1. отчетности по форме 0409115 с даты принятия соответствующего решения и непрерывно до даты ее погашения, независимо от размера ссудной задолженности. В п.3.10. Положения № 254-П указывается, что информация о принятии такого решения в отношении ссуд (совокупности ссуд, выданных одному заемщику или группе связанных заемщиков), превышающих один процент от величины собственных средств (капитала) кредитной организации, и о категории качества ссуды представляется кредитной организацией в территориальное учреждение Банка России одновременно с формой отчетности 0409115.</w:t>
      </w:r>
    </w:p>
    <w:p w:rsidR="00EA7FD2" w:rsidRPr="00EA7FD2" w:rsidRDefault="00EA7FD2" w:rsidP="00EA7FD2">
      <w:pPr>
        <w:spacing w:before="120" w:after="120"/>
        <w:ind w:firstLine="0"/>
        <w:rPr>
          <w:rFonts w:ascii="Times New Roman" w:hAnsi="Times New Roman" w:cs="Times New Roman"/>
          <w:sz w:val="24"/>
          <w:szCs w:val="24"/>
        </w:rPr>
      </w:pPr>
      <w:r w:rsidRPr="00EA7FD2">
        <w:rPr>
          <w:rFonts w:ascii="Times New Roman" w:hAnsi="Times New Roman" w:cs="Times New Roman"/>
          <w:sz w:val="24"/>
          <w:szCs w:val="24"/>
        </w:rPr>
        <w:t xml:space="preserve">Согласно абзацу второму Письма 209-Т, кредитные организации </w:t>
      </w:r>
      <w:r w:rsidRPr="00EA7FD2">
        <w:rPr>
          <w:rFonts w:ascii="Times New Roman" w:hAnsi="Times New Roman" w:cs="Times New Roman"/>
          <w:sz w:val="24"/>
          <w:szCs w:val="24"/>
          <w:u w:val="single"/>
        </w:rPr>
        <w:t>отражают информацию о ссудах</w:t>
      </w:r>
      <w:r w:rsidRPr="00EA7FD2">
        <w:rPr>
          <w:rFonts w:ascii="Times New Roman" w:hAnsi="Times New Roman" w:cs="Times New Roman"/>
          <w:sz w:val="24"/>
          <w:szCs w:val="24"/>
        </w:rPr>
        <w:t xml:space="preserve"> (совокупности ссуд, выданных одному заемщику или группе связанных заемщиков), </w:t>
      </w:r>
      <w:r w:rsidRPr="00EA7FD2">
        <w:rPr>
          <w:rFonts w:ascii="Times New Roman" w:hAnsi="Times New Roman" w:cs="Times New Roman"/>
          <w:sz w:val="24"/>
          <w:szCs w:val="24"/>
          <w:u w:val="single"/>
        </w:rPr>
        <w:t xml:space="preserve">превышающих один процент </w:t>
      </w:r>
      <w:r>
        <w:rPr>
          <w:rFonts w:ascii="Times New Roman" w:hAnsi="Times New Roman" w:cs="Times New Roman"/>
          <w:sz w:val="24"/>
          <w:szCs w:val="24"/>
        </w:rPr>
        <w:t xml:space="preserve">от </w:t>
      </w:r>
      <w:r w:rsidRPr="00EA7FD2">
        <w:rPr>
          <w:rFonts w:ascii="Times New Roman" w:hAnsi="Times New Roman" w:cs="Times New Roman"/>
          <w:sz w:val="24"/>
          <w:szCs w:val="24"/>
        </w:rPr>
        <w:t xml:space="preserve">величины собственных средств (капитала) кредитной организации, в отношении которых уполномоченным органом управления (органом) кредитной организации приняты решения в соответствии с п.3.10. Положения № 254-П, </w:t>
      </w:r>
      <w:r w:rsidRPr="00EA7FD2">
        <w:rPr>
          <w:rFonts w:ascii="Times New Roman" w:hAnsi="Times New Roman" w:cs="Times New Roman"/>
          <w:sz w:val="24"/>
          <w:szCs w:val="24"/>
          <w:u w:val="single"/>
        </w:rPr>
        <w:t>в отчетности по форме 0409115</w:t>
      </w:r>
      <w:r>
        <w:rPr>
          <w:rFonts w:ascii="Times New Roman" w:hAnsi="Times New Roman" w:cs="Times New Roman"/>
          <w:sz w:val="24"/>
          <w:szCs w:val="24"/>
        </w:rPr>
        <w:t xml:space="preserve">. </w:t>
      </w:r>
    </w:p>
    <w:p w:rsidR="00EA7FD2" w:rsidRDefault="00EA7FD2" w:rsidP="00EA7FD2">
      <w:pPr>
        <w:spacing w:before="120" w:after="120"/>
        <w:ind w:firstLine="0"/>
        <w:rPr>
          <w:rFonts w:ascii="Times New Roman" w:hAnsi="Times New Roman" w:cs="Times New Roman"/>
          <w:sz w:val="24"/>
          <w:szCs w:val="24"/>
        </w:rPr>
      </w:pPr>
      <w:r w:rsidRPr="00EA7FD2">
        <w:rPr>
          <w:rFonts w:ascii="Times New Roman" w:hAnsi="Times New Roman" w:cs="Times New Roman"/>
          <w:sz w:val="24"/>
          <w:szCs w:val="24"/>
        </w:rPr>
        <w:lastRenderedPageBreak/>
        <w:t>Означает ли это, что ссуда (совокупность ссуд, выданных одному заемщику или группе связанных заемщиков), НЕ превышающая один процент</w:t>
      </w:r>
      <w:r>
        <w:rPr>
          <w:rFonts w:ascii="Times New Roman" w:hAnsi="Times New Roman" w:cs="Times New Roman"/>
          <w:sz w:val="24"/>
          <w:szCs w:val="24"/>
        </w:rPr>
        <w:t xml:space="preserve"> от </w:t>
      </w:r>
      <w:r w:rsidRPr="00EA7FD2">
        <w:rPr>
          <w:rFonts w:ascii="Times New Roman" w:hAnsi="Times New Roman" w:cs="Times New Roman"/>
          <w:sz w:val="24"/>
          <w:szCs w:val="24"/>
        </w:rPr>
        <w:t xml:space="preserve">величины собственных средств (капитала) кредитной организации, по которой кредитной организацией принималось решение в соответствии с п. 3.10. Положения № 254-П, с 1 декабря 2014 </w:t>
      </w:r>
      <w:proofErr w:type="spellStart"/>
      <w:r w:rsidRPr="00EA7FD2">
        <w:rPr>
          <w:rFonts w:ascii="Times New Roman" w:hAnsi="Times New Roman" w:cs="Times New Roman"/>
          <w:sz w:val="24"/>
          <w:szCs w:val="24"/>
        </w:rPr>
        <w:t>годапо</w:t>
      </w:r>
      <w:proofErr w:type="spellEnd"/>
      <w:r w:rsidRPr="00EA7FD2">
        <w:rPr>
          <w:rFonts w:ascii="Times New Roman" w:hAnsi="Times New Roman" w:cs="Times New Roman"/>
          <w:sz w:val="24"/>
          <w:szCs w:val="24"/>
        </w:rPr>
        <w:t xml:space="preserve"> 30 июня 2015 года НЕ подлежит отражению по строке 4.1.1. отчетности по форме 0409115?</w:t>
      </w:r>
    </w:p>
    <w:p w:rsidR="00F05C7B" w:rsidRPr="00C12D76" w:rsidRDefault="00A52930" w:rsidP="00F05C7B">
      <w:pPr>
        <w:pStyle w:val="a5"/>
        <w:spacing w:before="120" w:after="120"/>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Просим</w:t>
      </w:r>
      <w:r w:rsidR="00F05C7B" w:rsidRPr="00C12D76">
        <w:rPr>
          <w:rFonts w:ascii="Times New Roman" w:eastAsia="Times New Roman" w:hAnsi="Times New Roman" w:cs="Times New Roman"/>
          <w:sz w:val="24"/>
          <w:szCs w:val="24"/>
        </w:rPr>
        <w:t xml:space="preserve"> разъяснить порядок отражения принятых решений по просроченным ссудам в форме отчетности 0409115 «Информация о качестве активов кредитной организации», установленной Указанием Байка России от 12 ноября 2009 года N 2332-У.</w:t>
      </w:r>
    </w:p>
    <w:p w:rsidR="00D82827" w:rsidRPr="00C45208" w:rsidRDefault="00A52930" w:rsidP="008B2C1A">
      <w:pPr>
        <w:numPr>
          <w:ilvl w:val="0"/>
          <w:numId w:val="1"/>
        </w:numPr>
        <w:spacing w:before="120" w:after="120"/>
        <w:ind w:left="0" w:firstLine="0"/>
        <w:rPr>
          <w:rFonts w:ascii="Times New Roman" w:eastAsia="Times New Roman" w:hAnsi="Times New Roman" w:cs="Times New Roman"/>
          <w:sz w:val="24"/>
          <w:szCs w:val="24"/>
        </w:rPr>
      </w:pPr>
      <w:r>
        <w:rPr>
          <w:rFonts w:ascii="Times New Roman" w:hAnsi="Times New Roman" w:cs="Times New Roman"/>
          <w:sz w:val="24"/>
          <w:szCs w:val="24"/>
        </w:rPr>
        <w:t>Финансовое положение заемщика</w:t>
      </w:r>
      <w:r w:rsidR="00D82827" w:rsidRPr="00C45208">
        <w:rPr>
          <w:rFonts w:ascii="Times New Roman" w:hAnsi="Times New Roman" w:cs="Times New Roman"/>
          <w:sz w:val="24"/>
          <w:szCs w:val="24"/>
        </w:rPr>
        <w:t xml:space="preserve"> </w:t>
      </w:r>
    </w:p>
    <w:p w:rsidR="00FD7A7A" w:rsidRDefault="00EA612D" w:rsidP="00D82827">
      <w:pPr>
        <w:spacing w:before="120" w:after="120"/>
        <w:ind w:firstLine="708"/>
        <w:rPr>
          <w:rFonts w:ascii="Times New Roman" w:eastAsia="Times New Roman" w:hAnsi="Times New Roman" w:cs="Times New Roman"/>
          <w:bCs/>
          <w:sz w:val="24"/>
          <w:szCs w:val="24"/>
        </w:rPr>
      </w:pPr>
      <w:r>
        <w:rPr>
          <w:rFonts w:ascii="Times New Roman" w:hAnsi="Times New Roman" w:cs="Times New Roman"/>
          <w:sz w:val="24"/>
          <w:szCs w:val="24"/>
        </w:rPr>
        <w:t>8</w:t>
      </w:r>
      <w:r w:rsidR="004943BE">
        <w:rPr>
          <w:rFonts w:ascii="Times New Roman" w:hAnsi="Times New Roman" w:cs="Times New Roman"/>
          <w:sz w:val="24"/>
          <w:szCs w:val="24"/>
        </w:rPr>
        <w:t xml:space="preserve">.1. </w:t>
      </w:r>
      <w:r w:rsidR="00567318">
        <w:rPr>
          <w:rFonts w:ascii="Times New Roman" w:hAnsi="Times New Roman" w:cs="Times New Roman"/>
          <w:sz w:val="24"/>
          <w:szCs w:val="24"/>
        </w:rPr>
        <w:t>Письмо</w:t>
      </w:r>
      <w:r w:rsidR="00D361F4" w:rsidRPr="00FC02F8">
        <w:rPr>
          <w:rFonts w:ascii="Times New Roman" w:hAnsi="Times New Roman" w:cs="Times New Roman"/>
          <w:sz w:val="24"/>
          <w:szCs w:val="24"/>
        </w:rPr>
        <w:t xml:space="preserve"> Банка России № 210-Т</w:t>
      </w:r>
      <w:r w:rsidR="00D361F4" w:rsidRPr="00FC02F8">
        <w:rPr>
          <w:rFonts w:ascii="Times New Roman" w:eastAsia="Times New Roman" w:hAnsi="Times New Roman" w:cs="Times New Roman"/>
          <w:sz w:val="24"/>
          <w:szCs w:val="24"/>
        </w:rPr>
        <w:t xml:space="preserve"> позволяет банкам в связи с введением ограничительных мер (санкций) принимать решение о </w:t>
      </w:r>
      <w:proofErr w:type="spellStart"/>
      <w:r w:rsidR="00D361F4" w:rsidRPr="00FC02F8">
        <w:rPr>
          <w:rFonts w:ascii="Times New Roman" w:eastAsia="Times New Roman" w:hAnsi="Times New Roman" w:cs="Times New Roman"/>
          <w:sz w:val="24"/>
          <w:szCs w:val="24"/>
        </w:rPr>
        <w:t>неухудшении</w:t>
      </w:r>
      <w:proofErr w:type="spellEnd"/>
      <w:r w:rsidR="00D361F4" w:rsidRPr="00FC02F8">
        <w:rPr>
          <w:rFonts w:ascii="Times New Roman" w:eastAsia="Times New Roman" w:hAnsi="Times New Roman" w:cs="Times New Roman"/>
          <w:sz w:val="24"/>
          <w:szCs w:val="24"/>
        </w:rPr>
        <w:t xml:space="preserve"> не только качества обслуживания долга по ссуде, но и финансового положения заемщика. Однако кредитные организации</w:t>
      </w:r>
      <w:r w:rsidR="000B545E" w:rsidRPr="00FC02F8">
        <w:rPr>
          <w:rFonts w:ascii="Times New Roman" w:eastAsia="Times New Roman" w:hAnsi="Times New Roman" w:cs="Times New Roman"/>
          <w:sz w:val="24"/>
          <w:szCs w:val="24"/>
        </w:rPr>
        <w:t xml:space="preserve"> </w:t>
      </w:r>
      <w:r w:rsidR="00D361F4" w:rsidRPr="00FC02F8">
        <w:rPr>
          <w:rFonts w:ascii="Times New Roman" w:eastAsia="Times New Roman" w:hAnsi="Times New Roman" w:cs="Times New Roman"/>
          <w:sz w:val="24"/>
          <w:szCs w:val="24"/>
        </w:rPr>
        <w:t>в соответствии с Положением №254-П и без специального на то указания</w:t>
      </w:r>
      <w:r w:rsidR="000B545E" w:rsidRPr="00FC02F8">
        <w:rPr>
          <w:rFonts w:ascii="Times New Roman" w:eastAsia="Times New Roman" w:hAnsi="Times New Roman" w:cs="Times New Roman"/>
          <w:sz w:val="24"/>
          <w:szCs w:val="24"/>
        </w:rPr>
        <w:t xml:space="preserve"> </w:t>
      </w:r>
      <w:r w:rsidR="00D361F4" w:rsidRPr="00FC02F8">
        <w:rPr>
          <w:rFonts w:ascii="Times New Roman" w:eastAsia="Times New Roman" w:hAnsi="Times New Roman" w:cs="Times New Roman"/>
          <w:sz w:val="24"/>
          <w:szCs w:val="24"/>
        </w:rPr>
        <w:t>вправе применять иные существенные факторы (например, в виде ухудшения макроэкономической и геополитической обстановки в стране) с тем, чтобы не ухудшать финансовое положение заемщика (если это предусмотрено соответствующими методиками банка) и/или категорию качества ссуды (в соответствии с п.3.9 Положения №254-П). Причем, в этом случае (т.е. в связи с применением иного существенного фактора) банк даже не обязан сообщать о принятом решении в ЦБ РФ, тогда как Письмо №210-Т, напротив, предписывает банкам отправлять обосн</w:t>
      </w:r>
      <w:r w:rsidR="00FC02F8" w:rsidRPr="00FC02F8">
        <w:rPr>
          <w:rFonts w:ascii="Times New Roman" w:eastAsia="Times New Roman" w:hAnsi="Times New Roman" w:cs="Times New Roman"/>
          <w:sz w:val="24"/>
          <w:szCs w:val="24"/>
        </w:rPr>
        <w:t xml:space="preserve">ование принятого решения в Банк </w:t>
      </w:r>
      <w:r w:rsidR="00D361F4" w:rsidRPr="00FC02F8">
        <w:rPr>
          <w:rFonts w:ascii="Times New Roman" w:eastAsia="Times New Roman" w:hAnsi="Times New Roman" w:cs="Times New Roman"/>
          <w:sz w:val="24"/>
          <w:szCs w:val="24"/>
        </w:rPr>
        <w:t>России.</w:t>
      </w:r>
      <w:r w:rsidR="00FC02F8" w:rsidRPr="00FC02F8">
        <w:rPr>
          <w:rFonts w:ascii="Times New Roman" w:eastAsia="Times New Roman" w:hAnsi="Times New Roman" w:cs="Times New Roman"/>
          <w:sz w:val="24"/>
          <w:szCs w:val="24"/>
        </w:rPr>
        <w:t xml:space="preserve"> </w:t>
      </w:r>
      <w:r w:rsidR="000B545E" w:rsidRPr="00FC02F8">
        <w:rPr>
          <w:rFonts w:ascii="Times New Roman" w:eastAsia="Times New Roman" w:hAnsi="Times New Roman" w:cs="Times New Roman"/>
          <w:bCs/>
          <w:sz w:val="24"/>
          <w:szCs w:val="24"/>
        </w:rPr>
        <w:t xml:space="preserve">Таким образом, </w:t>
      </w:r>
      <w:r w:rsidR="00D361F4" w:rsidRPr="00FC02F8">
        <w:rPr>
          <w:rFonts w:ascii="Times New Roman" w:eastAsia="Times New Roman" w:hAnsi="Times New Roman" w:cs="Times New Roman"/>
          <w:bCs/>
          <w:sz w:val="24"/>
          <w:szCs w:val="24"/>
        </w:rPr>
        <w:t>получается, что Письмо №210-Т не только не является послаблением для банков, но, напротив, ужесточает требования к ним.</w:t>
      </w:r>
    </w:p>
    <w:p w:rsidR="004943BE" w:rsidRPr="004943BE" w:rsidRDefault="00EA612D" w:rsidP="004943BE">
      <w:pPr>
        <w:spacing w:before="120" w:after="120"/>
        <w:ind w:firstLine="708"/>
        <w:rPr>
          <w:rFonts w:ascii="Times New Roman" w:hAnsi="Times New Roman" w:cs="Times New Roman"/>
          <w:sz w:val="24"/>
          <w:szCs w:val="24"/>
        </w:rPr>
      </w:pPr>
      <w:r>
        <w:rPr>
          <w:rFonts w:ascii="Times New Roman" w:hAnsi="Times New Roman" w:cs="Times New Roman"/>
          <w:sz w:val="24"/>
          <w:szCs w:val="24"/>
        </w:rPr>
        <w:t>8</w:t>
      </w:r>
      <w:r w:rsidR="004943BE">
        <w:rPr>
          <w:rFonts w:ascii="Times New Roman" w:hAnsi="Times New Roman" w:cs="Times New Roman"/>
          <w:sz w:val="24"/>
          <w:szCs w:val="24"/>
        </w:rPr>
        <w:t xml:space="preserve">.2. </w:t>
      </w:r>
      <w:r w:rsidR="004943BE" w:rsidRPr="004943BE">
        <w:rPr>
          <w:rFonts w:ascii="Times New Roman" w:hAnsi="Times New Roman" w:cs="Times New Roman"/>
          <w:sz w:val="24"/>
          <w:szCs w:val="24"/>
        </w:rPr>
        <w:t>Вправе ли уполномоченный орган кредитной организации (согласно письма 210-Т) не ухудшать финансовое состояние заемщика до «плохого», если оно по состоянию на 01.01.2015 г. ухудшилось с «хорошего» до «среднего», а на 01.04.2015 - до «плохого» (в связи с введением ограничительных мер)? В данном случае финансовое состояние будет оцениваться как «хорошее» по 30.06.2015 г.?</w:t>
      </w:r>
      <w:r w:rsidR="00BC0792">
        <w:rPr>
          <w:rFonts w:ascii="Times New Roman" w:hAnsi="Times New Roman" w:cs="Times New Roman"/>
          <w:sz w:val="24"/>
          <w:szCs w:val="24"/>
        </w:rPr>
        <w:t xml:space="preserve"> П</w:t>
      </w:r>
      <w:r w:rsidR="00BC0792" w:rsidRPr="00BC0792">
        <w:rPr>
          <w:rFonts w:ascii="Times New Roman" w:hAnsi="Times New Roman" w:cs="Times New Roman"/>
          <w:sz w:val="24"/>
          <w:szCs w:val="24"/>
        </w:rPr>
        <w:t>о состоянию на 01.07.2015 необходимо будет произвести классификацию выданных ранее ссуд без учета указанных писем?</w:t>
      </w:r>
    </w:p>
    <w:p w:rsidR="00D82827" w:rsidRPr="00C45208" w:rsidRDefault="00D82827" w:rsidP="008B2C1A">
      <w:pPr>
        <w:numPr>
          <w:ilvl w:val="0"/>
          <w:numId w:val="1"/>
        </w:numPr>
        <w:spacing w:before="120" w:after="120"/>
        <w:ind w:left="0" w:firstLine="0"/>
        <w:rPr>
          <w:rFonts w:ascii="Times New Roman" w:eastAsia="Times New Roman" w:hAnsi="Times New Roman" w:cs="Times New Roman"/>
          <w:sz w:val="24"/>
          <w:szCs w:val="24"/>
        </w:rPr>
      </w:pPr>
      <w:r w:rsidRPr="00C45208">
        <w:rPr>
          <w:rFonts w:ascii="Times New Roman" w:eastAsia="Times New Roman" w:hAnsi="Times New Roman" w:cs="Times New Roman"/>
          <w:sz w:val="24"/>
          <w:szCs w:val="24"/>
        </w:rPr>
        <w:t>Ограничительные меры</w:t>
      </w:r>
    </w:p>
    <w:p w:rsidR="00FD7A7A" w:rsidRPr="00567318" w:rsidRDefault="00EA612D" w:rsidP="00567318">
      <w:pPr>
        <w:spacing w:before="120" w:after="120"/>
        <w:ind w:firstLine="708"/>
        <w:rPr>
          <w:rFonts w:ascii="Times New Roman" w:hAnsi="Times New Roman" w:cs="Times New Roman"/>
          <w:sz w:val="24"/>
          <w:szCs w:val="24"/>
        </w:rPr>
      </w:pPr>
      <w:r>
        <w:rPr>
          <w:rFonts w:ascii="Times New Roman" w:hAnsi="Times New Roman" w:cs="Times New Roman"/>
          <w:sz w:val="24"/>
          <w:szCs w:val="24"/>
        </w:rPr>
        <w:t>9</w:t>
      </w:r>
      <w:r w:rsidR="00567318" w:rsidRPr="00567318">
        <w:rPr>
          <w:rFonts w:ascii="Times New Roman" w:hAnsi="Times New Roman" w:cs="Times New Roman"/>
          <w:sz w:val="24"/>
          <w:szCs w:val="24"/>
        </w:rPr>
        <w:t xml:space="preserve">.1. </w:t>
      </w:r>
      <w:r w:rsidR="00FD7A7A" w:rsidRPr="00567318">
        <w:rPr>
          <w:rFonts w:ascii="Times New Roman" w:hAnsi="Times New Roman" w:cs="Times New Roman"/>
          <w:sz w:val="24"/>
          <w:szCs w:val="24"/>
        </w:rPr>
        <w:t xml:space="preserve">Правильно ли в целях Письма №210-Т под «ограничительными мерами» понимать как ограничительные политические и экономические меры, введенные зарубежными государствами против Российской Федерации, так и ответные меры Российской Федерацией? Учитывая, что санкции продлены на год, следует ли ожидать пролонгации Письма 210-Т? </w:t>
      </w:r>
    </w:p>
    <w:p w:rsidR="00FD7A7A" w:rsidRPr="00567318" w:rsidRDefault="00EA612D" w:rsidP="00567318">
      <w:pPr>
        <w:spacing w:before="120" w:after="120"/>
        <w:ind w:firstLine="708"/>
        <w:rPr>
          <w:rFonts w:ascii="Times New Roman" w:hAnsi="Times New Roman" w:cs="Times New Roman"/>
          <w:sz w:val="24"/>
          <w:szCs w:val="24"/>
        </w:rPr>
      </w:pPr>
      <w:r>
        <w:rPr>
          <w:rFonts w:ascii="Times New Roman" w:hAnsi="Times New Roman" w:cs="Times New Roman"/>
          <w:sz w:val="24"/>
          <w:szCs w:val="24"/>
        </w:rPr>
        <w:t>9</w:t>
      </w:r>
      <w:r w:rsidR="00567318">
        <w:rPr>
          <w:rFonts w:ascii="Times New Roman" w:hAnsi="Times New Roman" w:cs="Times New Roman"/>
          <w:sz w:val="24"/>
          <w:szCs w:val="24"/>
        </w:rPr>
        <w:t xml:space="preserve">.2. </w:t>
      </w:r>
      <w:r w:rsidR="00FD7A7A" w:rsidRPr="00567318">
        <w:rPr>
          <w:rFonts w:ascii="Times New Roman" w:hAnsi="Times New Roman" w:cs="Times New Roman"/>
          <w:sz w:val="24"/>
          <w:szCs w:val="24"/>
        </w:rPr>
        <w:t>Допускается ли применять положения Письма № 210-Т не только при оценке кредитного риска по ссудам (прочим активам), заемщиками (контрагентами) по которым являются предприятия, непосредственно в отношении которых введены ограничительные меры, но и при оценке кредитного риска по ссудам (прочим активам), заемщиками (контрагентами) по которым выступают:</w:t>
      </w:r>
    </w:p>
    <w:p w:rsidR="00FD7A7A" w:rsidRPr="00D82827" w:rsidRDefault="00FD7A7A" w:rsidP="00D51BF7">
      <w:pPr>
        <w:pStyle w:val="a3"/>
        <w:numPr>
          <w:ilvl w:val="1"/>
          <w:numId w:val="1"/>
        </w:numPr>
        <w:spacing w:before="120" w:after="120" w:line="276" w:lineRule="auto"/>
        <w:ind w:left="284" w:firstLine="425"/>
        <w:jc w:val="both"/>
        <w:rPr>
          <w:rFonts w:ascii="Times New Roman" w:hAnsi="Times New Roman"/>
          <w:sz w:val="24"/>
          <w:szCs w:val="24"/>
        </w:rPr>
      </w:pPr>
      <w:r w:rsidRPr="00D82827">
        <w:rPr>
          <w:rFonts w:ascii="Times New Roman" w:hAnsi="Times New Roman"/>
          <w:sz w:val="24"/>
          <w:szCs w:val="24"/>
        </w:rPr>
        <w:t xml:space="preserve">контрагенты указанных предприятий (в частности, субподрядчики по договорам с генеральными подрядчиками, являющимися указанными предприятиями); </w:t>
      </w:r>
    </w:p>
    <w:p w:rsidR="00FD7A7A" w:rsidRPr="00D82827" w:rsidRDefault="00FD7A7A" w:rsidP="00D51BF7">
      <w:pPr>
        <w:pStyle w:val="a3"/>
        <w:numPr>
          <w:ilvl w:val="1"/>
          <w:numId w:val="1"/>
        </w:numPr>
        <w:spacing w:before="120" w:after="120" w:line="276" w:lineRule="auto"/>
        <w:ind w:left="284" w:firstLine="425"/>
        <w:jc w:val="both"/>
        <w:rPr>
          <w:rFonts w:ascii="Times New Roman" w:hAnsi="Times New Roman"/>
          <w:sz w:val="24"/>
          <w:szCs w:val="24"/>
        </w:rPr>
      </w:pPr>
      <w:r w:rsidRPr="00D82827">
        <w:rPr>
          <w:rFonts w:ascii="Times New Roman" w:hAnsi="Times New Roman"/>
          <w:sz w:val="24"/>
          <w:szCs w:val="24"/>
        </w:rPr>
        <w:t>юридические или физические лица, являющиеся учредителями указанных предприятий;</w:t>
      </w:r>
    </w:p>
    <w:p w:rsidR="00FD7A7A" w:rsidRPr="00D82827" w:rsidRDefault="00FD7A7A" w:rsidP="00D51BF7">
      <w:pPr>
        <w:pStyle w:val="a3"/>
        <w:numPr>
          <w:ilvl w:val="1"/>
          <w:numId w:val="1"/>
        </w:numPr>
        <w:spacing w:before="120" w:after="120" w:line="276" w:lineRule="auto"/>
        <w:ind w:left="284" w:firstLine="425"/>
        <w:jc w:val="both"/>
        <w:rPr>
          <w:rFonts w:ascii="Times New Roman" w:hAnsi="Times New Roman"/>
          <w:sz w:val="24"/>
          <w:szCs w:val="24"/>
        </w:rPr>
      </w:pPr>
      <w:r w:rsidRPr="00D82827">
        <w:rPr>
          <w:rFonts w:ascii="Times New Roman" w:hAnsi="Times New Roman"/>
          <w:sz w:val="24"/>
          <w:szCs w:val="24"/>
        </w:rPr>
        <w:t>юридические лица, учредителями которых являются указанные предпри</w:t>
      </w:r>
      <w:bookmarkStart w:id="0" w:name="_GoBack"/>
      <w:bookmarkEnd w:id="0"/>
      <w:r w:rsidRPr="00D82827">
        <w:rPr>
          <w:rFonts w:ascii="Times New Roman" w:hAnsi="Times New Roman"/>
          <w:sz w:val="24"/>
          <w:szCs w:val="24"/>
        </w:rPr>
        <w:t>ятия;</w:t>
      </w:r>
    </w:p>
    <w:p w:rsidR="00DF579E" w:rsidRDefault="00FD7A7A" w:rsidP="00D51BF7">
      <w:pPr>
        <w:pStyle w:val="a3"/>
        <w:numPr>
          <w:ilvl w:val="1"/>
          <w:numId w:val="1"/>
        </w:numPr>
        <w:spacing w:before="120" w:after="120" w:line="276" w:lineRule="auto"/>
        <w:ind w:left="284" w:firstLine="425"/>
        <w:jc w:val="both"/>
        <w:rPr>
          <w:rFonts w:ascii="Times New Roman" w:hAnsi="Times New Roman"/>
          <w:sz w:val="24"/>
          <w:szCs w:val="24"/>
        </w:rPr>
      </w:pPr>
      <w:r w:rsidRPr="00D82827">
        <w:rPr>
          <w:rFonts w:ascii="Times New Roman" w:hAnsi="Times New Roman"/>
          <w:sz w:val="24"/>
          <w:szCs w:val="24"/>
        </w:rPr>
        <w:t>юридические лица, являющееся лизинговыми компаниям, а лизингополучателем по сделке, финансируемой за счет средств Банка, выступ</w:t>
      </w:r>
      <w:r w:rsidR="0099136D">
        <w:rPr>
          <w:rFonts w:ascii="Times New Roman" w:hAnsi="Times New Roman"/>
          <w:sz w:val="24"/>
          <w:szCs w:val="24"/>
        </w:rPr>
        <w:t>ает лицо из перечисленных выше,</w:t>
      </w:r>
    </w:p>
    <w:p w:rsidR="0099136D" w:rsidRDefault="000128CC" w:rsidP="0099136D">
      <w:pPr>
        <w:pStyle w:val="a3"/>
        <w:spacing w:before="120" w:after="120" w:line="276" w:lineRule="auto"/>
        <w:ind w:left="709"/>
        <w:jc w:val="both"/>
        <w:rPr>
          <w:rFonts w:ascii="Times New Roman" w:hAnsi="Times New Roman"/>
          <w:sz w:val="24"/>
          <w:szCs w:val="24"/>
        </w:rPr>
      </w:pPr>
      <w:r>
        <w:rPr>
          <w:rFonts w:ascii="Times New Roman" w:hAnsi="Times New Roman"/>
          <w:sz w:val="24"/>
          <w:szCs w:val="24"/>
        </w:rPr>
        <w:t>то есть</w:t>
      </w:r>
      <w:r w:rsidR="0099136D">
        <w:rPr>
          <w:rFonts w:ascii="Times New Roman" w:hAnsi="Times New Roman"/>
          <w:sz w:val="24"/>
          <w:szCs w:val="24"/>
        </w:rPr>
        <w:t xml:space="preserve"> лица</w:t>
      </w:r>
      <w:r>
        <w:rPr>
          <w:rFonts w:ascii="Times New Roman" w:hAnsi="Times New Roman"/>
          <w:sz w:val="24"/>
          <w:szCs w:val="24"/>
        </w:rPr>
        <w:t>,</w:t>
      </w:r>
      <w:r w:rsidR="0099136D">
        <w:rPr>
          <w:rFonts w:ascii="Times New Roman" w:hAnsi="Times New Roman"/>
          <w:sz w:val="24"/>
          <w:szCs w:val="24"/>
        </w:rPr>
        <w:t xml:space="preserve"> попавшие под опосредованное влияние санкций. </w:t>
      </w:r>
    </w:p>
    <w:p w:rsidR="00C47A3B" w:rsidRPr="00567318" w:rsidRDefault="00EA612D" w:rsidP="00567318">
      <w:pPr>
        <w:spacing w:before="120" w:after="120"/>
        <w:ind w:firstLine="708"/>
        <w:rPr>
          <w:rFonts w:ascii="Times New Roman" w:hAnsi="Times New Roman" w:cs="Times New Roman"/>
          <w:sz w:val="24"/>
          <w:szCs w:val="24"/>
        </w:rPr>
      </w:pPr>
      <w:r>
        <w:rPr>
          <w:rFonts w:ascii="Times New Roman" w:hAnsi="Times New Roman" w:cs="Times New Roman"/>
          <w:sz w:val="24"/>
          <w:szCs w:val="24"/>
        </w:rPr>
        <w:t>9</w:t>
      </w:r>
      <w:r w:rsidR="00567318">
        <w:rPr>
          <w:rFonts w:ascii="Times New Roman" w:hAnsi="Times New Roman" w:cs="Times New Roman"/>
          <w:sz w:val="24"/>
          <w:szCs w:val="24"/>
        </w:rPr>
        <w:t xml:space="preserve">.3. </w:t>
      </w:r>
      <w:r w:rsidR="00C47A3B" w:rsidRPr="00567318">
        <w:rPr>
          <w:rFonts w:ascii="Times New Roman" w:hAnsi="Times New Roman" w:cs="Times New Roman"/>
          <w:sz w:val="24"/>
          <w:szCs w:val="24"/>
        </w:rPr>
        <w:t xml:space="preserve">Согласно Ответам Банка России на часто задаваемые вопросы по применению Указания 3453-У от 25.12.2014, опубликованным 27.01.2015, его нормы распространяются также на компании, не являющиеся резидентами Российской Федерации, в случае если их деятельность связана с деятельностью организаций, являющихся резидентами Российской Федерации. </w:t>
      </w:r>
      <w:r w:rsidR="00567318">
        <w:rPr>
          <w:rFonts w:ascii="Times New Roman" w:hAnsi="Times New Roman" w:cs="Times New Roman"/>
          <w:sz w:val="24"/>
          <w:szCs w:val="24"/>
        </w:rPr>
        <w:t>Правильно ли полага</w:t>
      </w:r>
      <w:r w:rsidR="00C47A3B" w:rsidRPr="00567318">
        <w:rPr>
          <w:rFonts w:ascii="Times New Roman" w:hAnsi="Times New Roman" w:cs="Times New Roman"/>
          <w:sz w:val="24"/>
          <w:szCs w:val="24"/>
        </w:rPr>
        <w:t>т</w:t>
      </w:r>
      <w:r w:rsidR="00567318">
        <w:rPr>
          <w:rFonts w:ascii="Times New Roman" w:hAnsi="Times New Roman" w:cs="Times New Roman"/>
          <w:sz w:val="24"/>
          <w:szCs w:val="24"/>
        </w:rPr>
        <w:t>ь</w:t>
      </w:r>
      <w:r w:rsidR="00C47A3B" w:rsidRPr="00567318">
        <w:rPr>
          <w:rFonts w:ascii="Times New Roman" w:hAnsi="Times New Roman" w:cs="Times New Roman"/>
          <w:sz w:val="24"/>
          <w:szCs w:val="24"/>
        </w:rPr>
        <w:t>, что под данное определение подпадают:</w:t>
      </w:r>
    </w:p>
    <w:p w:rsidR="00C47A3B" w:rsidRPr="00C47A3B" w:rsidRDefault="00C47A3B" w:rsidP="00416F6B">
      <w:pPr>
        <w:pStyle w:val="a3"/>
        <w:numPr>
          <w:ilvl w:val="0"/>
          <w:numId w:val="22"/>
        </w:numPr>
        <w:tabs>
          <w:tab w:val="left" w:pos="142"/>
        </w:tabs>
        <w:spacing w:before="120" w:after="120" w:line="276" w:lineRule="auto"/>
        <w:ind w:left="284" w:firstLine="567"/>
        <w:jc w:val="both"/>
        <w:rPr>
          <w:rFonts w:ascii="Times New Roman" w:hAnsi="Times New Roman"/>
          <w:sz w:val="24"/>
          <w:szCs w:val="24"/>
        </w:rPr>
      </w:pPr>
      <w:r w:rsidRPr="00C47A3B">
        <w:rPr>
          <w:rFonts w:ascii="Times New Roman" w:hAnsi="Times New Roman"/>
          <w:sz w:val="24"/>
          <w:szCs w:val="24"/>
        </w:rPr>
        <w:t>материнская компания резидента РФ, выступающая гарантом/поручителем по кредитной сделке, заключенной с данным заемщиком,</w:t>
      </w:r>
    </w:p>
    <w:p w:rsidR="00C47A3B" w:rsidRPr="00C47A3B" w:rsidRDefault="00C47A3B" w:rsidP="00416F6B">
      <w:pPr>
        <w:pStyle w:val="a3"/>
        <w:numPr>
          <w:ilvl w:val="0"/>
          <w:numId w:val="22"/>
        </w:numPr>
        <w:tabs>
          <w:tab w:val="left" w:pos="142"/>
        </w:tabs>
        <w:spacing w:before="120" w:after="120" w:line="276" w:lineRule="auto"/>
        <w:ind w:left="284" w:firstLine="567"/>
        <w:jc w:val="both"/>
        <w:rPr>
          <w:rFonts w:ascii="Times New Roman" w:hAnsi="Times New Roman"/>
          <w:sz w:val="24"/>
          <w:szCs w:val="24"/>
        </w:rPr>
      </w:pPr>
      <w:r w:rsidRPr="00C47A3B">
        <w:rPr>
          <w:rFonts w:ascii="Times New Roman" w:hAnsi="Times New Roman"/>
          <w:sz w:val="24"/>
          <w:szCs w:val="24"/>
        </w:rPr>
        <w:t>холдинговая компания Группы, основной бизнес которой осуществляется на территории РФ,</w:t>
      </w:r>
    </w:p>
    <w:p w:rsidR="00C47A3B" w:rsidRPr="00C47A3B" w:rsidRDefault="00C47A3B" w:rsidP="00416F6B">
      <w:pPr>
        <w:pStyle w:val="a3"/>
        <w:numPr>
          <w:ilvl w:val="0"/>
          <w:numId w:val="22"/>
        </w:numPr>
        <w:tabs>
          <w:tab w:val="left" w:pos="142"/>
        </w:tabs>
        <w:spacing w:before="120" w:after="120" w:line="276" w:lineRule="auto"/>
        <w:ind w:left="284" w:firstLine="567"/>
        <w:jc w:val="both"/>
        <w:rPr>
          <w:rFonts w:ascii="Times New Roman" w:hAnsi="Times New Roman"/>
          <w:sz w:val="24"/>
          <w:szCs w:val="24"/>
        </w:rPr>
      </w:pPr>
      <w:r w:rsidRPr="00C47A3B">
        <w:rPr>
          <w:rFonts w:ascii="Times New Roman" w:hAnsi="Times New Roman"/>
          <w:sz w:val="24"/>
          <w:szCs w:val="24"/>
        </w:rPr>
        <w:t>компания Группы (холдинга), в состав которой входит заемщик-резидент РФ, при условии что она выполняет производственную, торговую, управленческую функцию, роль балансодержателя активов или иную специальную роль в Группе (холдинге) и выступает гарантом/поручителем по сделке, заключенной с заемщиком,</w:t>
      </w:r>
    </w:p>
    <w:p w:rsidR="00C47A3B" w:rsidRPr="00C47A3B" w:rsidRDefault="00C47A3B" w:rsidP="00416F6B">
      <w:pPr>
        <w:pStyle w:val="a3"/>
        <w:numPr>
          <w:ilvl w:val="0"/>
          <w:numId w:val="22"/>
        </w:numPr>
        <w:tabs>
          <w:tab w:val="left" w:pos="142"/>
        </w:tabs>
        <w:spacing w:before="120" w:after="120" w:line="276" w:lineRule="auto"/>
        <w:ind w:left="284" w:firstLine="567"/>
        <w:jc w:val="both"/>
        <w:rPr>
          <w:rFonts w:ascii="Times New Roman" w:hAnsi="Times New Roman"/>
          <w:sz w:val="24"/>
          <w:szCs w:val="24"/>
        </w:rPr>
      </w:pPr>
      <w:r w:rsidRPr="00C47A3B">
        <w:rPr>
          <w:rFonts w:ascii="Times New Roman" w:hAnsi="Times New Roman"/>
          <w:sz w:val="24"/>
          <w:szCs w:val="24"/>
        </w:rPr>
        <w:t>организация</w:t>
      </w:r>
      <w:r w:rsidR="00A52930">
        <w:rPr>
          <w:rFonts w:ascii="Times New Roman" w:hAnsi="Times New Roman"/>
          <w:sz w:val="24"/>
          <w:szCs w:val="24"/>
        </w:rPr>
        <w:t>, имеющая</w:t>
      </w:r>
      <w:r w:rsidRPr="00C47A3B">
        <w:rPr>
          <w:rFonts w:ascii="Times New Roman" w:hAnsi="Times New Roman"/>
          <w:sz w:val="24"/>
          <w:szCs w:val="24"/>
        </w:rPr>
        <w:t xml:space="preserve"> обособленное подразделение на территории Российской Федерации (открыто представительство или филиал иностранной организации на территории РФ),</w:t>
      </w:r>
    </w:p>
    <w:p w:rsidR="00C47A3B" w:rsidRPr="00C47A3B" w:rsidRDefault="00C47A3B" w:rsidP="00416F6B">
      <w:pPr>
        <w:pStyle w:val="a3"/>
        <w:numPr>
          <w:ilvl w:val="0"/>
          <w:numId w:val="22"/>
        </w:numPr>
        <w:tabs>
          <w:tab w:val="left" w:pos="142"/>
        </w:tabs>
        <w:spacing w:before="120" w:after="120" w:line="276" w:lineRule="auto"/>
        <w:ind w:left="284" w:firstLine="567"/>
        <w:jc w:val="both"/>
        <w:rPr>
          <w:rFonts w:ascii="Times New Roman" w:hAnsi="Times New Roman"/>
          <w:sz w:val="24"/>
          <w:szCs w:val="24"/>
        </w:rPr>
      </w:pPr>
      <w:r w:rsidRPr="00C47A3B">
        <w:rPr>
          <w:rFonts w:ascii="Times New Roman" w:hAnsi="Times New Roman"/>
          <w:sz w:val="24"/>
          <w:szCs w:val="24"/>
        </w:rPr>
        <w:t>организация</w:t>
      </w:r>
      <w:r w:rsidR="00A52930">
        <w:rPr>
          <w:rFonts w:ascii="Times New Roman" w:hAnsi="Times New Roman"/>
          <w:sz w:val="24"/>
          <w:szCs w:val="24"/>
        </w:rPr>
        <w:t>, имеющая</w:t>
      </w:r>
      <w:r w:rsidRPr="00C47A3B">
        <w:rPr>
          <w:rFonts w:ascii="Times New Roman" w:hAnsi="Times New Roman"/>
          <w:sz w:val="24"/>
          <w:szCs w:val="24"/>
        </w:rPr>
        <w:t xml:space="preserve"> в составе ключевых партнеров как минимум одну организацию-резидента РФ (при этом не имеет значения, являются ли данные лица </w:t>
      </w:r>
      <w:proofErr w:type="spellStart"/>
      <w:r w:rsidRPr="00C47A3B">
        <w:rPr>
          <w:rFonts w:ascii="Times New Roman" w:hAnsi="Times New Roman"/>
          <w:sz w:val="24"/>
          <w:szCs w:val="24"/>
        </w:rPr>
        <w:t>аффилированными</w:t>
      </w:r>
      <w:proofErr w:type="spellEnd"/>
      <w:r w:rsidRPr="00C47A3B">
        <w:rPr>
          <w:rFonts w:ascii="Times New Roman" w:hAnsi="Times New Roman"/>
          <w:sz w:val="24"/>
          <w:szCs w:val="24"/>
        </w:rPr>
        <w:t xml:space="preserve"> по отношению друг к другу). </w:t>
      </w:r>
    </w:p>
    <w:p w:rsidR="00981419" w:rsidRPr="00C45208" w:rsidRDefault="00981419" w:rsidP="000338B0">
      <w:pPr>
        <w:numPr>
          <w:ilvl w:val="0"/>
          <w:numId w:val="1"/>
        </w:numPr>
        <w:spacing w:before="120" w:after="120"/>
        <w:ind w:left="0" w:firstLine="0"/>
        <w:rPr>
          <w:rFonts w:ascii="Times New Roman" w:eastAsia="Times New Roman" w:hAnsi="Times New Roman" w:cs="Times New Roman"/>
          <w:sz w:val="24"/>
          <w:szCs w:val="24"/>
        </w:rPr>
      </w:pPr>
      <w:r w:rsidRPr="00C45208">
        <w:rPr>
          <w:rFonts w:ascii="Times New Roman" w:eastAsia="Times New Roman" w:hAnsi="Times New Roman" w:cs="Times New Roman"/>
          <w:sz w:val="24"/>
          <w:szCs w:val="24"/>
        </w:rPr>
        <w:t xml:space="preserve">Документальное </w:t>
      </w:r>
      <w:r w:rsidR="00CB3A2F" w:rsidRPr="00C45208">
        <w:rPr>
          <w:rFonts w:ascii="Times New Roman" w:eastAsia="Times New Roman" w:hAnsi="Times New Roman" w:cs="Times New Roman"/>
          <w:sz w:val="24"/>
          <w:szCs w:val="24"/>
        </w:rPr>
        <w:t>подтверждение</w:t>
      </w:r>
    </w:p>
    <w:p w:rsidR="00D361F4" w:rsidRPr="00FC02F8" w:rsidRDefault="00D361F4" w:rsidP="00981419">
      <w:pPr>
        <w:pStyle w:val="a3"/>
        <w:spacing w:before="120" w:after="120" w:line="276" w:lineRule="auto"/>
        <w:ind w:firstLine="360"/>
        <w:jc w:val="both"/>
        <w:rPr>
          <w:rFonts w:ascii="Times New Roman" w:hAnsi="Times New Roman"/>
          <w:sz w:val="24"/>
          <w:szCs w:val="24"/>
        </w:rPr>
      </w:pPr>
      <w:r w:rsidRPr="00FC02F8">
        <w:rPr>
          <w:rFonts w:ascii="Times New Roman" w:hAnsi="Times New Roman"/>
          <w:sz w:val="24"/>
          <w:szCs w:val="24"/>
        </w:rPr>
        <w:t xml:space="preserve">Письмом Банка России № 210-Т от 18.12.2014г. определена возможность принятия решения «о </w:t>
      </w:r>
      <w:proofErr w:type="spellStart"/>
      <w:r w:rsidRPr="00FC02F8">
        <w:rPr>
          <w:rFonts w:ascii="Times New Roman" w:hAnsi="Times New Roman"/>
          <w:sz w:val="24"/>
          <w:szCs w:val="24"/>
        </w:rPr>
        <w:t>неухудшении</w:t>
      </w:r>
      <w:proofErr w:type="spellEnd"/>
      <w:r w:rsidRPr="00FC02F8">
        <w:rPr>
          <w:rFonts w:ascii="Times New Roman" w:hAnsi="Times New Roman"/>
          <w:sz w:val="24"/>
          <w:szCs w:val="24"/>
        </w:rPr>
        <w:t xml:space="preserve"> оценки финансового положения заёмщика и (или) качества обслуживания долга с предоставлением в ТУ Банка России обоснования такого решения». При этом Банком Р</w:t>
      </w:r>
      <w:r w:rsidR="00C12D76">
        <w:rPr>
          <w:rFonts w:ascii="Times New Roman" w:hAnsi="Times New Roman"/>
          <w:sz w:val="24"/>
          <w:szCs w:val="24"/>
        </w:rPr>
        <w:t>оссии рекомендовано</w:t>
      </w:r>
      <w:r w:rsidRPr="00FC02F8">
        <w:rPr>
          <w:rFonts w:ascii="Times New Roman" w:hAnsi="Times New Roman"/>
          <w:sz w:val="24"/>
          <w:szCs w:val="24"/>
        </w:rPr>
        <w:t xml:space="preserve"> включать в обоснование решения уполномоченного органа управления (органа) банка документальное подтверждение взаимосвязи между ухудшением финансового положения заёмщика (качества обслуживания долга) и введением ограничительных мер. </w:t>
      </w:r>
    </w:p>
    <w:p w:rsidR="00FD7A7A" w:rsidRPr="00FC02F8" w:rsidRDefault="00D361F4" w:rsidP="001D4E02">
      <w:pPr>
        <w:pStyle w:val="a3"/>
        <w:numPr>
          <w:ilvl w:val="0"/>
          <w:numId w:val="20"/>
        </w:numPr>
        <w:spacing w:before="120" w:after="120" w:line="276" w:lineRule="auto"/>
        <w:ind w:left="142" w:firstLine="567"/>
        <w:jc w:val="both"/>
        <w:rPr>
          <w:rFonts w:ascii="Times New Roman" w:hAnsi="Times New Roman"/>
          <w:sz w:val="24"/>
          <w:szCs w:val="24"/>
        </w:rPr>
      </w:pPr>
      <w:r w:rsidRPr="00FC02F8">
        <w:rPr>
          <w:rFonts w:ascii="Times New Roman" w:hAnsi="Times New Roman"/>
          <w:sz w:val="24"/>
          <w:szCs w:val="24"/>
        </w:rPr>
        <w:t>Какие документы должен предоставить заёмщик в подтверждение взаимосвязи своей деятельности с введением ограничительных мер, если он является субъектом малого и среднего предпринимательства и, соответственно, одним из звеньев какой-либо производственной, торговой или другой цепи и ограничительные меры коснулись его косвенно?</w:t>
      </w:r>
    </w:p>
    <w:p w:rsidR="00C61724" w:rsidRDefault="00D361F4" w:rsidP="001D4E02">
      <w:pPr>
        <w:pStyle w:val="a3"/>
        <w:numPr>
          <w:ilvl w:val="0"/>
          <w:numId w:val="20"/>
        </w:numPr>
        <w:spacing w:before="120" w:after="120" w:line="276" w:lineRule="auto"/>
        <w:ind w:left="142" w:firstLine="567"/>
        <w:jc w:val="both"/>
        <w:rPr>
          <w:rFonts w:ascii="Times New Roman" w:hAnsi="Times New Roman"/>
          <w:sz w:val="24"/>
          <w:szCs w:val="24"/>
        </w:rPr>
      </w:pPr>
      <w:r w:rsidRPr="00FC02F8">
        <w:rPr>
          <w:rFonts w:ascii="Times New Roman" w:hAnsi="Times New Roman"/>
          <w:sz w:val="24"/>
          <w:szCs w:val="24"/>
        </w:rPr>
        <w:t>Достаточно ли в качестве документального подтверждения будет</w:t>
      </w:r>
      <w:r w:rsidR="000B545E" w:rsidRPr="00BB39CE">
        <w:rPr>
          <w:rFonts w:ascii="Times New Roman" w:hAnsi="Times New Roman"/>
          <w:sz w:val="24"/>
          <w:szCs w:val="24"/>
        </w:rPr>
        <w:t xml:space="preserve"> заверенных надлежащим образом копии контрактов (договоров), реестры платежей до введения ограничительных мер и после введения ограничительных мер, </w:t>
      </w:r>
      <w:r w:rsidRPr="00FC02F8">
        <w:rPr>
          <w:rFonts w:ascii="Times New Roman" w:hAnsi="Times New Roman"/>
          <w:sz w:val="24"/>
          <w:szCs w:val="24"/>
        </w:rPr>
        <w:t xml:space="preserve">расшифровок просроченной </w:t>
      </w:r>
      <w:r w:rsidR="00DF579E">
        <w:rPr>
          <w:rFonts w:ascii="Times New Roman" w:hAnsi="Times New Roman"/>
          <w:sz w:val="24"/>
          <w:szCs w:val="24"/>
        </w:rPr>
        <w:t>дебиторской</w:t>
      </w:r>
      <w:r w:rsidR="00FE41DF">
        <w:rPr>
          <w:rFonts w:ascii="Times New Roman" w:hAnsi="Times New Roman"/>
          <w:sz w:val="24"/>
          <w:szCs w:val="24"/>
        </w:rPr>
        <w:t xml:space="preserve"> </w:t>
      </w:r>
      <w:r w:rsidRPr="00FC02F8">
        <w:rPr>
          <w:rFonts w:ascii="Times New Roman" w:hAnsi="Times New Roman"/>
          <w:sz w:val="24"/>
          <w:szCs w:val="24"/>
        </w:rPr>
        <w:t>задолженности, письма от акционера о невозможности в текущем моменте оказывать финансовую помощь</w:t>
      </w:r>
      <w:r w:rsidR="000B545E" w:rsidRPr="00BB39CE">
        <w:rPr>
          <w:rFonts w:ascii="Times New Roman" w:hAnsi="Times New Roman"/>
          <w:sz w:val="24"/>
          <w:szCs w:val="24"/>
        </w:rPr>
        <w:t>, а также иные, аналогичные по сути документы</w:t>
      </w:r>
      <w:r w:rsidRPr="00FC02F8">
        <w:rPr>
          <w:rFonts w:ascii="Times New Roman" w:hAnsi="Times New Roman"/>
          <w:sz w:val="24"/>
          <w:szCs w:val="24"/>
        </w:rPr>
        <w:t>?</w:t>
      </w:r>
    </w:p>
    <w:p w:rsidR="00DF579E" w:rsidRPr="00DF579E" w:rsidRDefault="00DF579E" w:rsidP="001D4E02">
      <w:pPr>
        <w:pStyle w:val="a3"/>
        <w:numPr>
          <w:ilvl w:val="0"/>
          <w:numId w:val="20"/>
        </w:numPr>
        <w:spacing w:before="120" w:after="120" w:line="276" w:lineRule="auto"/>
        <w:ind w:left="142" w:firstLine="567"/>
        <w:jc w:val="both"/>
        <w:rPr>
          <w:rFonts w:ascii="Times New Roman" w:hAnsi="Times New Roman"/>
          <w:sz w:val="24"/>
          <w:szCs w:val="24"/>
        </w:rPr>
      </w:pPr>
      <w:r w:rsidRPr="00DF579E">
        <w:rPr>
          <w:rFonts w:ascii="Times New Roman" w:hAnsi="Times New Roman"/>
          <w:sz w:val="24"/>
          <w:szCs w:val="24"/>
        </w:rPr>
        <w:t xml:space="preserve">Что понимается под документальным подтверждением взаимосвязи между ухудшением финансового положения заемщика (контрагента) и введением ограничительных мер в случае, когда ухудшение финансового состояния обусловлено ухудшением финансового климата и сокращением инвестиций в основной капитал, общим снижением экономической активности и ослаблением обменного курса. Например, в случае получения заемщиком (контрагентом) убытка от переоценки валютных обязательств в условиях девальвации рубля, является ли информация о размере эффекта от курсовых </w:t>
      </w:r>
      <w:proofErr w:type="spellStart"/>
      <w:r w:rsidRPr="00DF579E">
        <w:rPr>
          <w:rFonts w:ascii="Times New Roman" w:hAnsi="Times New Roman"/>
          <w:sz w:val="24"/>
          <w:szCs w:val="24"/>
        </w:rPr>
        <w:t>разниц</w:t>
      </w:r>
      <w:proofErr w:type="spellEnd"/>
      <w:r w:rsidRPr="00DF579E">
        <w:rPr>
          <w:rFonts w:ascii="Times New Roman" w:hAnsi="Times New Roman"/>
          <w:sz w:val="24"/>
          <w:szCs w:val="24"/>
        </w:rPr>
        <w:t xml:space="preserve"> на финансовый результат деятельности компании достаточной для подтверждения взаимосвязи между ухудшением финансового положения и введением ограничительных мер. </w:t>
      </w:r>
    </w:p>
    <w:p w:rsidR="00D361F4" w:rsidRPr="00C61724" w:rsidRDefault="00D361F4" w:rsidP="001D4E02">
      <w:pPr>
        <w:pStyle w:val="a3"/>
        <w:numPr>
          <w:ilvl w:val="0"/>
          <w:numId w:val="20"/>
        </w:numPr>
        <w:spacing w:before="120" w:after="120" w:line="276" w:lineRule="auto"/>
        <w:ind w:left="142" w:firstLine="567"/>
        <w:jc w:val="both"/>
        <w:rPr>
          <w:rFonts w:ascii="Times New Roman" w:hAnsi="Times New Roman"/>
          <w:sz w:val="24"/>
          <w:szCs w:val="24"/>
        </w:rPr>
      </w:pPr>
      <w:r w:rsidRPr="00DF579E">
        <w:rPr>
          <w:rFonts w:ascii="Times New Roman" w:hAnsi="Times New Roman"/>
          <w:sz w:val="24"/>
          <w:szCs w:val="24"/>
        </w:rPr>
        <w:t>Также просим пояснить, необходимо ли направлять обоснование принятого решения в ТУ Банка России, или, в соответствии с п.3.10 Положения Банка России № 254-П, банк «включает в досье заёмщика документально оформленное решение», а «информацию о принятии такого решения предоставляет одновременно с отчётом по форме 0409115»?</w:t>
      </w:r>
    </w:p>
    <w:p w:rsidR="00FC25B6" w:rsidRDefault="00FC25B6" w:rsidP="000338B0">
      <w:pPr>
        <w:numPr>
          <w:ilvl w:val="0"/>
          <w:numId w:val="1"/>
        </w:numPr>
        <w:spacing w:before="120" w:after="120"/>
        <w:ind w:left="0" w:firstLine="0"/>
        <w:rPr>
          <w:rFonts w:ascii="Times New Roman" w:eastAsia="Times New Roman" w:hAnsi="Times New Roman" w:cs="Times New Roman"/>
          <w:sz w:val="24"/>
          <w:szCs w:val="24"/>
        </w:rPr>
      </w:pPr>
      <w:r w:rsidRPr="000338B0">
        <w:rPr>
          <w:rFonts w:ascii="Times New Roman" w:eastAsia="Times New Roman" w:hAnsi="Times New Roman" w:cs="Times New Roman"/>
          <w:sz w:val="24"/>
          <w:szCs w:val="24"/>
        </w:rPr>
        <w:t>Если после принятия уполномоченным органом банка решения о</w:t>
      </w:r>
      <w:r w:rsidR="008B7800" w:rsidRPr="000338B0">
        <w:rPr>
          <w:rFonts w:ascii="Times New Roman" w:eastAsia="Times New Roman" w:hAnsi="Times New Roman" w:cs="Times New Roman"/>
          <w:sz w:val="24"/>
          <w:szCs w:val="24"/>
        </w:rPr>
        <w:t xml:space="preserve"> </w:t>
      </w:r>
      <w:proofErr w:type="spellStart"/>
      <w:r w:rsidRPr="000338B0">
        <w:rPr>
          <w:rFonts w:ascii="Times New Roman" w:eastAsia="Times New Roman" w:hAnsi="Times New Roman" w:cs="Times New Roman"/>
          <w:sz w:val="24"/>
          <w:szCs w:val="24"/>
        </w:rPr>
        <w:t>неухудшении</w:t>
      </w:r>
      <w:proofErr w:type="spellEnd"/>
      <w:r w:rsidRPr="000338B0">
        <w:rPr>
          <w:rFonts w:ascii="Times New Roman" w:eastAsia="Times New Roman" w:hAnsi="Times New Roman" w:cs="Times New Roman"/>
          <w:sz w:val="24"/>
          <w:szCs w:val="24"/>
        </w:rPr>
        <w:t xml:space="preserve"> оценки финансового положения заемщика вследствие</w:t>
      </w:r>
      <w:r w:rsidR="008B7800" w:rsidRPr="000338B0">
        <w:rPr>
          <w:rFonts w:ascii="Times New Roman" w:eastAsia="Times New Roman" w:hAnsi="Times New Roman" w:cs="Times New Roman"/>
          <w:sz w:val="24"/>
          <w:szCs w:val="24"/>
        </w:rPr>
        <w:t xml:space="preserve"> </w:t>
      </w:r>
      <w:r w:rsidRPr="000338B0">
        <w:rPr>
          <w:rFonts w:ascii="Times New Roman" w:eastAsia="Times New Roman" w:hAnsi="Times New Roman" w:cs="Times New Roman"/>
          <w:sz w:val="24"/>
          <w:szCs w:val="24"/>
        </w:rPr>
        <w:t>обстоятельств, обусловленных введением ограничительных политических</w:t>
      </w:r>
      <w:r w:rsidR="008B7800" w:rsidRPr="000338B0">
        <w:rPr>
          <w:rFonts w:ascii="Times New Roman" w:eastAsia="Times New Roman" w:hAnsi="Times New Roman" w:cs="Times New Roman"/>
          <w:sz w:val="24"/>
          <w:szCs w:val="24"/>
        </w:rPr>
        <w:t xml:space="preserve"> </w:t>
      </w:r>
      <w:r w:rsidRPr="000338B0">
        <w:rPr>
          <w:rFonts w:ascii="Times New Roman" w:eastAsia="Times New Roman" w:hAnsi="Times New Roman" w:cs="Times New Roman"/>
          <w:sz w:val="24"/>
          <w:szCs w:val="24"/>
        </w:rPr>
        <w:t>и экономических мер, имели место дополнительные факты, изложенные в</w:t>
      </w:r>
      <w:r w:rsidR="008B7800" w:rsidRPr="000338B0">
        <w:rPr>
          <w:rFonts w:ascii="Times New Roman" w:eastAsia="Times New Roman" w:hAnsi="Times New Roman" w:cs="Times New Roman"/>
          <w:sz w:val="24"/>
          <w:szCs w:val="24"/>
        </w:rPr>
        <w:t xml:space="preserve"> </w:t>
      </w:r>
      <w:r w:rsidRPr="000338B0">
        <w:rPr>
          <w:rFonts w:ascii="Times New Roman" w:eastAsia="Times New Roman" w:hAnsi="Times New Roman" w:cs="Times New Roman"/>
          <w:sz w:val="24"/>
          <w:szCs w:val="24"/>
        </w:rPr>
        <w:t>и. 3.4. Положения 254-П и требующие дальнейшего ухудшения оценки</w:t>
      </w:r>
      <w:r w:rsidR="008B7800" w:rsidRPr="000338B0">
        <w:rPr>
          <w:rFonts w:ascii="Times New Roman" w:eastAsia="Times New Roman" w:hAnsi="Times New Roman" w:cs="Times New Roman"/>
          <w:sz w:val="24"/>
          <w:szCs w:val="24"/>
        </w:rPr>
        <w:t xml:space="preserve"> </w:t>
      </w:r>
      <w:r w:rsidRPr="000338B0">
        <w:rPr>
          <w:rFonts w:ascii="Times New Roman" w:eastAsia="Times New Roman" w:hAnsi="Times New Roman" w:cs="Times New Roman"/>
          <w:sz w:val="24"/>
          <w:szCs w:val="24"/>
        </w:rPr>
        <w:t>финансового положения (например, существенная но размеру ка</w:t>
      </w:r>
      <w:r w:rsidR="008B7800" w:rsidRPr="000338B0">
        <w:rPr>
          <w:rFonts w:ascii="Times New Roman" w:eastAsia="Times New Roman" w:hAnsi="Times New Roman" w:cs="Times New Roman"/>
          <w:sz w:val="24"/>
          <w:szCs w:val="24"/>
        </w:rPr>
        <w:t xml:space="preserve">ртотека неоплаченных расчетных документов к </w:t>
      </w:r>
      <w:r w:rsidRPr="000338B0">
        <w:rPr>
          <w:rFonts w:ascii="Times New Roman" w:eastAsia="Times New Roman" w:hAnsi="Times New Roman" w:cs="Times New Roman"/>
          <w:sz w:val="24"/>
          <w:szCs w:val="24"/>
        </w:rPr>
        <w:t>бан</w:t>
      </w:r>
      <w:r w:rsidR="008B7800" w:rsidRPr="000338B0">
        <w:rPr>
          <w:rFonts w:ascii="Times New Roman" w:eastAsia="Times New Roman" w:hAnsi="Times New Roman" w:cs="Times New Roman"/>
          <w:sz w:val="24"/>
          <w:szCs w:val="24"/>
        </w:rPr>
        <w:t xml:space="preserve">ковским счетам </w:t>
      </w:r>
      <w:r w:rsidRPr="000338B0">
        <w:rPr>
          <w:rFonts w:ascii="Times New Roman" w:eastAsia="Times New Roman" w:hAnsi="Times New Roman" w:cs="Times New Roman"/>
          <w:sz w:val="24"/>
          <w:szCs w:val="24"/>
        </w:rPr>
        <w:t>заемщика) является ли необходимым повторное решение уполномоченного органа?</w:t>
      </w:r>
    </w:p>
    <w:p w:rsidR="00EA612D" w:rsidRPr="00EA612D" w:rsidRDefault="00EA612D" w:rsidP="00EA612D">
      <w:pPr>
        <w:spacing w:before="120" w:after="120"/>
        <w:ind w:firstLine="0"/>
        <w:rPr>
          <w:rFonts w:ascii="Times New Roman" w:eastAsia="Times New Roman" w:hAnsi="Times New Roman" w:cs="Times New Roman"/>
          <w:sz w:val="16"/>
          <w:szCs w:val="16"/>
        </w:rPr>
      </w:pPr>
    </w:p>
    <w:p w:rsidR="009A762C" w:rsidRPr="000338B0" w:rsidRDefault="00D361F4" w:rsidP="000338B0">
      <w:pPr>
        <w:numPr>
          <w:ilvl w:val="0"/>
          <w:numId w:val="1"/>
        </w:numPr>
        <w:spacing w:before="120" w:after="120"/>
        <w:ind w:left="0" w:firstLine="0"/>
        <w:rPr>
          <w:rFonts w:ascii="Times New Roman" w:eastAsia="Times New Roman" w:hAnsi="Times New Roman" w:cs="Times New Roman"/>
          <w:sz w:val="24"/>
          <w:szCs w:val="24"/>
        </w:rPr>
      </w:pPr>
      <w:r w:rsidRPr="00FC02F8">
        <w:rPr>
          <w:rFonts w:ascii="Times New Roman" w:eastAsia="Times New Roman" w:hAnsi="Times New Roman" w:cs="Times New Roman"/>
          <w:sz w:val="24"/>
          <w:szCs w:val="24"/>
        </w:rPr>
        <w:t xml:space="preserve">Достаточно ли одного Генерального решения Уполномоченного органа </w:t>
      </w:r>
      <w:r w:rsidR="00B7455D">
        <w:rPr>
          <w:rFonts w:ascii="Times New Roman" w:eastAsia="Times New Roman" w:hAnsi="Times New Roman" w:cs="Times New Roman"/>
          <w:sz w:val="24"/>
          <w:szCs w:val="24"/>
        </w:rPr>
        <w:t>кредитной организации</w:t>
      </w:r>
      <w:r w:rsidRPr="00FC02F8">
        <w:rPr>
          <w:rFonts w:ascii="Times New Roman" w:eastAsia="Times New Roman" w:hAnsi="Times New Roman" w:cs="Times New Roman"/>
          <w:sz w:val="24"/>
          <w:szCs w:val="24"/>
        </w:rPr>
        <w:t xml:space="preserve"> для ссуд, которые подпадают под действие писем 209-Т и 210-Т по определенным признакам с документальным подтверждением по аналогии с ссудами, по которым деятельность Заемщиков признается реальной?</w:t>
      </w:r>
    </w:p>
    <w:p w:rsidR="00FC02F8" w:rsidRDefault="00FC02F8" w:rsidP="000338B0">
      <w:pPr>
        <w:numPr>
          <w:ilvl w:val="0"/>
          <w:numId w:val="1"/>
        </w:numPr>
        <w:spacing w:before="120" w:after="120"/>
        <w:ind w:left="0" w:firstLine="0"/>
        <w:rPr>
          <w:rFonts w:ascii="Times New Roman" w:eastAsia="Times New Roman" w:hAnsi="Times New Roman" w:cs="Times New Roman"/>
          <w:sz w:val="24"/>
          <w:szCs w:val="24"/>
        </w:rPr>
      </w:pPr>
      <w:r w:rsidRPr="000338B0">
        <w:rPr>
          <w:rFonts w:ascii="Times New Roman" w:eastAsia="Times New Roman" w:hAnsi="Times New Roman" w:cs="Times New Roman"/>
          <w:sz w:val="24"/>
          <w:szCs w:val="24"/>
        </w:rPr>
        <w:t>Распространяются ли подходы, изложенные в письмах Банка России №209-Т и 210-Т, на ссуды, сгруппированные в портфели однородных ссуд, предоставленные как физическим, так и юридическим лицам? В том случае, если ссуды, сгруппированные в портфели однородных ссуд, возможно классифицировать в соответствии с указанными документами Банка России, просим уточнить алгоритм такой классификации.</w:t>
      </w:r>
    </w:p>
    <w:p w:rsidR="00C61724" w:rsidRPr="000338B0" w:rsidRDefault="00FC02F8" w:rsidP="000338B0">
      <w:pPr>
        <w:numPr>
          <w:ilvl w:val="0"/>
          <w:numId w:val="1"/>
        </w:numPr>
        <w:spacing w:before="120" w:after="120"/>
        <w:ind w:left="0" w:firstLine="0"/>
        <w:rPr>
          <w:rFonts w:ascii="Times New Roman" w:eastAsia="Times New Roman" w:hAnsi="Times New Roman" w:cs="Times New Roman"/>
          <w:sz w:val="24"/>
          <w:szCs w:val="24"/>
        </w:rPr>
      </w:pPr>
      <w:r w:rsidRPr="000338B0">
        <w:rPr>
          <w:rFonts w:ascii="Times New Roman" w:eastAsia="Times New Roman" w:hAnsi="Times New Roman" w:cs="Times New Roman"/>
          <w:sz w:val="24"/>
          <w:szCs w:val="24"/>
        </w:rPr>
        <w:t xml:space="preserve">Указанием Банка России от 18.12.2014 года №3496-У срок, в течение которого кредитные организации вправе не увеличивать размер фактически сформированного резерва по ссудам физических лиц или индивидуальных предпринимателей, а также ссудам юридических лиц, финансовое положение и (или) качество обслуживания долга и (или) качество обеспечения по ссудам которых ухудшилось вследствие возникновения чрезвычайной ситуации, увеличен с года до двух. При этом, срок, в течение которого кредитные организации </w:t>
      </w:r>
      <w:r w:rsidR="007F171F">
        <w:rPr>
          <w:rFonts w:ascii="Times New Roman" w:eastAsia="Times New Roman" w:hAnsi="Times New Roman" w:cs="Times New Roman"/>
          <w:sz w:val="24"/>
          <w:szCs w:val="24"/>
        </w:rPr>
        <w:t>в</w:t>
      </w:r>
      <w:r w:rsidRPr="000338B0">
        <w:rPr>
          <w:rFonts w:ascii="Times New Roman" w:eastAsia="Times New Roman" w:hAnsi="Times New Roman" w:cs="Times New Roman"/>
          <w:sz w:val="24"/>
          <w:szCs w:val="24"/>
        </w:rPr>
        <w:t>праве не исключать такие ссуды из ранее сформированных портфелей, не изменилс</w:t>
      </w:r>
      <w:r w:rsidR="00B7455D">
        <w:rPr>
          <w:rFonts w:ascii="Times New Roman" w:eastAsia="Times New Roman" w:hAnsi="Times New Roman" w:cs="Times New Roman"/>
          <w:sz w:val="24"/>
          <w:szCs w:val="24"/>
        </w:rPr>
        <w:t>я и составляет 1 год. Имеет ли б</w:t>
      </w:r>
      <w:r w:rsidRPr="000338B0">
        <w:rPr>
          <w:rFonts w:ascii="Times New Roman" w:eastAsia="Times New Roman" w:hAnsi="Times New Roman" w:cs="Times New Roman"/>
          <w:sz w:val="24"/>
          <w:szCs w:val="24"/>
        </w:rPr>
        <w:t xml:space="preserve">анк право, руководствуясь возможностью </w:t>
      </w:r>
      <w:proofErr w:type="spellStart"/>
      <w:r w:rsidRPr="000338B0">
        <w:rPr>
          <w:rFonts w:ascii="Times New Roman" w:eastAsia="Times New Roman" w:hAnsi="Times New Roman" w:cs="Times New Roman"/>
          <w:sz w:val="24"/>
          <w:szCs w:val="24"/>
        </w:rPr>
        <w:t>неувеличения</w:t>
      </w:r>
      <w:proofErr w:type="spellEnd"/>
      <w:r w:rsidRPr="000338B0">
        <w:rPr>
          <w:rFonts w:ascii="Times New Roman" w:eastAsia="Times New Roman" w:hAnsi="Times New Roman" w:cs="Times New Roman"/>
          <w:sz w:val="24"/>
          <w:szCs w:val="24"/>
        </w:rPr>
        <w:t xml:space="preserve"> размера фактически сформированного резерва, предусмотренной Указанием №3496-У, не выводить рассматриваемые ссуды из сформированных портфелей однородных ссуд в течение двух лет с сохранением ссуды в портфеле со сроком просроченных платежей, соответствующим  сроку просрочки по ссуде на дату возникновения чрезвычайной ситуации, т.е., по сути, с сохранением размера фактически сформированного резерва в течение двух лет?</w:t>
      </w:r>
      <w:r w:rsidR="00C61724" w:rsidRPr="000338B0">
        <w:rPr>
          <w:rFonts w:ascii="Times New Roman" w:eastAsia="Times New Roman" w:hAnsi="Times New Roman" w:cs="Times New Roman"/>
          <w:sz w:val="24"/>
          <w:szCs w:val="24"/>
        </w:rPr>
        <w:t xml:space="preserve"> </w:t>
      </w:r>
    </w:p>
    <w:p w:rsidR="00BB39CE" w:rsidRPr="007F171F" w:rsidRDefault="00BB39CE" w:rsidP="000338B0">
      <w:pPr>
        <w:numPr>
          <w:ilvl w:val="0"/>
          <w:numId w:val="1"/>
        </w:numPr>
        <w:spacing w:before="120" w:after="120"/>
        <w:ind w:left="0" w:firstLine="0"/>
        <w:rPr>
          <w:rFonts w:ascii="Times New Roman" w:eastAsia="Times New Roman" w:hAnsi="Times New Roman" w:cs="Times New Roman"/>
          <w:sz w:val="24"/>
          <w:szCs w:val="24"/>
        </w:rPr>
      </w:pPr>
      <w:r w:rsidRPr="007F171F">
        <w:rPr>
          <w:rFonts w:ascii="Times New Roman" w:eastAsia="Times New Roman" w:hAnsi="Times New Roman" w:cs="Times New Roman"/>
          <w:sz w:val="24"/>
          <w:szCs w:val="24"/>
        </w:rPr>
        <w:t xml:space="preserve">Рейтинги: </w:t>
      </w:r>
    </w:p>
    <w:p w:rsidR="00BB39CE" w:rsidRDefault="000338B0" w:rsidP="000338B0">
      <w:pPr>
        <w:spacing w:before="120" w:after="120"/>
        <w:ind w:firstLine="708"/>
        <w:rPr>
          <w:rFonts w:ascii="Times New Roman" w:hAnsi="Times New Roman" w:cs="Times New Roman"/>
          <w:sz w:val="24"/>
          <w:szCs w:val="24"/>
        </w:rPr>
      </w:pPr>
      <w:r>
        <w:rPr>
          <w:rFonts w:ascii="Times New Roman" w:hAnsi="Times New Roman" w:cs="Times New Roman"/>
          <w:sz w:val="24"/>
          <w:szCs w:val="24"/>
        </w:rPr>
        <w:t>1</w:t>
      </w:r>
      <w:r w:rsidR="00EA612D">
        <w:rPr>
          <w:rFonts w:ascii="Times New Roman" w:hAnsi="Times New Roman" w:cs="Times New Roman"/>
          <w:sz w:val="24"/>
          <w:szCs w:val="24"/>
        </w:rPr>
        <w:t>5</w:t>
      </w:r>
      <w:r>
        <w:rPr>
          <w:rFonts w:ascii="Times New Roman" w:hAnsi="Times New Roman" w:cs="Times New Roman"/>
          <w:sz w:val="24"/>
          <w:szCs w:val="24"/>
        </w:rPr>
        <w:t>.1.</w:t>
      </w:r>
      <w:r w:rsidR="00B7455D">
        <w:rPr>
          <w:rFonts w:ascii="Times New Roman" w:hAnsi="Times New Roman" w:cs="Times New Roman"/>
          <w:sz w:val="24"/>
          <w:szCs w:val="24"/>
        </w:rPr>
        <w:t>Кредитная организация</w:t>
      </w:r>
      <w:r w:rsidR="00BB39CE" w:rsidRPr="00BB39CE">
        <w:rPr>
          <w:rFonts w:ascii="Times New Roman" w:hAnsi="Times New Roman" w:cs="Times New Roman"/>
          <w:sz w:val="24"/>
          <w:szCs w:val="24"/>
        </w:rPr>
        <w:t xml:space="preserve"> просит подтвердить правомерность применения следующего подхода в отношении использования рейтингов кредитоспособности, определенных в соответствии с Указанием №3453-У от 25.12.2014 (далее – Указание), в целях применения Положения № 254-П от 26.03.2004 «О порядке формирования кредитными организациями резервов на возможные потери по ссудам, по ссудной и приравненной к ней задолженности» (далее – Положение 254-П):</w:t>
      </w:r>
    </w:p>
    <w:p w:rsidR="00BB39CE" w:rsidRDefault="00BB39CE" w:rsidP="00FE41DF">
      <w:pPr>
        <w:pStyle w:val="a3"/>
        <w:numPr>
          <w:ilvl w:val="0"/>
          <w:numId w:val="21"/>
        </w:numPr>
        <w:spacing w:before="120" w:after="120" w:line="276" w:lineRule="auto"/>
        <w:ind w:left="426" w:firstLine="567"/>
        <w:jc w:val="both"/>
        <w:rPr>
          <w:rFonts w:ascii="Times New Roman" w:hAnsi="Times New Roman"/>
          <w:sz w:val="24"/>
          <w:szCs w:val="24"/>
        </w:rPr>
      </w:pPr>
      <w:r w:rsidRPr="0051329C">
        <w:rPr>
          <w:rFonts w:ascii="Times New Roman" w:hAnsi="Times New Roman"/>
          <w:sz w:val="24"/>
          <w:szCs w:val="24"/>
        </w:rPr>
        <w:t>Банк полагает, что применение рейтингов кредитоспособности на дату рейтинга</w:t>
      </w:r>
      <w:r w:rsidR="00090749">
        <w:rPr>
          <w:rStyle w:val="a8"/>
          <w:rFonts w:ascii="Times New Roman" w:hAnsi="Times New Roman"/>
          <w:sz w:val="24"/>
          <w:szCs w:val="24"/>
        </w:rPr>
        <w:footnoteReference w:id="1"/>
      </w:r>
      <w:r w:rsidR="00090749">
        <w:rPr>
          <w:rFonts w:ascii="Times New Roman" w:hAnsi="Times New Roman"/>
          <w:sz w:val="24"/>
          <w:szCs w:val="24"/>
        </w:rPr>
        <w:t xml:space="preserve"> </w:t>
      </w:r>
      <w:r w:rsidRPr="0051329C">
        <w:rPr>
          <w:rFonts w:ascii="Times New Roman" w:hAnsi="Times New Roman"/>
          <w:sz w:val="24"/>
          <w:szCs w:val="24"/>
        </w:rPr>
        <w:t xml:space="preserve">является правом, а не обязанностью кредитной организации, поэтому </w:t>
      </w:r>
      <w:r w:rsidR="00B7455D">
        <w:rPr>
          <w:rFonts w:ascii="Times New Roman" w:hAnsi="Times New Roman"/>
          <w:sz w:val="24"/>
          <w:szCs w:val="24"/>
        </w:rPr>
        <w:t>б</w:t>
      </w:r>
      <w:r w:rsidRPr="0051329C">
        <w:rPr>
          <w:rFonts w:ascii="Times New Roman" w:hAnsi="Times New Roman"/>
          <w:sz w:val="24"/>
          <w:szCs w:val="24"/>
        </w:rPr>
        <w:t>анк вправе использовать</w:t>
      </w:r>
      <w:r w:rsidRPr="00BB39CE">
        <w:rPr>
          <w:rFonts w:ascii="Times New Roman" w:hAnsi="Times New Roman"/>
          <w:sz w:val="24"/>
          <w:szCs w:val="24"/>
        </w:rPr>
        <w:t xml:space="preserve"> рейтинги кредитоспособности компаний, присвоенные рейтинговыми агентствами на текущую дату, как в отношении кредитного портфеля в целом, так и в отношении отдельных клиентов.</w:t>
      </w:r>
    </w:p>
    <w:p w:rsidR="0051329C" w:rsidRDefault="00BB39CE" w:rsidP="00FE41DF">
      <w:pPr>
        <w:pStyle w:val="a3"/>
        <w:numPr>
          <w:ilvl w:val="0"/>
          <w:numId w:val="21"/>
        </w:numPr>
        <w:spacing w:before="120" w:after="120" w:line="276" w:lineRule="auto"/>
        <w:ind w:left="426" w:firstLine="567"/>
        <w:jc w:val="both"/>
        <w:rPr>
          <w:rFonts w:ascii="Times New Roman" w:hAnsi="Times New Roman"/>
          <w:sz w:val="24"/>
          <w:szCs w:val="24"/>
        </w:rPr>
      </w:pPr>
      <w:r w:rsidRPr="0051329C">
        <w:rPr>
          <w:rFonts w:ascii="Times New Roman" w:hAnsi="Times New Roman"/>
          <w:sz w:val="24"/>
          <w:szCs w:val="24"/>
        </w:rPr>
        <w:t>Если к</w:t>
      </w:r>
      <w:r w:rsidR="00B7455D">
        <w:rPr>
          <w:rFonts w:ascii="Times New Roman" w:hAnsi="Times New Roman"/>
          <w:sz w:val="24"/>
          <w:szCs w:val="24"/>
        </w:rPr>
        <w:t>лиенту б</w:t>
      </w:r>
      <w:r w:rsidRPr="0051329C">
        <w:rPr>
          <w:rFonts w:ascii="Times New Roman" w:hAnsi="Times New Roman"/>
          <w:sz w:val="24"/>
          <w:szCs w:val="24"/>
        </w:rPr>
        <w:t xml:space="preserve">анка присвоены рейтинги в трех международных рейтинговых агентствах, </w:t>
      </w:r>
      <w:r w:rsidR="00B7455D">
        <w:rPr>
          <w:rFonts w:ascii="Times New Roman" w:hAnsi="Times New Roman"/>
          <w:sz w:val="24"/>
          <w:szCs w:val="24"/>
        </w:rPr>
        <w:t>б</w:t>
      </w:r>
      <w:r w:rsidRPr="0051329C">
        <w:rPr>
          <w:rFonts w:ascii="Times New Roman" w:hAnsi="Times New Roman"/>
          <w:sz w:val="24"/>
          <w:szCs w:val="24"/>
        </w:rPr>
        <w:t>анк вправе одновременно в рамках одного клиента учитывать рейтинги кредитоспособности, определенные как с учетом, так и без учета норм Указания:</w:t>
      </w:r>
      <w:r w:rsidR="0051329C" w:rsidRPr="0051329C">
        <w:rPr>
          <w:rFonts w:ascii="Times New Roman" w:hAnsi="Times New Roman"/>
          <w:sz w:val="24"/>
          <w:szCs w:val="24"/>
        </w:rPr>
        <w:t xml:space="preserve"> </w:t>
      </w:r>
    </w:p>
    <w:p w:rsidR="0051329C" w:rsidRDefault="00BB39CE" w:rsidP="00FE41DF">
      <w:pPr>
        <w:pStyle w:val="a3"/>
        <w:autoSpaceDE w:val="0"/>
        <w:autoSpaceDN w:val="0"/>
        <w:adjustRightInd w:val="0"/>
        <w:spacing w:before="120" w:after="120"/>
        <w:ind w:left="426"/>
        <w:jc w:val="both"/>
        <w:rPr>
          <w:rFonts w:ascii="Times New Roman" w:hAnsi="Times New Roman"/>
          <w:sz w:val="24"/>
          <w:szCs w:val="24"/>
        </w:rPr>
      </w:pPr>
      <w:r w:rsidRPr="0051329C">
        <w:rPr>
          <w:rFonts w:ascii="Times New Roman" w:hAnsi="Times New Roman"/>
          <w:sz w:val="24"/>
          <w:szCs w:val="24"/>
        </w:rPr>
        <w:t xml:space="preserve">- рейтинг, присвоенный первым рейтинговым агентством на дату рейтинга, </w:t>
      </w:r>
    </w:p>
    <w:p w:rsidR="0051329C" w:rsidRDefault="00BB39CE" w:rsidP="00FE41DF">
      <w:pPr>
        <w:pStyle w:val="a3"/>
        <w:autoSpaceDE w:val="0"/>
        <w:autoSpaceDN w:val="0"/>
        <w:adjustRightInd w:val="0"/>
        <w:spacing w:before="120" w:after="120"/>
        <w:ind w:left="426"/>
        <w:jc w:val="both"/>
        <w:rPr>
          <w:rFonts w:ascii="Times New Roman" w:hAnsi="Times New Roman"/>
          <w:sz w:val="24"/>
          <w:szCs w:val="24"/>
        </w:rPr>
      </w:pPr>
      <w:r w:rsidRPr="00BB39CE">
        <w:rPr>
          <w:rFonts w:ascii="Times New Roman" w:hAnsi="Times New Roman"/>
          <w:sz w:val="24"/>
          <w:szCs w:val="24"/>
        </w:rPr>
        <w:t>- рейтинг, присвоенный вторым рейтинговым агентством на текущую дату, при условии, что рейтинг кредитоспособности на дату рейтинга не может быть использован в соответствии с п.2 Указания,</w:t>
      </w:r>
    </w:p>
    <w:p w:rsidR="00BB39CE" w:rsidRPr="00BB39CE" w:rsidRDefault="00BB39CE" w:rsidP="00FE41DF">
      <w:pPr>
        <w:pStyle w:val="a3"/>
        <w:autoSpaceDE w:val="0"/>
        <w:autoSpaceDN w:val="0"/>
        <w:adjustRightInd w:val="0"/>
        <w:spacing w:before="120" w:after="120"/>
        <w:ind w:left="426"/>
        <w:jc w:val="both"/>
        <w:rPr>
          <w:rFonts w:ascii="Times New Roman" w:hAnsi="Times New Roman"/>
          <w:sz w:val="24"/>
          <w:szCs w:val="24"/>
        </w:rPr>
      </w:pPr>
      <w:r w:rsidRPr="00BB39CE">
        <w:rPr>
          <w:rFonts w:ascii="Times New Roman" w:hAnsi="Times New Roman"/>
          <w:sz w:val="24"/>
          <w:szCs w:val="24"/>
        </w:rPr>
        <w:t>- рейтинг, присвоенный третьим рейтинговым агентством на текущую дату, при условии, что нормы Указания позволяют использовать рейтинг кредитоспособности на дату рейтинга.</w:t>
      </w:r>
    </w:p>
    <w:p w:rsidR="008B2C1A" w:rsidRDefault="00CA13FC" w:rsidP="00CA13FC">
      <w:pPr>
        <w:spacing w:before="120" w:after="120"/>
        <w:ind w:firstLine="708"/>
        <w:rPr>
          <w:rFonts w:ascii="Times New Roman" w:hAnsi="Times New Roman" w:cs="Times New Roman"/>
          <w:sz w:val="24"/>
          <w:szCs w:val="24"/>
        </w:rPr>
      </w:pPr>
      <w:r>
        <w:rPr>
          <w:rFonts w:ascii="Times New Roman" w:hAnsi="Times New Roman" w:cs="Times New Roman"/>
          <w:sz w:val="24"/>
          <w:szCs w:val="24"/>
        </w:rPr>
        <w:t>1</w:t>
      </w:r>
      <w:r w:rsidR="00EA612D">
        <w:rPr>
          <w:rFonts w:ascii="Times New Roman" w:hAnsi="Times New Roman" w:cs="Times New Roman"/>
          <w:sz w:val="24"/>
          <w:szCs w:val="24"/>
        </w:rPr>
        <w:t>5</w:t>
      </w:r>
      <w:r>
        <w:rPr>
          <w:rFonts w:ascii="Times New Roman" w:hAnsi="Times New Roman" w:cs="Times New Roman"/>
          <w:sz w:val="24"/>
          <w:szCs w:val="24"/>
        </w:rPr>
        <w:t xml:space="preserve">.2. </w:t>
      </w:r>
      <w:r w:rsidR="008B2C1A" w:rsidRPr="00CA13FC">
        <w:rPr>
          <w:rFonts w:ascii="Times New Roman" w:hAnsi="Times New Roman" w:cs="Times New Roman"/>
          <w:sz w:val="24"/>
          <w:szCs w:val="24"/>
        </w:rPr>
        <w:t xml:space="preserve">Вправе ли кредитная организация на основании Указания ЦБ РФ от 25 ноября 2014 г. № 3453-У и Информации Пресс-службы Банка России от 19 января 2015 года «О датах рейтингов кредитоспособности при применении нормативных актов Банка России» при применении внутренних нормативных документов банка по оценке рисков кредитных организаций (в случае, если при оценке, в соответствии с утвержденными в банке внутренними нормативными документами, используются рейтинги кредитоспособности, присвоенные одним из международных рейтинговых агентств </w:t>
      </w:r>
      <w:proofErr w:type="spellStart"/>
      <w:r w:rsidR="008B2C1A" w:rsidRPr="00CA13FC">
        <w:rPr>
          <w:rFonts w:ascii="Times New Roman" w:hAnsi="Times New Roman" w:cs="Times New Roman"/>
          <w:sz w:val="24"/>
          <w:szCs w:val="24"/>
        </w:rPr>
        <w:t>Standard</w:t>
      </w:r>
      <w:proofErr w:type="spellEnd"/>
      <w:r w:rsidR="008B2C1A" w:rsidRPr="00CA13FC">
        <w:rPr>
          <w:rFonts w:ascii="Times New Roman" w:hAnsi="Times New Roman" w:cs="Times New Roman"/>
          <w:sz w:val="24"/>
          <w:szCs w:val="24"/>
        </w:rPr>
        <w:t xml:space="preserve"> &amp; </w:t>
      </w:r>
      <w:proofErr w:type="spellStart"/>
      <w:r w:rsidR="008B2C1A" w:rsidRPr="00CA13FC">
        <w:rPr>
          <w:rFonts w:ascii="Times New Roman" w:hAnsi="Times New Roman" w:cs="Times New Roman"/>
          <w:sz w:val="24"/>
          <w:szCs w:val="24"/>
        </w:rPr>
        <w:t>Poor's</w:t>
      </w:r>
      <w:proofErr w:type="spellEnd"/>
      <w:r w:rsidR="008B2C1A" w:rsidRPr="00CA13FC">
        <w:rPr>
          <w:rFonts w:ascii="Times New Roman" w:hAnsi="Times New Roman" w:cs="Times New Roman"/>
          <w:sz w:val="24"/>
          <w:szCs w:val="24"/>
        </w:rPr>
        <w:t xml:space="preserve">, </w:t>
      </w:r>
      <w:proofErr w:type="spellStart"/>
      <w:r w:rsidR="008B2C1A" w:rsidRPr="00CA13FC">
        <w:rPr>
          <w:rFonts w:ascii="Times New Roman" w:hAnsi="Times New Roman" w:cs="Times New Roman"/>
          <w:sz w:val="24"/>
          <w:szCs w:val="24"/>
        </w:rPr>
        <w:t>Fitch</w:t>
      </w:r>
      <w:proofErr w:type="spellEnd"/>
      <w:r w:rsidR="008B2C1A" w:rsidRPr="00CA13FC">
        <w:rPr>
          <w:rFonts w:ascii="Times New Roman" w:hAnsi="Times New Roman" w:cs="Times New Roman"/>
          <w:sz w:val="24"/>
          <w:szCs w:val="24"/>
        </w:rPr>
        <w:t xml:space="preserve"> </w:t>
      </w:r>
      <w:proofErr w:type="spellStart"/>
      <w:r w:rsidR="008B2C1A" w:rsidRPr="00CA13FC">
        <w:rPr>
          <w:rFonts w:ascii="Times New Roman" w:hAnsi="Times New Roman" w:cs="Times New Roman"/>
          <w:sz w:val="24"/>
          <w:szCs w:val="24"/>
        </w:rPr>
        <w:t>Ratings</w:t>
      </w:r>
      <w:proofErr w:type="spellEnd"/>
      <w:r w:rsidR="008B2C1A" w:rsidRPr="00CA13FC">
        <w:rPr>
          <w:rFonts w:ascii="Times New Roman" w:hAnsi="Times New Roman" w:cs="Times New Roman"/>
          <w:sz w:val="24"/>
          <w:szCs w:val="24"/>
        </w:rPr>
        <w:t xml:space="preserve">, или </w:t>
      </w:r>
      <w:proofErr w:type="spellStart"/>
      <w:r w:rsidR="008B2C1A" w:rsidRPr="00CA13FC">
        <w:rPr>
          <w:rFonts w:ascii="Times New Roman" w:hAnsi="Times New Roman" w:cs="Times New Roman"/>
          <w:sz w:val="24"/>
          <w:szCs w:val="24"/>
        </w:rPr>
        <w:t>Moody's</w:t>
      </w:r>
      <w:proofErr w:type="spellEnd"/>
      <w:r w:rsidR="008B2C1A" w:rsidRPr="00CA13FC">
        <w:rPr>
          <w:rFonts w:ascii="Times New Roman" w:hAnsi="Times New Roman" w:cs="Times New Roman"/>
          <w:sz w:val="24"/>
          <w:szCs w:val="24"/>
        </w:rPr>
        <w:t xml:space="preserve"> </w:t>
      </w:r>
      <w:proofErr w:type="spellStart"/>
      <w:r w:rsidR="008B2C1A" w:rsidRPr="00CA13FC">
        <w:rPr>
          <w:rFonts w:ascii="Times New Roman" w:hAnsi="Times New Roman" w:cs="Times New Roman"/>
          <w:sz w:val="24"/>
          <w:szCs w:val="24"/>
        </w:rPr>
        <w:t>Investors</w:t>
      </w:r>
      <w:proofErr w:type="spellEnd"/>
      <w:r w:rsidR="008B2C1A" w:rsidRPr="00CA13FC">
        <w:rPr>
          <w:rFonts w:ascii="Times New Roman" w:hAnsi="Times New Roman" w:cs="Times New Roman"/>
          <w:sz w:val="24"/>
          <w:szCs w:val="24"/>
        </w:rPr>
        <w:t xml:space="preserve"> </w:t>
      </w:r>
      <w:proofErr w:type="spellStart"/>
      <w:r w:rsidR="008B2C1A" w:rsidRPr="00CA13FC">
        <w:rPr>
          <w:rFonts w:ascii="Times New Roman" w:hAnsi="Times New Roman" w:cs="Times New Roman"/>
          <w:sz w:val="24"/>
          <w:szCs w:val="24"/>
        </w:rPr>
        <w:t>Service</w:t>
      </w:r>
      <w:proofErr w:type="spellEnd"/>
      <w:r w:rsidR="008B2C1A" w:rsidRPr="00CA13FC">
        <w:rPr>
          <w:rFonts w:ascii="Times New Roman" w:hAnsi="Times New Roman" w:cs="Times New Roman"/>
          <w:sz w:val="24"/>
          <w:szCs w:val="24"/>
        </w:rPr>
        <w:t>) решением уполномоченного органа управления кредитной организации датой рейтинга для кредитных организаций</w:t>
      </w:r>
      <w:r w:rsidR="00932490" w:rsidRPr="00CA13FC">
        <w:rPr>
          <w:rFonts w:ascii="Times New Roman" w:hAnsi="Times New Roman" w:cs="Times New Roman"/>
          <w:sz w:val="24"/>
          <w:szCs w:val="24"/>
        </w:rPr>
        <w:t xml:space="preserve"> определить 01 марта 2014 года?</w:t>
      </w:r>
    </w:p>
    <w:p w:rsidR="00C45208" w:rsidRDefault="00C45208" w:rsidP="00CA13FC">
      <w:pPr>
        <w:spacing w:before="120" w:after="120"/>
        <w:ind w:firstLine="708"/>
        <w:rPr>
          <w:rFonts w:ascii="Times New Roman" w:hAnsi="Times New Roman" w:cs="Times New Roman"/>
          <w:sz w:val="24"/>
          <w:szCs w:val="24"/>
        </w:rPr>
      </w:pPr>
    </w:p>
    <w:p w:rsidR="00FC25B6" w:rsidRPr="00CA13FC" w:rsidRDefault="00FC25B6" w:rsidP="00CA13FC">
      <w:pPr>
        <w:numPr>
          <w:ilvl w:val="0"/>
          <w:numId w:val="1"/>
        </w:numPr>
        <w:spacing w:before="120" w:after="120"/>
        <w:ind w:left="0" w:firstLine="0"/>
        <w:rPr>
          <w:rFonts w:ascii="Times New Roman" w:eastAsia="Times New Roman" w:hAnsi="Times New Roman" w:cs="Times New Roman"/>
          <w:sz w:val="24"/>
          <w:szCs w:val="24"/>
        </w:rPr>
      </w:pPr>
      <w:r w:rsidRPr="00CA13FC">
        <w:rPr>
          <w:rFonts w:ascii="Times New Roman" w:eastAsia="Times New Roman" w:hAnsi="Times New Roman" w:cs="Times New Roman"/>
          <w:sz w:val="24"/>
          <w:szCs w:val="24"/>
        </w:rPr>
        <w:t>Согласно информации Банка России от 25 февраля 2015 г. по ответам Департамента банковского регулирования на часто задаваемые вопросы:</w:t>
      </w:r>
    </w:p>
    <w:p w:rsidR="00FC25B6" w:rsidRDefault="00FC25B6" w:rsidP="00FC25B6">
      <w:pPr>
        <w:shd w:val="clear" w:color="auto" w:fill="FFFFFF"/>
        <w:spacing w:before="120" w:after="120"/>
        <w:ind w:firstLine="0"/>
        <w:rPr>
          <w:rFonts w:ascii="Times New Roman" w:eastAsia="Times New Roman" w:hAnsi="Times New Roman" w:cs="Times New Roman"/>
          <w:sz w:val="24"/>
          <w:szCs w:val="24"/>
        </w:rPr>
      </w:pPr>
      <w:r w:rsidRPr="00FC25B6">
        <w:rPr>
          <w:rFonts w:ascii="Times New Roman" w:eastAsia="Times New Roman" w:hAnsi="Times New Roman" w:cs="Times New Roman"/>
          <w:sz w:val="24"/>
          <w:szCs w:val="24"/>
        </w:rPr>
        <w:t xml:space="preserve">«Если рассматриваемая ссуда предоставлена заемщику - юридическому лицу или индивидуальному предпринимателю на реализацию инвестиционного проекта, то при отсутствии на дату оценки в течение двух лет фактических платежей по основному долгу и (или) процентам или поступлении их в размере, не превышающем величину, установленную подпунктом 3.13.3 пункта 3.13 Положения N254-П, пункт 3.18 Положения N 254-П может не применяться». </w:t>
      </w:r>
    </w:p>
    <w:p w:rsidR="007F171F" w:rsidRDefault="00FC25B6" w:rsidP="007F171F">
      <w:pPr>
        <w:spacing w:before="120" w:after="120"/>
        <w:ind w:firstLine="0"/>
        <w:rPr>
          <w:rFonts w:ascii="Times New Roman" w:eastAsia="Times New Roman" w:hAnsi="Times New Roman" w:cs="Times New Roman"/>
          <w:sz w:val="24"/>
          <w:szCs w:val="24"/>
        </w:rPr>
      </w:pPr>
      <w:r w:rsidRPr="00FC25B6">
        <w:rPr>
          <w:rFonts w:ascii="Times New Roman" w:eastAsia="Times New Roman" w:hAnsi="Times New Roman" w:cs="Times New Roman"/>
          <w:sz w:val="24"/>
          <w:szCs w:val="24"/>
        </w:rPr>
        <w:t>Какими пунктами Положения N 254-П следует руководствоваться при формировании резерва в данном случае?</w:t>
      </w:r>
      <w:r w:rsidR="00C45208" w:rsidRPr="00C45208">
        <w:rPr>
          <w:rFonts w:ascii="Times New Roman" w:eastAsia="Times New Roman" w:hAnsi="Times New Roman" w:cs="Times New Roman"/>
          <w:sz w:val="24"/>
          <w:szCs w:val="24"/>
        </w:rPr>
        <w:t xml:space="preserve"> </w:t>
      </w:r>
    </w:p>
    <w:p w:rsidR="007F171F" w:rsidRPr="007F171F" w:rsidRDefault="007F171F" w:rsidP="007F171F">
      <w:pPr>
        <w:numPr>
          <w:ilvl w:val="0"/>
          <w:numId w:val="1"/>
        </w:numPr>
        <w:spacing w:before="120" w:after="120"/>
        <w:ind w:left="0" w:firstLine="0"/>
        <w:rPr>
          <w:rFonts w:ascii="Times New Roman" w:eastAsia="Times New Roman" w:hAnsi="Times New Roman" w:cs="Times New Roman"/>
          <w:sz w:val="24"/>
          <w:szCs w:val="24"/>
        </w:rPr>
      </w:pPr>
      <w:r w:rsidRPr="007F171F">
        <w:rPr>
          <w:rFonts w:ascii="Times New Roman" w:eastAsia="Times New Roman" w:hAnsi="Times New Roman" w:cs="Times New Roman"/>
          <w:sz w:val="24"/>
          <w:szCs w:val="24"/>
        </w:rPr>
        <w:t xml:space="preserve">Предложения </w:t>
      </w:r>
    </w:p>
    <w:p w:rsidR="00C45208" w:rsidRPr="007F171F" w:rsidRDefault="007F171F" w:rsidP="007F171F">
      <w:pPr>
        <w:spacing w:before="120" w:after="120"/>
        <w:ind w:firstLine="708"/>
        <w:rPr>
          <w:rFonts w:ascii="Times New Roman" w:hAnsi="Times New Roman" w:cs="Times New Roman"/>
          <w:sz w:val="24"/>
          <w:szCs w:val="24"/>
        </w:rPr>
      </w:pPr>
      <w:r>
        <w:rPr>
          <w:rFonts w:ascii="Times New Roman" w:hAnsi="Times New Roman" w:cs="Times New Roman"/>
          <w:sz w:val="24"/>
          <w:szCs w:val="24"/>
        </w:rPr>
        <w:t xml:space="preserve">17.1. </w:t>
      </w:r>
      <w:r w:rsidR="00C45208" w:rsidRPr="007F171F">
        <w:rPr>
          <w:rFonts w:ascii="Times New Roman" w:hAnsi="Times New Roman" w:cs="Times New Roman"/>
          <w:sz w:val="24"/>
          <w:szCs w:val="24"/>
        </w:rPr>
        <w:t xml:space="preserve">Обращаем внимание, что к ухудшению финансового положения и качества обслуживания долга заемщиков привели не только ограничительные политические и экономические меры, но резкое изменение курса рубля и процентных ставок, уровень которых ориентируется на ключевую ставку Банка России. Планируется ли в связи с этим определенное ослабление требований Положения 254-П? Просим дать возможность принимать решение о </w:t>
      </w:r>
      <w:proofErr w:type="spellStart"/>
      <w:r w:rsidR="00C45208" w:rsidRPr="007F171F">
        <w:rPr>
          <w:rFonts w:ascii="Times New Roman" w:hAnsi="Times New Roman" w:cs="Times New Roman"/>
          <w:sz w:val="24"/>
          <w:szCs w:val="24"/>
        </w:rPr>
        <w:t>неухудшении</w:t>
      </w:r>
      <w:proofErr w:type="spellEnd"/>
      <w:r w:rsidR="00C45208" w:rsidRPr="007F171F">
        <w:rPr>
          <w:rFonts w:ascii="Times New Roman" w:hAnsi="Times New Roman" w:cs="Times New Roman"/>
          <w:sz w:val="24"/>
          <w:szCs w:val="24"/>
        </w:rPr>
        <w:t xml:space="preserve"> оценки финансового положения заемщика и (или) качества обслуживания долга по заемщикам, по которым имеются просроченные платежи и (или) финансовое положение ухудшилось в связи резким ростом курса иностранной валюты в случае, если данные заемщики в своем производстве используют импортное сырье, приобретаемое по импортным контрактам, паспорта сделок по котором открыты в кредитной организации.</w:t>
      </w:r>
    </w:p>
    <w:p w:rsidR="00932490" w:rsidRDefault="007F171F" w:rsidP="007F171F">
      <w:pPr>
        <w:spacing w:before="120" w:after="120"/>
        <w:ind w:firstLine="708"/>
        <w:rPr>
          <w:rFonts w:ascii="Times New Roman" w:hAnsi="Times New Roman" w:cs="Times New Roman"/>
          <w:sz w:val="24"/>
          <w:szCs w:val="24"/>
        </w:rPr>
      </w:pPr>
      <w:r>
        <w:rPr>
          <w:rFonts w:ascii="Times New Roman" w:hAnsi="Times New Roman" w:cs="Times New Roman"/>
          <w:sz w:val="24"/>
          <w:szCs w:val="24"/>
        </w:rPr>
        <w:t xml:space="preserve">17.2. </w:t>
      </w:r>
      <w:r w:rsidR="00932490" w:rsidRPr="007F171F">
        <w:rPr>
          <w:rFonts w:ascii="Times New Roman" w:hAnsi="Times New Roman" w:cs="Times New Roman"/>
          <w:sz w:val="24"/>
          <w:szCs w:val="24"/>
        </w:rPr>
        <w:t>В связи с ухудшением возможностей по реализации заложенного имущества и возникающей в связи с этим необходимостью не учитывать величину обеспечения при формировании резерва на возможные потери по ссудам, предлагаем внести изменения в п.6.3.1 Положения от 26.03.2004 №254-П в части изменения сроков, установленных абзацами 9 и 10 данного пункта, со 180 до 365 дней. Данные изменения позволят адекватно учесть сократившиеся возможности по быстрой реализации заложенного имущества, сохранив кредитным организациям возможность учитывать величину обеспечения для целей формирования резервов на возможные потери по ссудам.</w:t>
      </w:r>
    </w:p>
    <w:p w:rsidR="007F171F" w:rsidRPr="007F171F" w:rsidRDefault="007F171F" w:rsidP="007F171F">
      <w:pPr>
        <w:spacing w:before="120" w:after="120"/>
        <w:ind w:firstLine="708"/>
        <w:rPr>
          <w:rFonts w:ascii="Times New Roman" w:hAnsi="Times New Roman" w:cs="Times New Roman"/>
          <w:sz w:val="24"/>
          <w:szCs w:val="24"/>
        </w:rPr>
      </w:pPr>
      <w:r>
        <w:rPr>
          <w:rFonts w:ascii="Times New Roman" w:hAnsi="Times New Roman" w:cs="Times New Roman"/>
          <w:sz w:val="24"/>
          <w:szCs w:val="24"/>
        </w:rPr>
        <w:t xml:space="preserve">17.3. Просим продлить срок действия писем 209-Т, 210-Т, 211-Т </w:t>
      </w:r>
      <w:r w:rsidR="00E47580">
        <w:rPr>
          <w:rFonts w:ascii="Times New Roman" w:hAnsi="Times New Roman" w:cs="Times New Roman"/>
          <w:sz w:val="24"/>
          <w:szCs w:val="24"/>
        </w:rPr>
        <w:t xml:space="preserve">от 18.12.2014 </w:t>
      </w:r>
      <w:r>
        <w:rPr>
          <w:rFonts w:ascii="Times New Roman" w:hAnsi="Times New Roman" w:cs="Times New Roman"/>
          <w:sz w:val="24"/>
          <w:szCs w:val="24"/>
        </w:rPr>
        <w:t xml:space="preserve">как минимум до конца 2015 года. </w:t>
      </w:r>
    </w:p>
    <w:p w:rsidR="00FC25B6" w:rsidRPr="007F171F" w:rsidRDefault="00FC25B6" w:rsidP="007F171F">
      <w:pPr>
        <w:spacing w:before="120" w:after="120"/>
        <w:ind w:firstLine="708"/>
        <w:rPr>
          <w:rFonts w:ascii="Times New Roman" w:hAnsi="Times New Roman" w:cs="Times New Roman"/>
          <w:sz w:val="24"/>
          <w:szCs w:val="24"/>
        </w:rPr>
      </w:pPr>
    </w:p>
    <w:sectPr w:rsidR="00FC25B6" w:rsidRPr="007F171F" w:rsidSect="004F2FF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1E7" w:rsidRDefault="009841E7" w:rsidP="00BB39CE">
      <w:pPr>
        <w:spacing w:line="240" w:lineRule="auto"/>
      </w:pPr>
      <w:r>
        <w:separator/>
      </w:r>
    </w:p>
  </w:endnote>
  <w:endnote w:type="continuationSeparator" w:id="0">
    <w:p w:rsidR="009841E7" w:rsidRDefault="009841E7" w:rsidP="00BB39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1294"/>
      <w:docPartObj>
        <w:docPartGallery w:val="Page Numbers (Bottom of Page)"/>
        <w:docPartUnique/>
      </w:docPartObj>
    </w:sdtPr>
    <w:sdtContent>
      <w:p w:rsidR="00FD7746" w:rsidRDefault="00BF5CED">
        <w:pPr>
          <w:pStyle w:val="ab"/>
          <w:jc w:val="right"/>
        </w:pPr>
        <w:fldSimple w:instr=" PAGE   \* MERGEFORMAT ">
          <w:r w:rsidR="002A6161">
            <w:rPr>
              <w:noProof/>
            </w:rPr>
            <w:t>1</w:t>
          </w:r>
        </w:fldSimple>
      </w:p>
    </w:sdtContent>
  </w:sdt>
  <w:p w:rsidR="00FD7746" w:rsidRDefault="00FD774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1E7" w:rsidRDefault="009841E7" w:rsidP="00BB39CE">
      <w:pPr>
        <w:spacing w:line="240" w:lineRule="auto"/>
      </w:pPr>
      <w:r>
        <w:separator/>
      </w:r>
    </w:p>
  </w:footnote>
  <w:footnote w:type="continuationSeparator" w:id="0">
    <w:p w:rsidR="009841E7" w:rsidRDefault="009841E7" w:rsidP="00BB39CE">
      <w:pPr>
        <w:spacing w:line="240" w:lineRule="auto"/>
      </w:pPr>
      <w:r>
        <w:continuationSeparator/>
      </w:r>
    </w:p>
  </w:footnote>
  <w:footnote w:id="1">
    <w:p w:rsidR="00090749" w:rsidRDefault="00090749">
      <w:pPr>
        <w:pStyle w:val="a6"/>
      </w:pPr>
      <w:r>
        <w:rPr>
          <w:rStyle w:val="a8"/>
        </w:rPr>
        <w:footnoteRef/>
      </w:r>
      <w:r>
        <w:t xml:space="preserve"> </w:t>
      </w:r>
      <w:r w:rsidRPr="00090749">
        <w:rPr>
          <w:rFonts w:ascii="Times New Roman" w:hAnsi="Times New Roman" w:cs="Times New Roman"/>
        </w:rPr>
        <w:t>1 марта 2014 года – для кредитных организаций, выпущенных ими финансовых инструментов, включая ценные бумаги; 1 декабря 2014 года – для иных лиц, предусмотренных Указанием № 3453-У, выпущенных ими финансовых инструментов.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9EF"/>
    <w:multiLevelType w:val="hybridMultilevel"/>
    <w:tmpl w:val="FD3EC3D6"/>
    <w:lvl w:ilvl="0" w:tplc="EE361D58">
      <w:start w:val="1"/>
      <w:numFmt w:val="upperLetter"/>
      <w:lvlText w:val="%1."/>
      <w:lvlJc w:val="left"/>
      <w:pPr>
        <w:ind w:left="750" w:hanging="390"/>
      </w:pPr>
      <w:rPr>
        <w:rFonts w:eastAsia="Times New Roman"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46144"/>
    <w:multiLevelType w:val="hybridMultilevel"/>
    <w:tmpl w:val="80D25F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F8E6600"/>
    <w:multiLevelType w:val="singleLevel"/>
    <w:tmpl w:val="C85E5E58"/>
    <w:lvl w:ilvl="0">
      <w:start w:val="3"/>
      <w:numFmt w:val="decimal"/>
      <w:lvlText w:val="%1."/>
      <w:legacy w:legacy="1" w:legacySpace="0" w:legacyIndent="288"/>
      <w:lvlJc w:val="left"/>
      <w:rPr>
        <w:rFonts w:ascii="Times New Roman" w:hAnsi="Times New Roman" w:cs="Times New Roman" w:hint="default"/>
      </w:rPr>
    </w:lvl>
  </w:abstractNum>
  <w:abstractNum w:abstractNumId="3">
    <w:nsid w:val="103338E0"/>
    <w:multiLevelType w:val="multilevel"/>
    <w:tmpl w:val="5080B9EA"/>
    <w:lvl w:ilvl="0">
      <w:start w:val="7"/>
      <w:numFmt w:val="decimal"/>
      <w:lvlText w:val="%1."/>
      <w:lvlJc w:val="left"/>
      <w:pPr>
        <w:ind w:left="360" w:hanging="360"/>
      </w:pPr>
      <w:rPr>
        <w:rFonts w:eastAsiaTheme="minorHAnsi" w:hint="default"/>
        <w:color w:val="000000"/>
      </w:rPr>
    </w:lvl>
    <w:lvl w:ilvl="1">
      <w:start w:val="1"/>
      <w:numFmt w:val="decimal"/>
      <w:lvlText w:val="%1.%2."/>
      <w:lvlJc w:val="left"/>
      <w:pPr>
        <w:ind w:left="360" w:hanging="36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4">
    <w:nsid w:val="1575579B"/>
    <w:multiLevelType w:val="hybridMultilevel"/>
    <w:tmpl w:val="E346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D2E98"/>
    <w:multiLevelType w:val="hybridMultilevel"/>
    <w:tmpl w:val="137A9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C93735"/>
    <w:multiLevelType w:val="singleLevel"/>
    <w:tmpl w:val="5C768AF2"/>
    <w:lvl w:ilvl="0">
      <w:start w:val="1"/>
      <w:numFmt w:val="decimal"/>
      <w:lvlText w:val="%1."/>
      <w:legacy w:legacy="1" w:legacySpace="0" w:legacyIndent="240"/>
      <w:lvlJc w:val="left"/>
      <w:rPr>
        <w:rFonts w:ascii="Arial" w:hAnsi="Arial" w:cs="Arial" w:hint="default"/>
      </w:rPr>
    </w:lvl>
  </w:abstractNum>
  <w:abstractNum w:abstractNumId="7">
    <w:nsid w:val="2ADC6363"/>
    <w:multiLevelType w:val="hybridMultilevel"/>
    <w:tmpl w:val="330CC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8778F"/>
    <w:multiLevelType w:val="singleLevel"/>
    <w:tmpl w:val="DCD455AC"/>
    <w:lvl w:ilvl="0">
      <w:start w:val="1"/>
      <w:numFmt w:val="decimal"/>
      <w:lvlText w:val="%1."/>
      <w:legacy w:legacy="1" w:legacySpace="0" w:legacyIndent="288"/>
      <w:lvlJc w:val="left"/>
      <w:rPr>
        <w:rFonts w:ascii="Times New Roman" w:hAnsi="Times New Roman" w:cs="Times New Roman" w:hint="default"/>
      </w:rPr>
    </w:lvl>
  </w:abstractNum>
  <w:abstractNum w:abstractNumId="9">
    <w:nsid w:val="3C942B34"/>
    <w:multiLevelType w:val="multilevel"/>
    <w:tmpl w:val="F31AE422"/>
    <w:lvl w:ilvl="0">
      <w:start w:val="1"/>
      <w:numFmt w:val="decimal"/>
      <w:lvlText w:val="%1."/>
      <w:lvlJc w:val="left"/>
      <w:pPr>
        <w:ind w:left="720" w:hanging="360"/>
      </w:pPr>
      <w:rPr>
        <w:b/>
        <w:color w:val="000000"/>
        <w:sz w:val="2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3D6345A2"/>
    <w:multiLevelType w:val="hybridMultilevel"/>
    <w:tmpl w:val="D9287E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DFC7DCA"/>
    <w:multiLevelType w:val="multilevel"/>
    <w:tmpl w:val="A2CE5E78"/>
    <w:lvl w:ilvl="0">
      <w:start w:val="1"/>
      <w:numFmt w:val="decimal"/>
      <w:lvlText w:val="%1."/>
      <w:lvlJc w:val="left"/>
      <w:pPr>
        <w:ind w:left="1287" w:hanging="360"/>
      </w:pPr>
      <w:rPr>
        <w:rFonts w:cs="Times New Roman"/>
      </w:rPr>
    </w:lvl>
    <w:lvl w:ilvl="1">
      <w:start w:val="1"/>
      <w:numFmt w:val="decimal"/>
      <w:isLgl/>
      <w:lvlText w:val="%1.%2."/>
      <w:lvlJc w:val="left"/>
      <w:pPr>
        <w:ind w:left="2421" w:hanging="360"/>
      </w:pPr>
      <w:rPr>
        <w:rFonts w:hint="default"/>
      </w:rPr>
    </w:lvl>
    <w:lvl w:ilvl="2">
      <w:start w:val="1"/>
      <w:numFmt w:val="decimal"/>
      <w:isLgl/>
      <w:lvlText w:val="%1.%2.%3."/>
      <w:lvlJc w:val="left"/>
      <w:pPr>
        <w:ind w:left="3915" w:hanging="720"/>
      </w:pPr>
      <w:rPr>
        <w:rFonts w:hint="default"/>
      </w:rPr>
    </w:lvl>
    <w:lvl w:ilvl="3">
      <w:start w:val="1"/>
      <w:numFmt w:val="decimal"/>
      <w:isLgl/>
      <w:lvlText w:val="%1.%2.%3.%4."/>
      <w:lvlJc w:val="left"/>
      <w:pPr>
        <w:ind w:left="5049" w:hanging="72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7677" w:hanging="1080"/>
      </w:pPr>
      <w:rPr>
        <w:rFonts w:hint="default"/>
      </w:rPr>
    </w:lvl>
    <w:lvl w:ilvl="6">
      <w:start w:val="1"/>
      <w:numFmt w:val="decimal"/>
      <w:isLgl/>
      <w:lvlText w:val="%1.%2.%3.%4.%5.%6.%7."/>
      <w:lvlJc w:val="left"/>
      <w:pPr>
        <w:ind w:left="9171" w:hanging="1440"/>
      </w:pPr>
      <w:rPr>
        <w:rFonts w:hint="default"/>
      </w:rPr>
    </w:lvl>
    <w:lvl w:ilvl="7">
      <w:start w:val="1"/>
      <w:numFmt w:val="decimal"/>
      <w:isLgl/>
      <w:lvlText w:val="%1.%2.%3.%4.%5.%6.%7.%8."/>
      <w:lvlJc w:val="left"/>
      <w:pPr>
        <w:ind w:left="10305" w:hanging="1440"/>
      </w:pPr>
      <w:rPr>
        <w:rFonts w:hint="default"/>
      </w:rPr>
    </w:lvl>
    <w:lvl w:ilvl="8">
      <w:start w:val="1"/>
      <w:numFmt w:val="decimal"/>
      <w:isLgl/>
      <w:lvlText w:val="%1.%2.%3.%4.%5.%6.%7.%8.%9."/>
      <w:lvlJc w:val="left"/>
      <w:pPr>
        <w:ind w:left="11799" w:hanging="1800"/>
      </w:pPr>
      <w:rPr>
        <w:rFonts w:hint="default"/>
      </w:rPr>
    </w:lvl>
  </w:abstractNum>
  <w:abstractNum w:abstractNumId="12">
    <w:nsid w:val="56C1766F"/>
    <w:multiLevelType w:val="hybridMultilevel"/>
    <w:tmpl w:val="B308B04C"/>
    <w:lvl w:ilvl="0" w:tplc="04190001">
      <w:start w:val="1"/>
      <w:numFmt w:val="bullet"/>
      <w:lvlText w:val=""/>
      <w:lvlJc w:val="left"/>
      <w:pPr>
        <w:ind w:left="3552" w:hanging="360"/>
      </w:pPr>
      <w:rPr>
        <w:rFonts w:ascii="Symbol" w:hAnsi="Symbol" w:hint="default"/>
      </w:r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abstractNum w:abstractNumId="13">
    <w:nsid w:val="5760387C"/>
    <w:multiLevelType w:val="hybridMultilevel"/>
    <w:tmpl w:val="7CAA10C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9E7825"/>
    <w:multiLevelType w:val="hybridMultilevel"/>
    <w:tmpl w:val="EAECF78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B673FB7"/>
    <w:multiLevelType w:val="hybridMultilevel"/>
    <w:tmpl w:val="946C80E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3DB1090"/>
    <w:multiLevelType w:val="hybridMultilevel"/>
    <w:tmpl w:val="6D8604B6"/>
    <w:lvl w:ilvl="0" w:tplc="CEF8891C">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4E86DCF"/>
    <w:multiLevelType w:val="hybridMultilevel"/>
    <w:tmpl w:val="EFD45F62"/>
    <w:lvl w:ilvl="0" w:tplc="04190001">
      <w:start w:val="1"/>
      <w:numFmt w:val="bullet"/>
      <w:lvlText w:val=""/>
      <w:lvlJc w:val="left"/>
      <w:pPr>
        <w:ind w:left="3564" w:hanging="360"/>
      </w:pPr>
      <w:rPr>
        <w:rFonts w:ascii="Symbol" w:hAnsi="Symbol" w:hint="default"/>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18">
    <w:nsid w:val="6844537E"/>
    <w:multiLevelType w:val="hybridMultilevel"/>
    <w:tmpl w:val="B464114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FA26EEC"/>
    <w:multiLevelType w:val="singleLevel"/>
    <w:tmpl w:val="61F0CE26"/>
    <w:lvl w:ilvl="0">
      <w:start w:val="3"/>
      <w:numFmt w:val="decimal"/>
      <w:lvlText w:val="%1."/>
      <w:legacy w:legacy="1" w:legacySpace="0" w:legacyIndent="288"/>
      <w:lvlJc w:val="left"/>
      <w:rPr>
        <w:rFonts w:ascii="Times New Roman" w:hAnsi="Times New Roman" w:cs="Times New Roman" w:hint="default"/>
      </w:rPr>
    </w:lvl>
  </w:abstractNum>
  <w:abstractNum w:abstractNumId="20">
    <w:nsid w:val="72340575"/>
    <w:multiLevelType w:val="hybridMultilevel"/>
    <w:tmpl w:val="00E82F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4385928"/>
    <w:multiLevelType w:val="multilevel"/>
    <w:tmpl w:val="4F7CE15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4B053E"/>
    <w:multiLevelType w:val="hybridMultilevel"/>
    <w:tmpl w:val="946C80E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0"/>
  </w:num>
  <w:num w:numId="7">
    <w:abstractNumId w:val="12"/>
  </w:num>
  <w:num w:numId="8">
    <w:abstractNumId w:val="4"/>
  </w:num>
  <w:num w:numId="9">
    <w:abstractNumId w:val="17"/>
  </w:num>
  <w:num w:numId="10">
    <w:abstractNumId w:val="1"/>
  </w:num>
  <w:num w:numId="11">
    <w:abstractNumId w:val="13"/>
  </w:num>
  <w:num w:numId="12">
    <w:abstractNumId w:val="16"/>
  </w:num>
  <w:num w:numId="13">
    <w:abstractNumId w:val="8"/>
  </w:num>
  <w:num w:numId="14">
    <w:abstractNumId w:val="6"/>
  </w:num>
  <w:num w:numId="15">
    <w:abstractNumId w:val="0"/>
  </w:num>
  <w:num w:numId="16">
    <w:abstractNumId w:val="3"/>
  </w:num>
  <w:num w:numId="17">
    <w:abstractNumId w:val="2"/>
  </w:num>
  <w:num w:numId="18">
    <w:abstractNumId w:val="19"/>
  </w:num>
  <w:num w:numId="19">
    <w:abstractNumId w:val="14"/>
  </w:num>
  <w:num w:numId="20">
    <w:abstractNumId w:val="22"/>
  </w:num>
  <w:num w:numId="21">
    <w:abstractNumId w:val="15"/>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361F4"/>
    <w:rsid w:val="000128CC"/>
    <w:rsid w:val="000338B0"/>
    <w:rsid w:val="00090749"/>
    <w:rsid w:val="000B545E"/>
    <w:rsid w:val="001D4E02"/>
    <w:rsid w:val="001E6FCD"/>
    <w:rsid w:val="0020143D"/>
    <w:rsid w:val="002A6161"/>
    <w:rsid w:val="002E7377"/>
    <w:rsid w:val="00334531"/>
    <w:rsid w:val="003E0BA6"/>
    <w:rsid w:val="00416F6B"/>
    <w:rsid w:val="00417360"/>
    <w:rsid w:val="004943BE"/>
    <w:rsid w:val="004B4061"/>
    <w:rsid w:val="004F2FFB"/>
    <w:rsid w:val="00507547"/>
    <w:rsid w:val="0051329C"/>
    <w:rsid w:val="00567318"/>
    <w:rsid w:val="00605065"/>
    <w:rsid w:val="006B5C79"/>
    <w:rsid w:val="006F3D88"/>
    <w:rsid w:val="007711F2"/>
    <w:rsid w:val="007B5C07"/>
    <w:rsid w:val="007D01F5"/>
    <w:rsid w:val="007F171F"/>
    <w:rsid w:val="008602EF"/>
    <w:rsid w:val="008B2C1A"/>
    <w:rsid w:val="008B7800"/>
    <w:rsid w:val="00932490"/>
    <w:rsid w:val="009475AB"/>
    <w:rsid w:val="00981419"/>
    <w:rsid w:val="009841E7"/>
    <w:rsid w:val="0099136D"/>
    <w:rsid w:val="00A52930"/>
    <w:rsid w:val="00A54C0D"/>
    <w:rsid w:val="00A55AF4"/>
    <w:rsid w:val="00AC189C"/>
    <w:rsid w:val="00AF3BE4"/>
    <w:rsid w:val="00B7455D"/>
    <w:rsid w:val="00BB39CE"/>
    <w:rsid w:val="00BC0792"/>
    <w:rsid w:val="00BD221B"/>
    <w:rsid w:val="00BF5CED"/>
    <w:rsid w:val="00C12D76"/>
    <w:rsid w:val="00C45208"/>
    <w:rsid w:val="00C47A3B"/>
    <w:rsid w:val="00C52077"/>
    <w:rsid w:val="00C61724"/>
    <w:rsid w:val="00CA13FC"/>
    <w:rsid w:val="00CB3A2F"/>
    <w:rsid w:val="00D361F4"/>
    <w:rsid w:val="00D51BF7"/>
    <w:rsid w:val="00D82827"/>
    <w:rsid w:val="00DF579E"/>
    <w:rsid w:val="00E45B1B"/>
    <w:rsid w:val="00E47580"/>
    <w:rsid w:val="00EA612D"/>
    <w:rsid w:val="00EA7FD2"/>
    <w:rsid w:val="00F05C7B"/>
    <w:rsid w:val="00F973BB"/>
    <w:rsid w:val="00FC02F8"/>
    <w:rsid w:val="00FC25B6"/>
    <w:rsid w:val="00FD7746"/>
    <w:rsid w:val="00FD7A7A"/>
    <w:rsid w:val="00FE4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F4"/>
    <w:pPr>
      <w:spacing w:after="0"/>
      <w:ind w:firstLine="709"/>
      <w:jc w:val="both"/>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361F4"/>
    <w:pPr>
      <w:spacing w:line="240" w:lineRule="auto"/>
      <w:ind w:firstLine="0"/>
      <w:jc w:val="left"/>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D361F4"/>
    <w:rPr>
      <w:rFonts w:ascii="Courier New" w:eastAsia="Times New Roman" w:hAnsi="Courier New" w:cs="Times New Roman"/>
      <w:sz w:val="20"/>
      <w:szCs w:val="20"/>
      <w:lang w:eastAsia="ru-RU"/>
    </w:rPr>
  </w:style>
  <w:style w:type="paragraph" w:styleId="a5">
    <w:name w:val="List Paragraph"/>
    <w:basedOn w:val="a"/>
    <w:uiPriority w:val="34"/>
    <w:qFormat/>
    <w:rsid w:val="00FD7A7A"/>
    <w:pPr>
      <w:spacing w:after="200"/>
      <w:ind w:left="720" w:firstLine="0"/>
      <w:contextualSpacing/>
      <w:jc w:val="left"/>
    </w:pPr>
  </w:style>
  <w:style w:type="paragraph" w:styleId="a6">
    <w:name w:val="footnote text"/>
    <w:basedOn w:val="a"/>
    <w:link w:val="a7"/>
    <w:uiPriority w:val="99"/>
    <w:semiHidden/>
    <w:unhideWhenUsed/>
    <w:rsid w:val="00BB39CE"/>
    <w:pPr>
      <w:spacing w:line="240" w:lineRule="auto"/>
      <w:ind w:firstLine="0"/>
      <w:jc w:val="left"/>
    </w:pPr>
    <w:rPr>
      <w:sz w:val="20"/>
      <w:szCs w:val="20"/>
    </w:rPr>
  </w:style>
  <w:style w:type="character" w:customStyle="1" w:styleId="a7">
    <w:name w:val="Текст сноски Знак"/>
    <w:basedOn w:val="a0"/>
    <w:link w:val="a6"/>
    <w:uiPriority w:val="99"/>
    <w:semiHidden/>
    <w:rsid w:val="00BB39CE"/>
    <w:rPr>
      <w:rFonts w:asciiTheme="minorHAnsi" w:hAnsiTheme="minorHAnsi"/>
      <w:sz w:val="20"/>
      <w:szCs w:val="20"/>
    </w:rPr>
  </w:style>
  <w:style w:type="character" w:styleId="a8">
    <w:name w:val="footnote reference"/>
    <w:basedOn w:val="a0"/>
    <w:uiPriority w:val="99"/>
    <w:semiHidden/>
    <w:unhideWhenUsed/>
    <w:rsid w:val="00BB39CE"/>
    <w:rPr>
      <w:vertAlign w:val="superscript"/>
    </w:rPr>
  </w:style>
  <w:style w:type="paragraph" w:styleId="a9">
    <w:name w:val="header"/>
    <w:basedOn w:val="a"/>
    <w:link w:val="aa"/>
    <w:uiPriority w:val="99"/>
    <w:semiHidden/>
    <w:unhideWhenUsed/>
    <w:rsid w:val="00FD7746"/>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FD7746"/>
    <w:rPr>
      <w:rFonts w:asciiTheme="minorHAnsi" w:hAnsiTheme="minorHAnsi"/>
      <w:sz w:val="22"/>
    </w:rPr>
  </w:style>
  <w:style w:type="paragraph" w:styleId="ab">
    <w:name w:val="footer"/>
    <w:basedOn w:val="a"/>
    <w:link w:val="ac"/>
    <w:uiPriority w:val="99"/>
    <w:unhideWhenUsed/>
    <w:rsid w:val="00FD7746"/>
    <w:pPr>
      <w:tabs>
        <w:tab w:val="center" w:pos="4677"/>
        <w:tab w:val="right" w:pos="9355"/>
      </w:tabs>
      <w:spacing w:line="240" w:lineRule="auto"/>
    </w:pPr>
  </w:style>
  <w:style w:type="character" w:customStyle="1" w:styleId="ac">
    <w:name w:val="Нижний колонтитул Знак"/>
    <w:basedOn w:val="a0"/>
    <w:link w:val="ab"/>
    <w:uiPriority w:val="99"/>
    <w:rsid w:val="00FD7746"/>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53D64-54EC-478B-87CA-E0DAF0A6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2898</Words>
  <Characters>16524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Masha</cp:lastModifiedBy>
  <cp:revision>2</cp:revision>
  <cp:lastPrinted>2015-03-16T08:53:00Z</cp:lastPrinted>
  <dcterms:created xsi:type="dcterms:W3CDTF">2015-03-16T11:54:00Z</dcterms:created>
  <dcterms:modified xsi:type="dcterms:W3CDTF">2015-03-16T11:54:00Z</dcterms:modified>
</cp:coreProperties>
</file>