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59" w:rsidRDefault="00FC3412">
      <w:r>
        <w:rPr>
          <w:noProof/>
          <w:lang w:eastAsia="ru-RU"/>
        </w:rPr>
        <w:pict>
          <v:rect id="_x0000_s1026" style="position:absolute;left:0;text-align:left;margin-left:183.75pt;margin-top:-6.75pt;width:573.75pt;height:101.25pt;z-index:251658240" stroked="f">
            <v:textbox style="mso-next-textbox:#_x0000_s1026">
              <w:txbxContent>
                <w:p w:rsidR="00667572" w:rsidRPr="00667572" w:rsidRDefault="00667572" w:rsidP="00667572">
                  <w:pPr>
                    <w:tabs>
                      <w:tab w:val="left" w:pos="7938"/>
                    </w:tabs>
                    <w:adjustRightInd w:val="0"/>
                    <w:spacing w:after="0"/>
                    <w:ind w:right="108" w:firstLine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667572" w:rsidRPr="00EC1C7E" w:rsidRDefault="00667572" w:rsidP="00667572">
                  <w:pPr>
                    <w:tabs>
                      <w:tab w:val="left" w:pos="7938"/>
                    </w:tabs>
                    <w:adjustRightInd w:val="0"/>
                    <w:ind w:right="107" w:firstLine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EC1C7E">
                    <w:rPr>
                      <w:b/>
                      <w:sz w:val="26"/>
                      <w:szCs w:val="26"/>
                    </w:rPr>
                    <w:t xml:space="preserve">Ответы, предоставленные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Департаментом банковского регулирования </w:t>
                  </w:r>
                  <w:r w:rsidRPr="00EC1C7E">
                    <w:rPr>
                      <w:b/>
                      <w:sz w:val="26"/>
                      <w:szCs w:val="26"/>
                      <w:u w:val="single"/>
                    </w:rPr>
                    <w:t>ЦБ РФ,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EC1C7E">
                    <w:rPr>
                      <w:b/>
                      <w:sz w:val="26"/>
                      <w:szCs w:val="26"/>
                    </w:rPr>
                    <w:t>на вопросы</w:t>
                  </w:r>
                  <w:r w:rsidR="00A125FE">
                    <w:rPr>
                      <w:b/>
                      <w:sz w:val="26"/>
                      <w:szCs w:val="26"/>
                    </w:rPr>
                    <w:t xml:space="preserve"> и предложения</w:t>
                  </w:r>
                  <w:r>
                    <w:rPr>
                      <w:b/>
                      <w:sz w:val="26"/>
                      <w:szCs w:val="26"/>
                    </w:rPr>
                    <w:t xml:space="preserve"> в </w:t>
                  </w:r>
                  <w:r w:rsidRPr="00D51AE6">
                    <w:rPr>
                      <w:b/>
                      <w:sz w:val="26"/>
                      <w:szCs w:val="26"/>
                    </w:rPr>
                    <w:t xml:space="preserve">отношении </w:t>
                  </w:r>
                  <w:r w:rsidR="00D51AE6" w:rsidRPr="00D51AE6">
                    <w:rPr>
                      <w:b/>
                      <w:sz w:val="26"/>
                      <w:szCs w:val="26"/>
                    </w:rPr>
                    <w:t>расчета нормативов, связанности лиц, системы управления рисками</w:t>
                  </w:r>
                  <w:r w:rsidR="009904DB" w:rsidRPr="00D51AE6">
                    <w:rPr>
                      <w:b/>
                      <w:sz w:val="26"/>
                      <w:szCs w:val="26"/>
                    </w:rPr>
                    <w:t xml:space="preserve">, </w:t>
                  </w:r>
                  <w:r w:rsidRPr="00D51AE6">
                    <w:rPr>
                      <w:b/>
                      <w:bCs/>
                      <w:sz w:val="26"/>
                      <w:szCs w:val="26"/>
                    </w:rPr>
                    <w:t>поступившие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 xml:space="preserve"> в Оргкомитет от участнико</w:t>
                  </w:r>
                  <w:proofErr w:type="gramStart"/>
                  <w:r w:rsidRPr="00EC1C7E">
                    <w:rPr>
                      <w:b/>
                      <w:bCs/>
                      <w:sz w:val="26"/>
                      <w:szCs w:val="26"/>
                    </w:rPr>
                    <w:t xml:space="preserve">в к </w:t>
                  </w:r>
                  <w:r w:rsidRPr="00EC1C7E">
                    <w:rPr>
                      <w:b/>
                      <w:sz w:val="26"/>
                      <w:szCs w:val="26"/>
                    </w:rPr>
                    <w:t>встр</w:t>
                  </w:r>
                  <w:proofErr w:type="gramEnd"/>
                  <w:r w:rsidRPr="00EC1C7E">
                    <w:rPr>
                      <w:b/>
                      <w:sz w:val="26"/>
                      <w:szCs w:val="26"/>
                    </w:rPr>
                    <w:t xml:space="preserve">ече 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>руководителей Банка России</w:t>
                  </w:r>
                  <w:r w:rsidRPr="00EC1C7E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>с руководителями коммерческих банков 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2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 xml:space="preserve"> - 1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3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 xml:space="preserve"> февраля 201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5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>г. в ОПК «БОР»</w:t>
                  </w:r>
                </w:p>
                <w:p w:rsidR="00667572" w:rsidRDefault="00667572">
                  <w:pPr>
                    <w:ind w:left="0"/>
                  </w:pPr>
                </w:p>
              </w:txbxContent>
            </v:textbox>
          </v:rect>
        </w:pict>
      </w:r>
      <w:r w:rsidR="00667572" w:rsidRPr="00667572">
        <w:rPr>
          <w:noProof/>
          <w:lang w:eastAsia="ru-RU"/>
        </w:rPr>
        <w:drawing>
          <wp:inline distT="0" distB="0" distL="0" distR="0">
            <wp:extent cx="1327785" cy="123253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-34" w:type="dxa"/>
        <w:tblLayout w:type="fixed"/>
        <w:tblLook w:val="04A0"/>
      </w:tblPr>
      <w:tblGrid>
        <w:gridCol w:w="709"/>
        <w:gridCol w:w="6946"/>
        <w:gridCol w:w="7993"/>
      </w:tblGrid>
      <w:tr w:rsidR="007F69D9" w:rsidRPr="003501A6" w:rsidTr="007F69D9">
        <w:tc>
          <w:tcPr>
            <w:tcW w:w="709" w:type="dxa"/>
          </w:tcPr>
          <w:p w:rsidR="00E43CE8" w:rsidRPr="00DE0086" w:rsidRDefault="00E43CE8" w:rsidP="00E43CE8">
            <w:pPr>
              <w:ind w:left="176" w:firstLine="0"/>
            </w:pPr>
            <w:r w:rsidRPr="00DE0086">
              <w:t xml:space="preserve">№ </w:t>
            </w:r>
          </w:p>
          <w:p w:rsidR="00E43CE8" w:rsidRPr="003501A6" w:rsidRDefault="00E43CE8" w:rsidP="00E43CE8">
            <w:pPr>
              <w:ind w:left="34" w:firstLine="0"/>
              <w:rPr>
                <w:sz w:val="24"/>
                <w:szCs w:val="24"/>
              </w:rPr>
            </w:pPr>
            <w:proofErr w:type="spellStart"/>
            <w:proofErr w:type="gramStart"/>
            <w:r w:rsidRPr="00DE0086">
              <w:t>п</w:t>
            </w:r>
            <w:proofErr w:type="spellEnd"/>
            <w:proofErr w:type="gramEnd"/>
            <w:r w:rsidRPr="00DE0086">
              <w:rPr>
                <w:lang w:val="en-US"/>
              </w:rPr>
              <w:t>/</w:t>
            </w:r>
            <w:proofErr w:type="spellStart"/>
            <w:r w:rsidRPr="00DE0086">
              <w:t>п</w:t>
            </w:r>
            <w:proofErr w:type="spellEnd"/>
          </w:p>
        </w:tc>
        <w:tc>
          <w:tcPr>
            <w:tcW w:w="6946" w:type="dxa"/>
          </w:tcPr>
          <w:p w:rsidR="00E43CE8" w:rsidRPr="003501A6" w:rsidRDefault="00E43CE8" w:rsidP="00827C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501A6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7993" w:type="dxa"/>
          </w:tcPr>
          <w:p w:rsidR="00E43CE8" w:rsidRPr="003501A6" w:rsidRDefault="00E43CE8" w:rsidP="00827C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501A6">
              <w:rPr>
                <w:b/>
                <w:sz w:val="24"/>
                <w:szCs w:val="24"/>
              </w:rPr>
              <w:t>Ответ</w:t>
            </w:r>
          </w:p>
        </w:tc>
      </w:tr>
      <w:tr w:rsidR="007F69D9" w:rsidRPr="003501A6" w:rsidTr="007F69D9">
        <w:tc>
          <w:tcPr>
            <w:tcW w:w="709" w:type="dxa"/>
            <w:vAlign w:val="center"/>
          </w:tcPr>
          <w:p w:rsidR="007258CF" w:rsidRPr="007258CF" w:rsidRDefault="007258CF" w:rsidP="007258CF">
            <w:pPr>
              <w:shd w:val="clear" w:color="auto" w:fill="FFFFFF"/>
              <w:spacing w:line="274" w:lineRule="exact"/>
              <w:ind w:left="43" w:right="1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946" w:type="dxa"/>
          </w:tcPr>
          <w:p w:rsidR="007258CF" w:rsidRPr="00C10572" w:rsidRDefault="007258CF" w:rsidP="007258CF">
            <w:pPr>
              <w:shd w:val="clear" w:color="auto" w:fill="FFFFFF"/>
              <w:spacing w:line="274" w:lineRule="exact"/>
              <w:ind w:left="43" w:right="10" w:firstLine="459"/>
              <w:rPr>
                <w:rFonts w:eastAsia="Times New Roman"/>
                <w:sz w:val="24"/>
                <w:szCs w:val="24"/>
              </w:rPr>
            </w:pPr>
            <w:r w:rsidRPr="00C10572">
              <w:rPr>
                <w:rFonts w:eastAsia="Times New Roman"/>
                <w:b/>
                <w:sz w:val="24"/>
                <w:szCs w:val="24"/>
              </w:rPr>
              <w:t>Предложение:</w:t>
            </w:r>
            <w:r w:rsidRPr="00C10572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C10572">
              <w:rPr>
                <w:rFonts w:eastAsia="Times New Roman"/>
                <w:sz w:val="24"/>
                <w:szCs w:val="24"/>
              </w:rPr>
              <w:t>Внести изменения в методику расчета кредитного риска по условным обязательствам кредитного характера (Инструкция №139-И), позволяющие выданные (предоставленные) банками гарантии в обеспечение исполнения контракта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 включать в условные обязательства кредитного характера с низким риском (например, с коэффициентом 0,2).</w:t>
            </w:r>
            <w:proofErr w:type="gramEnd"/>
          </w:p>
        </w:tc>
        <w:tc>
          <w:tcPr>
            <w:tcW w:w="7993" w:type="dxa"/>
          </w:tcPr>
          <w:p w:rsidR="007258CF" w:rsidRPr="00C10572" w:rsidRDefault="007258CF" w:rsidP="007258CF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/>
                <w:sz w:val="24"/>
                <w:szCs w:val="24"/>
              </w:rPr>
            </w:pPr>
            <w:r w:rsidRPr="00C10572">
              <w:rPr>
                <w:rFonts w:eastAsia="Times New Roman"/>
                <w:sz w:val="24"/>
                <w:szCs w:val="24"/>
              </w:rPr>
              <w:t xml:space="preserve">В Инструкции № 139-И реализован упрощенный стандартизированный подход к оценке кредитного риска, предусмотренный Базелем II, в том числе в отношении риска по </w:t>
            </w:r>
            <w:proofErr w:type="spellStart"/>
            <w:r w:rsidRPr="00C10572">
              <w:rPr>
                <w:rFonts w:eastAsia="Times New Roman"/>
                <w:sz w:val="24"/>
                <w:szCs w:val="24"/>
              </w:rPr>
              <w:t>внебалансовым</w:t>
            </w:r>
            <w:proofErr w:type="spellEnd"/>
            <w:r w:rsidRPr="00C10572">
              <w:rPr>
                <w:rFonts w:eastAsia="Times New Roman"/>
                <w:sz w:val="24"/>
                <w:szCs w:val="24"/>
              </w:rPr>
              <w:t xml:space="preserve"> операциям.</w:t>
            </w:r>
          </w:p>
          <w:p w:rsidR="007258CF" w:rsidRPr="00C10572" w:rsidRDefault="007258CF" w:rsidP="00827C67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/>
                <w:sz w:val="24"/>
                <w:szCs w:val="24"/>
              </w:rPr>
            </w:pPr>
            <w:r w:rsidRPr="00C10572">
              <w:rPr>
                <w:rFonts w:eastAsia="Times New Roman"/>
                <w:sz w:val="24"/>
                <w:szCs w:val="24"/>
              </w:rPr>
              <w:t>В соответствии с Приложением 2 к Инструкции № 139-И в расчет показателя кредитного риска по условным обязательствам кредитного характера (КРВ) включаются:</w:t>
            </w:r>
          </w:p>
          <w:p w:rsidR="007258CF" w:rsidRPr="00C10572" w:rsidRDefault="007258CF" w:rsidP="00827C67">
            <w:pPr>
              <w:shd w:val="clear" w:color="auto" w:fill="FFFFFF"/>
              <w:spacing w:line="274" w:lineRule="exact"/>
              <w:ind w:left="38" w:right="5" w:firstLine="0"/>
              <w:rPr>
                <w:rFonts w:eastAsia="Times New Roman"/>
                <w:sz w:val="24"/>
                <w:szCs w:val="24"/>
              </w:rPr>
            </w:pPr>
            <w:r w:rsidRPr="00C10572">
              <w:rPr>
                <w:rFonts w:eastAsia="Times New Roman"/>
                <w:sz w:val="24"/>
                <w:szCs w:val="24"/>
              </w:rPr>
              <w:t>- обязательства произвести выплаты в случае невыполнения контрагентами своих обязательств перед другими кредиторами;</w:t>
            </w:r>
          </w:p>
          <w:p w:rsidR="007258CF" w:rsidRPr="00C10572" w:rsidRDefault="007258CF" w:rsidP="00827C67">
            <w:pPr>
              <w:shd w:val="clear" w:color="auto" w:fill="FFFFFF"/>
              <w:spacing w:line="274" w:lineRule="exact"/>
              <w:ind w:left="43" w:right="5" w:firstLine="0"/>
              <w:rPr>
                <w:rFonts w:eastAsia="Times New Roman"/>
                <w:sz w:val="24"/>
                <w:szCs w:val="24"/>
              </w:rPr>
            </w:pPr>
            <w:r w:rsidRPr="00C10572">
              <w:rPr>
                <w:rFonts w:eastAsia="Times New Roman"/>
                <w:sz w:val="24"/>
                <w:szCs w:val="24"/>
              </w:rPr>
              <w:t>- обязательства банка предоставить средства на возвратной основе.</w:t>
            </w:r>
          </w:p>
          <w:p w:rsidR="007258CF" w:rsidRPr="00C10572" w:rsidRDefault="007258CF" w:rsidP="00827C67">
            <w:pPr>
              <w:shd w:val="clear" w:color="auto" w:fill="FFFFFF"/>
              <w:tabs>
                <w:tab w:val="left" w:pos="2122"/>
                <w:tab w:val="left" w:pos="3005"/>
                <w:tab w:val="left" w:pos="4752"/>
              </w:tabs>
              <w:spacing w:line="274" w:lineRule="exact"/>
              <w:ind w:left="34" w:firstLine="0"/>
              <w:rPr>
                <w:rFonts w:eastAsia="Times New Roman"/>
                <w:sz w:val="24"/>
                <w:szCs w:val="24"/>
              </w:rPr>
            </w:pPr>
            <w:r w:rsidRPr="00C10572">
              <w:rPr>
                <w:rFonts w:eastAsia="Times New Roman"/>
                <w:sz w:val="24"/>
                <w:szCs w:val="24"/>
              </w:rPr>
              <w:t xml:space="preserve">Рассматриваемые гарантии, содержащие обязательства платежа, относятся к финансовым инструментам с высоким риском (коэффициент риска 100 %). </w:t>
            </w:r>
          </w:p>
          <w:p w:rsidR="007258CF" w:rsidRPr="00C10572" w:rsidRDefault="007258CF" w:rsidP="00827C67">
            <w:pPr>
              <w:shd w:val="clear" w:color="auto" w:fill="FFFFFF"/>
              <w:tabs>
                <w:tab w:val="left" w:pos="2122"/>
                <w:tab w:val="left" w:pos="3005"/>
                <w:tab w:val="left" w:pos="4752"/>
              </w:tabs>
              <w:spacing w:line="274" w:lineRule="exact"/>
              <w:ind w:left="34" w:firstLine="0"/>
              <w:rPr>
                <w:rFonts w:eastAsia="Times New Roman"/>
                <w:sz w:val="24"/>
                <w:szCs w:val="24"/>
              </w:rPr>
            </w:pPr>
            <w:proofErr w:type="gramStart"/>
            <w:r w:rsidRPr="00C10572">
              <w:rPr>
                <w:rFonts w:eastAsia="Times New Roman"/>
                <w:sz w:val="24"/>
                <w:szCs w:val="24"/>
              </w:rPr>
              <w:t>При этом текущим регулированием предусмотрено, что гарантии включаются в расчет КРВ только с момента возникновения обязательства принципала перед бенефициаром, что равноценно применению коэффициента кредитного эквивалента 0 до наступления соответствующего события («когда обязательство принципала перед бенефициаром возникнет в будущем после выдачи (предоставления) банковской гарантии (поручительства) или сделка между принципалом и бенефициаром совершена с отлагательным условием»).</w:t>
            </w:r>
            <w:proofErr w:type="gramEnd"/>
          </w:p>
          <w:p w:rsidR="007258CF" w:rsidRPr="00C10572" w:rsidRDefault="007258CF" w:rsidP="00827C67">
            <w:pPr>
              <w:shd w:val="clear" w:color="auto" w:fill="FFFFFF"/>
              <w:tabs>
                <w:tab w:val="left" w:pos="2122"/>
                <w:tab w:val="left" w:pos="3005"/>
                <w:tab w:val="left" w:pos="4752"/>
              </w:tabs>
              <w:spacing w:line="274" w:lineRule="exact"/>
              <w:ind w:left="34" w:firstLine="0"/>
              <w:rPr>
                <w:rFonts w:eastAsia="Times New Roman"/>
                <w:sz w:val="24"/>
                <w:szCs w:val="24"/>
              </w:rPr>
            </w:pPr>
            <w:r w:rsidRPr="00C10572">
              <w:rPr>
                <w:rFonts w:eastAsia="Times New Roman"/>
                <w:sz w:val="24"/>
                <w:szCs w:val="24"/>
              </w:rPr>
              <w:t xml:space="preserve">Если гарантия выдана в обеспечение заявки на участие в конкурсе (аукционе), она включается в расчет КРВ </w:t>
            </w:r>
            <w:proofErr w:type="gramStart"/>
            <w:r w:rsidRPr="00C10572">
              <w:rPr>
                <w:rFonts w:eastAsia="Times New Roman"/>
                <w:sz w:val="24"/>
                <w:szCs w:val="24"/>
              </w:rPr>
              <w:t>с даты наступления</w:t>
            </w:r>
            <w:proofErr w:type="gramEnd"/>
            <w:r w:rsidRPr="00C10572">
              <w:rPr>
                <w:rFonts w:eastAsia="Times New Roman"/>
                <w:sz w:val="24"/>
                <w:szCs w:val="24"/>
              </w:rPr>
              <w:t xml:space="preserve"> обстоятельств, предусмотренных Федеральным законом № 44-ФЗ «О контрактной системе в сфере закупок товаров, работ, услуг для обеспечения государственных и муниципальных нужд». </w:t>
            </w:r>
          </w:p>
          <w:p w:rsidR="007258CF" w:rsidRPr="00C10572" w:rsidRDefault="007258CF" w:rsidP="00827C67">
            <w:pPr>
              <w:shd w:val="clear" w:color="auto" w:fill="FFFFFF"/>
              <w:spacing w:line="274" w:lineRule="exact"/>
              <w:ind w:left="48" w:firstLine="0"/>
              <w:rPr>
                <w:rFonts w:eastAsia="Times New Roman"/>
                <w:sz w:val="24"/>
                <w:szCs w:val="24"/>
              </w:rPr>
            </w:pPr>
            <w:r w:rsidRPr="00C10572">
              <w:rPr>
                <w:rFonts w:eastAsia="Times New Roman"/>
                <w:sz w:val="24"/>
                <w:szCs w:val="24"/>
              </w:rPr>
              <w:t>Гарантия, выданная в обеспечение исполнения контракта, включается в расчет КРВ с даты ненадлежащего исполнения обязатель</w:t>
            </w:r>
            <w:proofErr w:type="gramStart"/>
            <w:r w:rsidRPr="00C10572">
              <w:rPr>
                <w:rFonts w:eastAsia="Times New Roman"/>
                <w:sz w:val="24"/>
                <w:szCs w:val="24"/>
              </w:rPr>
              <w:t>ств пр</w:t>
            </w:r>
            <w:proofErr w:type="gramEnd"/>
            <w:r w:rsidRPr="00C10572">
              <w:rPr>
                <w:rFonts w:eastAsia="Times New Roman"/>
                <w:sz w:val="24"/>
                <w:szCs w:val="24"/>
              </w:rPr>
              <w:t xml:space="preserve">инципалом </w:t>
            </w:r>
            <w:r w:rsidRPr="00C10572">
              <w:rPr>
                <w:rFonts w:eastAsia="Times New Roman"/>
                <w:sz w:val="24"/>
                <w:szCs w:val="24"/>
              </w:rPr>
              <w:lastRenderedPageBreak/>
              <w:t>в соответствии с Федеральным законом № 44-ФЗ.</w:t>
            </w:r>
          </w:p>
        </w:tc>
      </w:tr>
      <w:tr w:rsidR="007F69D9" w:rsidRPr="003501A6" w:rsidTr="007F69D9">
        <w:tc>
          <w:tcPr>
            <w:tcW w:w="709" w:type="dxa"/>
          </w:tcPr>
          <w:p w:rsidR="007258CF" w:rsidRPr="007258CF" w:rsidRDefault="007258CF" w:rsidP="007258CF">
            <w:pPr>
              <w:shd w:val="clear" w:color="auto" w:fill="FFFFFF"/>
              <w:spacing w:line="274" w:lineRule="exact"/>
              <w:ind w:left="43" w:right="1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6946" w:type="dxa"/>
          </w:tcPr>
          <w:p w:rsidR="007258CF" w:rsidRPr="00C10572" w:rsidRDefault="007258CF" w:rsidP="00AC6DB3">
            <w:pPr>
              <w:shd w:val="clear" w:color="auto" w:fill="FFFFFF"/>
              <w:spacing w:line="274" w:lineRule="exact"/>
              <w:ind w:left="43" w:right="10" w:firstLine="459"/>
              <w:rPr>
                <w:rFonts w:eastAsia="Times New Roman"/>
                <w:b/>
                <w:sz w:val="24"/>
                <w:szCs w:val="24"/>
              </w:rPr>
            </w:pPr>
            <w:r w:rsidRPr="00C10572">
              <w:rPr>
                <w:rFonts w:eastAsia="Times New Roman"/>
                <w:b/>
                <w:sz w:val="24"/>
                <w:szCs w:val="24"/>
              </w:rPr>
              <w:t xml:space="preserve">Предложение </w:t>
            </w:r>
            <w:r w:rsidRPr="00C10572">
              <w:rPr>
                <w:rFonts w:eastAsia="Times New Roman"/>
                <w:sz w:val="24"/>
                <w:szCs w:val="24"/>
              </w:rPr>
              <w:t xml:space="preserve">– рассмотреть возможность включения в 1 или во 2 группу активов при расчете нормативов достаточности капитала кредитных требований, обеспеченных гарантией ОАО «МСП Банк». </w:t>
            </w:r>
          </w:p>
        </w:tc>
        <w:tc>
          <w:tcPr>
            <w:tcW w:w="7993" w:type="dxa"/>
            <w:vMerge w:val="restart"/>
          </w:tcPr>
          <w:p w:rsidR="007258CF" w:rsidRPr="00C10572" w:rsidRDefault="007258CF" w:rsidP="00827C67">
            <w:pPr>
              <w:shd w:val="clear" w:color="auto" w:fill="FFFFFF"/>
              <w:spacing w:line="274" w:lineRule="exact"/>
              <w:ind w:left="48" w:firstLine="0"/>
              <w:rPr>
                <w:rFonts w:eastAsia="Times New Roman"/>
                <w:sz w:val="24"/>
                <w:szCs w:val="24"/>
              </w:rPr>
            </w:pPr>
            <w:r w:rsidRPr="00C10572">
              <w:rPr>
                <w:rFonts w:eastAsia="Times New Roman"/>
                <w:sz w:val="24"/>
                <w:szCs w:val="24"/>
              </w:rPr>
              <w:t xml:space="preserve">В соответствии с </w:t>
            </w:r>
            <w:proofErr w:type="spellStart"/>
            <w:proofErr w:type="gramStart"/>
            <w:r w:rsidRPr="00C10572">
              <w:rPr>
                <w:rFonts w:eastAsia="Times New Roman"/>
                <w:sz w:val="24"/>
                <w:szCs w:val="24"/>
              </w:rPr>
              <w:t>международно</w:t>
            </w:r>
            <w:proofErr w:type="spellEnd"/>
            <w:r w:rsidRPr="00C10572">
              <w:rPr>
                <w:rFonts w:eastAsia="Times New Roman"/>
                <w:sz w:val="24"/>
                <w:szCs w:val="24"/>
              </w:rPr>
              <w:t xml:space="preserve"> признанными</w:t>
            </w:r>
            <w:proofErr w:type="gramEnd"/>
            <w:r w:rsidRPr="00C10572">
              <w:rPr>
                <w:rFonts w:eastAsia="Times New Roman"/>
                <w:sz w:val="24"/>
                <w:szCs w:val="24"/>
              </w:rPr>
              <w:t xml:space="preserve"> подходами к оценке кредитного риска, реализованными в Инструкции № 139-И, наличие гарантии по требованию не может привести к более низкой оценке риска по обеспеченному этой гарантией требованию, чем по требованию непосредственно к гаранту.</w:t>
            </w:r>
          </w:p>
          <w:p w:rsidR="007258CF" w:rsidRPr="00C10572" w:rsidRDefault="007258CF" w:rsidP="00827C67">
            <w:pPr>
              <w:shd w:val="clear" w:color="auto" w:fill="FFFFFF"/>
              <w:spacing w:line="274" w:lineRule="exact"/>
              <w:ind w:left="48" w:firstLine="0"/>
              <w:rPr>
                <w:rFonts w:eastAsia="Times New Roman"/>
                <w:sz w:val="24"/>
                <w:szCs w:val="24"/>
              </w:rPr>
            </w:pPr>
            <w:r w:rsidRPr="00C10572">
              <w:rPr>
                <w:rFonts w:eastAsia="Times New Roman"/>
                <w:sz w:val="24"/>
                <w:szCs w:val="24"/>
              </w:rPr>
              <w:t xml:space="preserve">При этом требования к кредитным организациям </w:t>
            </w:r>
            <w:proofErr w:type="gramStart"/>
            <w:r w:rsidRPr="00C10572">
              <w:rPr>
                <w:rFonts w:eastAsia="Times New Roman"/>
                <w:sz w:val="24"/>
                <w:szCs w:val="24"/>
              </w:rPr>
              <w:t>-р</w:t>
            </w:r>
            <w:proofErr w:type="gramEnd"/>
            <w:r w:rsidRPr="00C10572">
              <w:rPr>
                <w:rFonts w:eastAsia="Times New Roman"/>
                <w:sz w:val="24"/>
                <w:szCs w:val="24"/>
              </w:rPr>
              <w:t>езидентам (за исключением удовлетворяющих требованиям кода 8964) оцениваются с коэффициентом риска 100%.</w:t>
            </w:r>
          </w:p>
          <w:p w:rsidR="007258CF" w:rsidRPr="00C10572" w:rsidRDefault="007258CF" w:rsidP="00827C67">
            <w:pPr>
              <w:shd w:val="clear" w:color="auto" w:fill="FFFFFF"/>
              <w:spacing w:line="274" w:lineRule="exact"/>
              <w:ind w:left="48" w:firstLine="0"/>
              <w:rPr>
                <w:rFonts w:eastAsia="Times New Roman"/>
                <w:sz w:val="24"/>
                <w:szCs w:val="24"/>
              </w:rPr>
            </w:pPr>
            <w:r w:rsidRPr="00C10572">
              <w:rPr>
                <w:rFonts w:eastAsia="Times New Roman"/>
                <w:sz w:val="24"/>
                <w:szCs w:val="24"/>
              </w:rPr>
              <w:t>Таким образом, само по себе наличие гарантии ОАО «МСП Банк», АО «НДКО «АКТ», не позволяет применить к требованиям, обеспеченным данными гарантиями, пониженный коэффициент риска в целях расчета обязательных нормативов.</w:t>
            </w:r>
          </w:p>
          <w:p w:rsidR="007258CF" w:rsidRPr="00C10572" w:rsidRDefault="007258CF" w:rsidP="00827C67">
            <w:pPr>
              <w:shd w:val="clear" w:color="auto" w:fill="FFFFFF"/>
              <w:spacing w:line="274" w:lineRule="exact"/>
              <w:ind w:left="48" w:firstLine="0"/>
              <w:rPr>
                <w:rFonts w:eastAsia="Times New Roman"/>
                <w:sz w:val="24"/>
                <w:szCs w:val="24"/>
              </w:rPr>
            </w:pPr>
            <w:proofErr w:type="gramStart"/>
            <w:r w:rsidRPr="00C10572">
              <w:rPr>
                <w:rFonts w:eastAsia="Times New Roman"/>
                <w:sz w:val="24"/>
                <w:szCs w:val="24"/>
              </w:rPr>
              <w:t>Вместе с тем, может быть рассмотрен вопрос об использовании пониженного коэффициента риска применительно к кредитам, предоставленным под гарантии указанных в обращении лиц, при обязательном наличии гарантии Российской Федерации или субъекта Российской Федерации, или муниципального образования Российской Федерации, выданной в обеспечение исполнения обязательств указанных лиц, при наличии в бюджете соответствующего уровня, выступающего гарантом, соответствующей статьи расходов в обеспечение исполнения обязательств по</w:t>
            </w:r>
            <w:proofErr w:type="gramEnd"/>
            <w:r w:rsidRPr="00C10572">
              <w:rPr>
                <w:rFonts w:eastAsia="Times New Roman"/>
                <w:sz w:val="24"/>
                <w:szCs w:val="24"/>
              </w:rPr>
              <w:t xml:space="preserve"> гарантии, а также при одновременном выполнении всех условий, предъявляемых к гарантиям в рамках Инструкции № 139-И.</w:t>
            </w:r>
          </w:p>
          <w:p w:rsidR="007258CF" w:rsidRPr="00C10572" w:rsidRDefault="007258CF" w:rsidP="00827C67">
            <w:pPr>
              <w:shd w:val="clear" w:color="auto" w:fill="FFFFFF"/>
              <w:spacing w:line="274" w:lineRule="exact"/>
              <w:ind w:left="48" w:firstLine="0"/>
              <w:rPr>
                <w:rFonts w:eastAsia="Times New Roman"/>
                <w:sz w:val="24"/>
                <w:szCs w:val="24"/>
              </w:rPr>
            </w:pPr>
            <w:r w:rsidRPr="00C10572">
              <w:rPr>
                <w:rFonts w:eastAsia="Times New Roman"/>
                <w:sz w:val="24"/>
                <w:szCs w:val="24"/>
              </w:rPr>
              <w:t xml:space="preserve">Примером подобного регулирования является подход к оценке кредитного риска, реализованный в отношении требований при наличии договора страхования экспортных кредитов и инвестиций, обеспеченного </w:t>
            </w:r>
            <w:r w:rsidRPr="00C10572">
              <w:rPr>
                <w:rFonts w:eastAsia="Times New Roman"/>
                <w:spacing w:val="-1"/>
                <w:sz w:val="24"/>
                <w:szCs w:val="24"/>
              </w:rPr>
              <w:t xml:space="preserve">гарантиями Внешэкономбанка (ЭКСАР), исполнение обязательств по которым обеспечено госгарантиями, </w:t>
            </w:r>
            <w:r w:rsidRPr="00C10572">
              <w:rPr>
                <w:rFonts w:eastAsia="Times New Roman"/>
                <w:sz w:val="24"/>
                <w:szCs w:val="24"/>
              </w:rPr>
              <w:t>выданными в соответствии с бюджетным законодательством Российской Федерации.</w:t>
            </w:r>
          </w:p>
        </w:tc>
      </w:tr>
      <w:tr w:rsidR="007F69D9" w:rsidRPr="003501A6" w:rsidTr="007F69D9">
        <w:tc>
          <w:tcPr>
            <w:tcW w:w="709" w:type="dxa"/>
            <w:vAlign w:val="center"/>
          </w:tcPr>
          <w:p w:rsidR="007258CF" w:rsidRPr="007258CF" w:rsidRDefault="007258CF" w:rsidP="007258CF">
            <w:pPr>
              <w:shd w:val="clear" w:color="auto" w:fill="FFFFFF"/>
              <w:spacing w:line="274" w:lineRule="exact"/>
              <w:ind w:left="43" w:right="1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946" w:type="dxa"/>
          </w:tcPr>
          <w:p w:rsidR="007258CF" w:rsidRPr="00C10572" w:rsidRDefault="007258CF" w:rsidP="00AC6DB3">
            <w:pPr>
              <w:shd w:val="clear" w:color="auto" w:fill="FFFFFF"/>
              <w:spacing w:line="274" w:lineRule="exact"/>
              <w:ind w:left="43" w:right="10" w:firstLine="459"/>
              <w:rPr>
                <w:rFonts w:eastAsia="Times New Roman"/>
                <w:b/>
                <w:sz w:val="24"/>
                <w:szCs w:val="24"/>
              </w:rPr>
            </w:pPr>
            <w:r w:rsidRPr="00C10572">
              <w:rPr>
                <w:rFonts w:eastAsia="Times New Roman"/>
                <w:b/>
                <w:sz w:val="24"/>
                <w:szCs w:val="24"/>
              </w:rPr>
              <w:t xml:space="preserve">Предложение </w:t>
            </w:r>
            <w:r w:rsidRPr="00C10572">
              <w:rPr>
                <w:rFonts w:eastAsia="Times New Roman"/>
                <w:sz w:val="24"/>
                <w:szCs w:val="24"/>
              </w:rPr>
              <w:t>- внесение изменений в Инструкцию Банка России от 3 декабря 2012 г. № 139-И «Об обязательных нормативах банков» в части изменения/снижения коэффициента риска по кредитам МСП, обеспеченным гарантиями Акционерного общества «Небанковская депозитно-кредитная организация «Агентство кредитных гарантий».</w:t>
            </w:r>
          </w:p>
        </w:tc>
        <w:tc>
          <w:tcPr>
            <w:tcW w:w="7993" w:type="dxa"/>
            <w:vMerge/>
          </w:tcPr>
          <w:p w:rsidR="007258CF" w:rsidRPr="00C10572" w:rsidRDefault="007258CF" w:rsidP="00827C67">
            <w:pPr>
              <w:ind w:firstLine="0"/>
              <w:rPr>
                <w:sz w:val="24"/>
                <w:szCs w:val="24"/>
              </w:rPr>
            </w:pPr>
          </w:p>
        </w:tc>
      </w:tr>
      <w:tr w:rsidR="00237C38" w:rsidRPr="00F22801" w:rsidTr="007F69D9">
        <w:tc>
          <w:tcPr>
            <w:tcW w:w="709" w:type="dxa"/>
            <w:vAlign w:val="center"/>
          </w:tcPr>
          <w:p w:rsidR="00237C38" w:rsidRDefault="00237C38" w:rsidP="00D35393">
            <w:pPr>
              <w:shd w:val="clear" w:color="auto" w:fill="FFFFFF"/>
              <w:spacing w:line="274" w:lineRule="exact"/>
              <w:ind w:left="43" w:right="1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946" w:type="dxa"/>
          </w:tcPr>
          <w:p w:rsidR="00237C38" w:rsidRPr="00C10572" w:rsidRDefault="00237C38" w:rsidP="00237C38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 xml:space="preserve">В рамках генерального соглашения с банком-резидентом контрагенты по сделкам РЕПО обмениваются взаимными согласованными требованиями по пополнению/возврату маржинальных взносов в зависимости от снижения/роста стоимости обеспечения (ценных бумаг) и имеют возможность их взаимозачета. </w:t>
            </w:r>
          </w:p>
          <w:p w:rsidR="00237C38" w:rsidRPr="00C10572" w:rsidRDefault="00237C38" w:rsidP="00237C38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 xml:space="preserve">В случае если на балансе Банка указанные встречные </w:t>
            </w:r>
            <w:r w:rsidRPr="00C10572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требования/обязательства (маржинальные взносы по сделкам РЕПО) отражаются развернуто на балансовых счетах № 32201 и 31501, вправе ли Банк при расчете суммы кредитных требований к заемщику (КРЗ) их </w:t>
            </w:r>
            <w:proofErr w:type="spellStart"/>
            <w:r w:rsidRPr="00C10572">
              <w:rPr>
                <w:rFonts w:eastAsia="Times New Roman" w:cs="Times New Roman"/>
                <w:sz w:val="24"/>
                <w:szCs w:val="24"/>
              </w:rPr>
              <w:t>взаимозачитывать</w:t>
            </w:r>
            <w:proofErr w:type="spellEnd"/>
            <w:r w:rsidRPr="00C10572">
              <w:rPr>
                <w:rFonts w:eastAsia="Times New Roman" w:cs="Times New Roman"/>
                <w:sz w:val="24"/>
                <w:szCs w:val="24"/>
              </w:rPr>
              <w:t>?</w:t>
            </w:r>
          </w:p>
        </w:tc>
        <w:tc>
          <w:tcPr>
            <w:tcW w:w="7993" w:type="dxa"/>
          </w:tcPr>
          <w:p w:rsidR="00237C38" w:rsidRPr="00C10572" w:rsidRDefault="00237C38" w:rsidP="00F22801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Зачет встречных требований/обязательств по перечислению маржинальных взносов по сделкам </w:t>
            </w:r>
            <w:proofErr w:type="spellStart"/>
            <w:r w:rsidRPr="00C10572">
              <w:rPr>
                <w:rFonts w:eastAsia="Times New Roman" w:cs="Times New Roman"/>
                <w:sz w:val="24"/>
                <w:szCs w:val="24"/>
              </w:rPr>
              <w:t>репо</w:t>
            </w:r>
            <w:proofErr w:type="spell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10572">
              <w:rPr>
                <w:rFonts w:eastAsia="Times New Roman" w:cs="Times New Roman"/>
                <w:spacing w:val="-2"/>
                <w:sz w:val="24"/>
                <w:szCs w:val="24"/>
              </w:rPr>
              <w:t>при расчете норматива Н</w:t>
            </w:r>
            <w:proofErr w:type="gramStart"/>
            <w:r w:rsidRPr="00C10572">
              <w:rPr>
                <w:rFonts w:eastAsia="Times New Roman" w:cs="Times New Roman"/>
                <w:spacing w:val="-2"/>
                <w:sz w:val="24"/>
                <w:szCs w:val="24"/>
              </w:rPr>
              <w:t>6</w:t>
            </w:r>
            <w:proofErr w:type="gramEnd"/>
            <w:r w:rsidRPr="00C10572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возможен, в случае если Банк осуществляет расчет нормативов достаточности капитала </w:t>
            </w:r>
            <w:r w:rsidRPr="00C10572">
              <w:rPr>
                <w:rFonts w:eastAsia="Times New Roman" w:cs="Times New Roman"/>
                <w:sz w:val="24"/>
                <w:szCs w:val="24"/>
              </w:rPr>
              <w:t>банка в соответствии с п. 2.6 Инструкции № 139-И.</w:t>
            </w:r>
          </w:p>
        </w:tc>
      </w:tr>
      <w:tr w:rsidR="00534506" w:rsidRPr="00F22801" w:rsidTr="007F69D9">
        <w:tc>
          <w:tcPr>
            <w:tcW w:w="709" w:type="dxa"/>
            <w:vAlign w:val="center"/>
          </w:tcPr>
          <w:p w:rsidR="00F22801" w:rsidRPr="00F22801" w:rsidRDefault="00237C38" w:rsidP="00D35393">
            <w:pPr>
              <w:shd w:val="clear" w:color="auto" w:fill="FFFFFF"/>
              <w:spacing w:line="274" w:lineRule="exact"/>
              <w:ind w:left="43" w:right="1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6946" w:type="dxa"/>
          </w:tcPr>
          <w:p w:rsidR="00F22801" w:rsidRPr="00C10572" w:rsidRDefault="00F22801" w:rsidP="00F22801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>Обязан ли банк включать в группу связанных с банком лиц физическое и (или) юридическое лицо, которое выступает поручителем или залогодателем связанного с банком лица, но не имеет с ним юридической и (или) экономической связи?</w:t>
            </w:r>
          </w:p>
        </w:tc>
        <w:tc>
          <w:tcPr>
            <w:tcW w:w="7993" w:type="dxa"/>
          </w:tcPr>
          <w:p w:rsidR="00F22801" w:rsidRPr="00C10572" w:rsidRDefault="00F22801" w:rsidP="00F22801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>Факт наличия поручительства или предоставления залога за связанное с банком лицо (при отсутствии юридической или экономической связи) не является основанием для включения лица, его предоставившего, в группу связанных с банком лиц.</w:t>
            </w:r>
          </w:p>
          <w:p w:rsidR="00F22801" w:rsidRPr="00C10572" w:rsidRDefault="00F22801" w:rsidP="00F22801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C10572">
              <w:rPr>
                <w:rFonts w:eastAsia="Times New Roman" w:cs="Times New Roman"/>
                <w:sz w:val="24"/>
                <w:szCs w:val="24"/>
              </w:rPr>
              <w:t>Отнесение физических и юридических лиц (группы лиц) к связанным с кредитной организацией осуществляется кредитной организацией самостоятельно на основании критериев статьи 64.1 Федерального закона № 86-ФЗ «О Центральном банке Российской Федерации (Банке России)», статьи 9 Федерального закона № 135-ФЗ «О защите конкуренции» в соответствии с разработанными и утвержденными внутренними документами, регулирующими указанный вопрос, с учетом подходов, установленных Международными стандартами финансовой   отчетности, а также</w:t>
            </w:r>
            <w:proofErr w:type="gram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обычаями делового оборота.</w:t>
            </w:r>
          </w:p>
        </w:tc>
      </w:tr>
      <w:tr w:rsidR="00534506" w:rsidRPr="00D35393" w:rsidTr="007F69D9">
        <w:tc>
          <w:tcPr>
            <w:tcW w:w="709" w:type="dxa"/>
            <w:vAlign w:val="center"/>
          </w:tcPr>
          <w:p w:rsidR="00D35393" w:rsidRPr="00D35393" w:rsidRDefault="00237C38" w:rsidP="00D35393">
            <w:pPr>
              <w:shd w:val="clear" w:color="auto" w:fill="FFFFFF"/>
              <w:spacing w:line="274" w:lineRule="exact"/>
              <w:ind w:left="43" w:right="1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946" w:type="dxa"/>
          </w:tcPr>
          <w:p w:rsidR="00D35393" w:rsidRPr="00C10572" w:rsidRDefault="00D35393" w:rsidP="00D35393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 xml:space="preserve">Признаком возможной связанности лица (лиц) с банком могут являться операции (сделки), существенным образом влияющие на размер собственных средств (капитала) (далее - ССК), в т.ч. когда размер ССК позволяет банку в текущем отчетном периоде поддерживать ССК на уровне, обеспечивающем выполнение обязательных нормативов и лимитов открытых валютных позиций. </w:t>
            </w:r>
          </w:p>
          <w:p w:rsidR="00D35393" w:rsidRPr="00C10572" w:rsidRDefault="00D35393" w:rsidP="00D35393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>Каким образом устанавливается размер существенности и (или) какое его предельное значение, если он может устанавливаться уполномоченным органом Банка?</w:t>
            </w:r>
          </w:p>
        </w:tc>
        <w:tc>
          <w:tcPr>
            <w:tcW w:w="7993" w:type="dxa"/>
          </w:tcPr>
          <w:p w:rsidR="00D35393" w:rsidRPr="00C10572" w:rsidRDefault="00D35393" w:rsidP="00D35393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C10572">
              <w:rPr>
                <w:rFonts w:eastAsia="Times New Roman" w:cs="Times New Roman"/>
                <w:sz w:val="24"/>
                <w:szCs w:val="24"/>
              </w:rPr>
              <w:t>Признаки возможной связанности лица (лиц) с кредитной организацией разработаны Банком России в целях принятия Комитетом банковского надзора Банка России на основании мотивированного суждения решения о признании лица лицом, связанным с кредитной организацией (входящим в группу связанных с кредитной организацией лиц), для определения максимального размера риска на связанное с кредитной организацией лицо (группу связанных с кредитной организацией лиц).</w:t>
            </w:r>
            <w:proofErr w:type="gramEnd"/>
          </w:p>
          <w:p w:rsidR="00D35393" w:rsidRPr="00C10572" w:rsidRDefault="00D35393" w:rsidP="00D35393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>Данный проект прямо не адресован кредитным организациям и не является обязательным для применения ими.</w:t>
            </w:r>
          </w:p>
          <w:p w:rsidR="00D35393" w:rsidRPr="00C10572" w:rsidRDefault="00D35393" w:rsidP="00D35393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 xml:space="preserve">Вместе с тем полагаем, что кредитные организации могут учитывать его положения в целях контроля рисков от операций со связанным лицом (лицами) при принятии решения по вопросам кредитования потенциальных заемщиков, особенно в случаях непрозрачности их структуры собственности и отсутствия реальной деятельности. В этом случае отнесение физических и юридических лиц (группы лиц) к </w:t>
            </w:r>
            <w:proofErr w:type="gramStart"/>
            <w:r w:rsidRPr="00C10572">
              <w:rPr>
                <w:rFonts w:eastAsia="Times New Roman" w:cs="Times New Roman"/>
                <w:sz w:val="24"/>
                <w:szCs w:val="24"/>
              </w:rPr>
              <w:t>связанным</w:t>
            </w:r>
            <w:proofErr w:type="gram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с кредитной организацией осуществляется кредитной организацией на основании критериев статьи 64.1 Федерального закона «О Центральном банке Российской Федерации (Банке России)» и в соответствии с разработанными и утвержденными внутренними </w:t>
            </w:r>
            <w:r w:rsidRPr="00C10572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документами. </w:t>
            </w:r>
          </w:p>
          <w:p w:rsidR="00D35393" w:rsidRPr="00C10572" w:rsidRDefault="00D35393" w:rsidP="00D35393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 xml:space="preserve">Проектом указания Банка России «О признаках возможной связанности лица (лиц) с кредитной организацией» прямо не установлено понятие существенности. </w:t>
            </w:r>
            <w:proofErr w:type="gramStart"/>
            <w:r w:rsidRPr="00C10572">
              <w:rPr>
                <w:rFonts w:eastAsia="Times New Roman" w:cs="Times New Roman"/>
                <w:sz w:val="24"/>
                <w:szCs w:val="24"/>
              </w:rPr>
              <w:t>При этом подпунктом 1.3 указанного проекта нормативного акта Банка России определено, что существенным образом влияющими на величину собственных средств (капитала) кредитной организации и значения обязательных нормативов могут быть признаны такие операции (сделки), доходы от которых увеличивают собственные средства (капитал) до размера, позволяющего соблюдать обязательные нормативы и лимиты открытых валютных позиций, которые нарушались в предыдущем периоде (то есть довести их, как</w:t>
            </w:r>
            <w:proofErr w:type="gram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минимум, до предельных значений, установленных Банком России, например, когда сумма полученных от указанных операций (сделок) доходов фактически соответствует величине дефицита собственных средств (капитала) кредитной организации).</w:t>
            </w:r>
          </w:p>
        </w:tc>
      </w:tr>
      <w:tr w:rsidR="00534506" w:rsidRPr="00D35393" w:rsidTr="007F69D9">
        <w:tc>
          <w:tcPr>
            <w:tcW w:w="709" w:type="dxa"/>
            <w:vAlign w:val="center"/>
          </w:tcPr>
          <w:p w:rsidR="00D35393" w:rsidRPr="00D35393" w:rsidRDefault="00D35393" w:rsidP="00D35393">
            <w:pPr>
              <w:shd w:val="clear" w:color="auto" w:fill="FFFFFF"/>
              <w:spacing w:line="274" w:lineRule="exact"/>
              <w:ind w:left="43" w:right="1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6946" w:type="dxa"/>
          </w:tcPr>
          <w:p w:rsidR="00D35393" w:rsidRPr="00C10572" w:rsidRDefault="00D35393" w:rsidP="00D35393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 xml:space="preserve">В качестве признаков возможной связанности лица (лиц) с банком могут выступать сделки, в которых имеется заинтересованность </w:t>
            </w:r>
            <w:proofErr w:type="spellStart"/>
            <w:r w:rsidRPr="00C10572">
              <w:rPr>
                <w:rFonts w:eastAsia="Times New Roman" w:cs="Times New Roman"/>
                <w:sz w:val="24"/>
                <w:szCs w:val="24"/>
              </w:rPr>
              <w:t>аффилированных</w:t>
            </w:r>
            <w:proofErr w:type="spell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лиц. Понятие группы лиц при определении максимального размера риска на связанное с Банком лицо (группу связанных с Банком лиц) используется в значении, определенном Федеральным законом от 26.07.2006 года № 135-ФЗ «О защите конкуренции» согласно п. 13. ст. 3 Закона от 02.07.2013 г. № 146-ФЗ. </w:t>
            </w:r>
          </w:p>
          <w:p w:rsidR="00D35393" w:rsidRPr="00C10572" w:rsidRDefault="00D35393" w:rsidP="00D35393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C10572">
              <w:rPr>
                <w:rFonts w:eastAsia="Times New Roman" w:cs="Times New Roman"/>
                <w:sz w:val="24"/>
                <w:szCs w:val="24"/>
              </w:rPr>
              <w:t>Ч. 8 п. 1 ст. 9 закона № 135-ФЗ «О защите конкуренции» группой лиц может признаваться в т.ч. лица, каждое из которых по какому-либо из указанных ранее оснований в ст. 9 входит в группу с одним и тем же лицом, а также другие лица, входящие с любым из таких лиц в группу по какому-либо из указанных ранее оснований в ст</w:t>
            </w:r>
            <w:proofErr w:type="gram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. 9. </w:t>
            </w:r>
          </w:p>
          <w:p w:rsidR="00D35393" w:rsidRPr="00C10572" w:rsidRDefault="00D35393" w:rsidP="00D35393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>Просим разъяснить, до какого уровня взаимосвязи («колена») должен банк рассматривать связи в группе?</w:t>
            </w:r>
          </w:p>
        </w:tc>
        <w:tc>
          <w:tcPr>
            <w:tcW w:w="7993" w:type="dxa"/>
          </w:tcPr>
          <w:p w:rsidR="00D35393" w:rsidRPr="00C10572" w:rsidRDefault="00D35393" w:rsidP="00D35393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>При расчете норматива Н25 учитываются обязательства лица, а также лиц, входящих в группу лиц, перед кредитной организацией. Понятие группы лиц используется в значении, определенном Федеральным законом № 135-ФЗ. При этом учитываются все уровни взаимосвязи лиц на основании критериев, приведенных в статье 9 Федерального закона № 135-ФЗ (с учетом установленных Инструкцией №139-И исключений для расчета норматива, например, в расчет не включаются обязательства кредитных организаций-участников банковской группы, в состав которой входит банк-кредитор).</w:t>
            </w:r>
          </w:p>
          <w:p w:rsidR="00D35393" w:rsidRPr="00C10572" w:rsidRDefault="00D35393" w:rsidP="00D35393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34506" w:rsidRPr="00D35393" w:rsidTr="007F69D9">
        <w:tc>
          <w:tcPr>
            <w:tcW w:w="709" w:type="dxa"/>
            <w:vAlign w:val="center"/>
          </w:tcPr>
          <w:p w:rsidR="00D35393" w:rsidRPr="00D35393" w:rsidRDefault="00D35393" w:rsidP="00D35393">
            <w:pPr>
              <w:shd w:val="clear" w:color="auto" w:fill="FFFFFF"/>
              <w:spacing w:line="274" w:lineRule="exact"/>
              <w:ind w:left="43" w:right="1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946" w:type="dxa"/>
          </w:tcPr>
          <w:p w:rsidR="00D35393" w:rsidRPr="00C10572" w:rsidRDefault="00D35393" w:rsidP="00D35393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 xml:space="preserve">Просим разъяснить порядок заполнения формы 0409118 в течение 2015 года: до вступления в силу статьи 64.1 Федерального Закона № 86-ФЗ и введения Н25 «Риск на связанное с банком лицо», предусматривается ли заполнение граф данной формы отчетности, относящихся к показателям </w:t>
            </w:r>
            <w:r w:rsidRPr="00C10572">
              <w:rPr>
                <w:rFonts w:eastAsia="Times New Roman" w:cs="Times New Roman"/>
                <w:sz w:val="24"/>
                <w:szCs w:val="24"/>
              </w:rPr>
              <w:lastRenderedPageBreak/>
              <w:t>риска на связанное с банком лицо?</w:t>
            </w:r>
          </w:p>
        </w:tc>
        <w:tc>
          <w:tcPr>
            <w:tcW w:w="7993" w:type="dxa"/>
          </w:tcPr>
          <w:p w:rsidR="00D35393" w:rsidRPr="00C10572" w:rsidRDefault="00D35393" w:rsidP="00D35393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Графы формы 0409118 «Данные о концентрации кредитного риска», относящиеся к информации о риске на связанное с банком лицо, заполняются в течение 2015 года в аналитических целях в порядке, установленном Указанием Банка России от 16.12.2014 № 3490-У «О внесении изменений в Инструкцию Банка России № 139-И» (расчет </w:t>
            </w:r>
            <w:r w:rsidRPr="00C10572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показателя </w:t>
            </w:r>
            <w:proofErr w:type="spellStart"/>
            <w:r w:rsidRPr="00C10572">
              <w:rPr>
                <w:rFonts w:eastAsia="Times New Roman" w:cs="Times New Roman"/>
                <w:sz w:val="24"/>
                <w:szCs w:val="24"/>
              </w:rPr>
              <w:t>Крл</w:t>
            </w:r>
            <w:proofErr w:type="spellEnd"/>
            <w:r w:rsidRPr="00C10572">
              <w:rPr>
                <w:rFonts w:eastAsia="Times New Roman" w:cs="Times New Roman"/>
                <w:sz w:val="24"/>
                <w:szCs w:val="24"/>
              </w:rPr>
              <w:t>).</w:t>
            </w:r>
          </w:p>
        </w:tc>
      </w:tr>
      <w:tr w:rsidR="00534506" w:rsidRPr="00CC3BB1" w:rsidTr="007F69D9">
        <w:tc>
          <w:tcPr>
            <w:tcW w:w="709" w:type="dxa"/>
            <w:vAlign w:val="center"/>
          </w:tcPr>
          <w:p w:rsidR="00CC3BB1" w:rsidRPr="00CC3BB1" w:rsidRDefault="00CC3BB1" w:rsidP="00CC3BB1">
            <w:pPr>
              <w:shd w:val="clear" w:color="auto" w:fill="FFFFFF"/>
              <w:spacing w:line="274" w:lineRule="exact"/>
              <w:ind w:left="43" w:right="1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6946" w:type="dxa"/>
          </w:tcPr>
          <w:p w:rsidR="00CC3BB1" w:rsidRPr="00C10572" w:rsidRDefault="00CC3BB1" w:rsidP="00CC3BB1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>Не предусматривает ли Банк России возможность выпуска методического руководства для кредитных организаций по формированию групп связанных заемщиков с рассмотрением конкретных примеров? Данное руководство могло бы исключить возможные неоднозначные и спорные трактовки некоторых ситуаций (например, случаи, когда одна или несколько организаций могут одновременно входить в несколько групп связанных заемщиков).</w:t>
            </w:r>
          </w:p>
        </w:tc>
        <w:tc>
          <w:tcPr>
            <w:tcW w:w="7993" w:type="dxa"/>
          </w:tcPr>
          <w:p w:rsidR="00CC3BB1" w:rsidRPr="00C10572" w:rsidRDefault="00CC3BB1" w:rsidP="00CC3BB1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C10572">
              <w:rPr>
                <w:rFonts w:eastAsia="Times New Roman" w:cs="Times New Roman"/>
                <w:sz w:val="24"/>
                <w:szCs w:val="24"/>
              </w:rPr>
              <w:t>Статьей 64 Федерального закона «О Центральном банке Российской Федерации (Банке России)» установлено, что при определении группы связанных заемщиков в целях расчета максимального размера риска на одного заемщика или группу связанных заемщиков применяются критерии контроля или значительного влияния, которые понимаются в значениях, определенных Международными стандартами финансовой отчетности (МСФО), признанными на территории Российской Федерации.</w:t>
            </w:r>
            <w:proofErr w:type="gram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Учитывая, что МСФО содержат достаточно детальное описание указанных критериев и примеров их применения, полагаем избыточной разработку методического руководства по формированию групп связанных заемщиков в данных целях.</w:t>
            </w:r>
          </w:p>
        </w:tc>
      </w:tr>
      <w:tr w:rsidR="00534506" w:rsidRPr="007368D6" w:rsidTr="007F69D9">
        <w:tc>
          <w:tcPr>
            <w:tcW w:w="709" w:type="dxa"/>
            <w:vAlign w:val="center"/>
          </w:tcPr>
          <w:p w:rsidR="007368D6" w:rsidRPr="007368D6" w:rsidRDefault="007368D6" w:rsidP="007368D6">
            <w:pPr>
              <w:shd w:val="clear" w:color="auto" w:fill="FFFFFF"/>
              <w:spacing w:line="274" w:lineRule="exact"/>
              <w:ind w:left="43" w:right="1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6946" w:type="dxa"/>
          </w:tcPr>
          <w:p w:rsidR="007368D6" w:rsidRPr="00C10572" w:rsidRDefault="007368D6" w:rsidP="007368D6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>Если физическое и (или) юридическое лицо, учтено при расчете обязательного норматива Н</w:t>
            </w:r>
            <w:proofErr w:type="gramStart"/>
            <w:r w:rsidRPr="00C10572">
              <w:rPr>
                <w:rFonts w:eastAsia="Times New Roman" w:cs="Times New Roman"/>
                <w:sz w:val="24"/>
                <w:szCs w:val="24"/>
              </w:rPr>
              <w:t>9</w:t>
            </w:r>
            <w:proofErr w:type="gramEnd"/>
            <w:r w:rsidRPr="00C10572">
              <w:rPr>
                <w:rFonts w:eastAsia="Times New Roman" w:cs="Times New Roman"/>
                <w:sz w:val="24"/>
                <w:szCs w:val="24"/>
              </w:rPr>
              <w:t>.1 и (или) Н10.1. (коды 8926 и 8925 соответственно), то должен ли банк включать этих лиц в расчет норматива в случаях:</w:t>
            </w:r>
          </w:p>
          <w:p w:rsidR="007368D6" w:rsidRPr="00C10572" w:rsidRDefault="007368D6" w:rsidP="007368D6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>- по связанному с Банком лицу, которое не составляет группу связанных с Банком лиц;</w:t>
            </w:r>
          </w:p>
          <w:p w:rsidR="007368D6" w:rsidRPr="00C10572" w:rsidRDefault="007368D6" w:rsidP="007368D6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>- в группе связанных с Банком лиц?</w:t>
            </w:r>
          </w:p>
        </w:tc>
        <w:tc>
          <w:tcPr>
            <w:tcW w:w="7993" w:type="dxa"/>
          </w:tcPr>
          <w:p w:rsidR="007368D6" w:rsidRPr="00C10572" w:rsidRDefault="007368D6" w:rsidP="007368D6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>Расчет норматива максимального размера риска на связанное с кредитной организацией лицо (группу связанных с кредитной организацией лиц) Н25 производится банком независимо от расчета норматива максимального размера кредитов, банковских гарантий и поручительств,       предоставленных банком своим участникам (акционерам) (Н</w:t>
            </w:r>
            <w:proofErr w:type="gramStart"/>
            <w:r w:rsidRPr="00C10572">
              <w:rPr>
                <w:rFonts w:eastAsia="Times New Roman" w:cs="Times New Roman"/>
                <w:sz w:val="24"/>
                <w:szCs w:val="24"/>
              </w:rPr>
              <w:t>9</w:t>
            </w:r>
            <w:proofErr w:type="gram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.1) и норматива совокупной величины риска по инсайдерам банка (Н10.1). </w:t>
            </w:r>
          </w:p>
          <w:p w:rsidR="007368D6" w:rsidRPr="00C10572" w:rsidRDefault="007368D6" w:rsidP="007368D6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>Введение норматива Н25 в действие отложено до 01.01.2016.</w:t>
            </w:r>
          </w:p>
        </w:tc>
      </w:tr>
      <w:tr w:rsidR="00534506" w:rsidRPr="0090448D" w:rsidTr="007F69D9">
        <w:tc>
          <w:tcPr>
            <w:tcW w:w="709" w:type="dxa"/>
            <w:vAlign w:val="center"/>
          </w:tcPr>
          <w:p w:rsidR="0090448D" w:rsidRPr="0090448D" w:rsidRDefault="0090448D" w:rsidP="0090448D">
            <w:pPr>
              <w:shd w:val="clear" w:color="auto" w:fill="FFFFFF"/>
              <w:spacing w:line="274" w:lineRule="exact"/>
              <w:ind w:left="43" w:right="1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6946" w:type="dxa"/>
          </w:tcPr>
          <w:p w:rsidR="0090448D" w:rsidRPr="00C10572" w:rsidRDefault="0090448D" w:rsidP="0090448D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>Возможно ли применение в Российской Федерации «японского» подхода, когда в период кризиса требования к достаточности капитала банков были снижены регулятором значительно ниже общепринятого в мире уровня 8-10%?</w:t>
            </w:r>
          </w:p>
        </w:tc>
        <w:tc>
          <w:tcPr>
            <w:tcW w:w="7993" w:type="dxa"/>
            <w:vMerge w:val="restart"/>
          </w:tcPr>
          <w:p w:rsidR="0090448D" w:rsidRPr="00C10572" w:rsidRDefault="0090448D" w:rsidP="0090448D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 xml:space="preserve">В целях усиления устойчивости российского банковского сектора с учетом уроков кризиса Банком России были реализованы стандарты Базеля III в части определения капитала и достаточности компонентов капитала кредитных организаций, которые вступили в силу в </w:t>
            </w:r>
            <w:proofErr w:type="spellStart"/>
            <w:r w:rsidRPr="00C10572">
              <w:rPr>
                <w:rFonts w:eastAsia="Times New Roman" w:cs="Times New Roman"/>
                <w:sz w:val="24"/>
                <w:szCs w:val="24"/>
              </w:rPr>
              <w:t>пруденциальных</w:t>
            </w:r>
            <w:proofErr w:type="spell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целях с 1 января 2014 года. Введение пониженных требований к достаточности капитала Банком России не планируется, т.е. не соответствует </w:t>
            </w:r>
            <w:proofErr w:type="spellStart"/>
            <w:proofErr w:type="gramStart"/>
            <w:r w:rsidRPr="00C10572">
              <w:rPr>
                <w:rFonts w:eastAsia="Times New Roman" w:cs="Times New Roman"/>
                <w:sz w:val="24"/>
                <w:szCs w:val="24"/>
              </w:rPr>
              <w:t>международно</w:t>
            </w:r>
            <w:proofErr w:type="spell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признанным</w:t>
            </w:r>
            <w:proofErr w:type="gram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подходам к оценке кредитного риска.</w:t>
            </w:r>
          </w:p>
          <w:p w:rsidR="0090448D" w:rsidRPr="00C10572" w:rsidRDefault="0090448D" w:rsidP="0090448D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>Также не планируется смягчение параметров прочих обязательных нормативов с учетом уже реализованных подходов в Указаниях Банка России о внесении изменений в Инструкцию № 139-И от 16.12.2014 № 3490-У и от 18.12.2014 № 3497-У, а также Письма от 18.12.2014 № 211-Т «Об особенностях применения нормативных актов Байка России».</w:t>
            </w:r>
          </w:p>
        </w:tc>
      </w:tr>
      <w:tr w:rsidR="00534506" w:rsidRPr="0090448D" w:rsidTr="007F69D9">
        <w:tc>
          <w:tcPr>
            <w:tcW w:w="709" w:type="dxa"/>
            <w:vAlign w:val="center"/>
          </w:tcPr>
          <w:p w:rsidR="0090448D" w:rsidRPr="0090448D" w:rsidRDefault="0090448D" w:rsidP="0090448D">
            <w:pPr>
              <w:shd w:val="clear" w:color="auto" w:fill="FFFFFF"/>
              <w:spacing w:line="274" w:lineRule="exact"/>
              <w:ind w:left="43" w:right="1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6946" w:type="dxa"/>
          </w:tcPr>
          <w:p w:rsidR="0090448D" w:rsidRPr="00C10572" w:rsidRDefault="0090448D" w:rsidP="0090448D">
            <w:pPr>
              <w:shd w:val="clear" w:color="auto" w:fill="FFFFFF"/>
              <w:spacing w:line="274" w:lineRule="exact"/>
              <w:ind w:left="43" w:right="1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 xml:space="preserve">Ожидает ли регулятор в 2015 году, вследствие падения реального дохода граждан, резкого ухудшения качества кредитных портфелей физических лиц и, соответственно, ухудшения финансового положения банков, ориентированных преимущественно на обслуживание населения? </w:t>
            </w:r>
            <w:proofErr w:type="gramStart"/>
            <w:r w:rsidRPr="00C10572">
              <w:rPr>
                <w:rFonts w:eastAsia="Times New Roman" w:cs="Times New Roman"/>
                <w:sz w:val="24"/>
                <w:szCs w:val="24"/>
              </w:rPr>
              <w:t>Возможно</w:t>
            </w:r>
            <w:proofErr w:type="gram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ли ожидать смягчения параметров обязательных нормативов?</w:t>
            </w:r>
          </w:p>
        </w:tc>
        <w:tc>
          <w:tcPr>
            <w:tcW w:w="7993" w:type="dxa"/>
            <w:vMerge/>
          </w:tcPr>
          <w:p w:rsidR="0090448D" w:rsidRPr="00C10572" w:rsidRDefault="0090448D" w:rsidP="0090448D">
            <w:pPr>
              <w:shd w:val="clear" w:color="auto" w:fill="FFFFFF"/>
              <w:spacing w:line="274" w:lineRule="exact"/>
              <w:ind w:left="43" w:right="1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34506" w:rsidRPr="00B767AF" w:rsidTr="007F69D9">
        <w:tc>
          <w:tcPr>
            <w:tcW w:w="709" w:type="dxa"/>
            <w:vAlign w:val="center"/>
          </w:tcPr>
          <w:p w:rsidR="00B767AF" w:rsidRPr="00B767AF" w:rsidRDefault="00B767AF" w:rsidP="00B767AF">
            <w:pPr>
              <w:shd w:val="clear" w:color="auto" w:fill="FFFFFF"/>
              <w:spacing w:line="274" w:lineRule="exact"/>
              <w:ind w:left="43" w:right="1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6946" w:type="dxa"/>
          </w:tcPr>
          <w:p w:rsidR="00B767AF" w:rsidRPr="00C10572" w:rsidRDefault="00B767AF" w:rsidP="00B767AF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>При каких условиях банки могут использовать IRB-подход при оценке кредитного риска?</w:t>
            </w:r>
          </w:p>
        </w:tc>
        <w:tc>
          <w:tcPr>
            <w:tcW w:w="7993" w:type="dxa"/>
          </w:tcPr>
          <w:p w:rsidR="00B767AF" w:rsidRPr="00C10572" w:rsidRDefault="00B767AF" w:rsidP="00B767AF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Условием получения банками разрешения на применение подхода на основе внутренних рейтингов (далее - ПВР) является соответствие требованиям, установленным проектом Положения «О порядке расчета величины кредитного риска на основе внутренних рейтингов» и проектом </w:t>
            </w:r>
            <w:r w:rsidRPr="00C10572">
              <w:rPr>
                <w:rFonts w:eastAsia="Times New Roman" w:cs="Times New Roman"/>
                <w:sz w:val="24"/>
                <w:szCs w:val="24"/>
              </w:rPr>
              <w:lastRenderedPageBreak/>
              <w:t>Указания «О порядке получения разрешений на применение банковских методик управления рисками и моделей количественной оценки рисков в целях расчета нормативов достаточности капитала банка, а также порядке оценки их качества</w:t>
            </w:r>
            <w:proofErr w:type="gramEnd"/>
            <w:r w:rsidRPr="00C10572">
              <w:rPr>
                <w:rFonts w:eastAsia="Times New Roman" w:cs="Times New Roman"/>
                <w:sz w:val="24"/>
                <w:szCs w:val="24"/>
              </w:rPr>
              <w:t>». Соответствие указанным требованиям будет устанавливаться Банком России в рамках проведения всесторонней оценки рейтинговых систем банка и процессов по управлению кредитным риском. При этом отмечаем, что для подачи заявки на применение ПВР размер активов банка на дату направления заявки должен составлять не менее 500 миллиардов рублей.</w:t>
            </w:r>
          </w:p>
        </w:tc>
      </w:tr>
      <w:tr w:rsidR="00534506" w:rsidRPr="0022504E" w:rsidTr="007F69D9">
        <w:tc>
          <w:tcPr>
            <w:tcW w:w="709" w:type="dxa"/>
            <w:vAlign w:val="center"/>
          </w:tcPr>
          <w:p w:rsidR="0022504E" w:rsidRPr="0022504E" w:rsidRDefault="0022504E" w:rsidP="0022504E">
            <w:pPr>
              <w:shd w:val="clear" w:color="auto" w:fill="FFFFFF"/>
              <w:spacing w:line="274" w:lineRule="exact"/>
              <w:ind w:left="43" w:right="1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6946" w:type="dxa"/>
          </w:tcPr>
          <w:p w:rsidR="0022504E" w:rsidRPr="00C10572" w:rsidRDefault="0022504E" w:rsidP="0022504E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 xml:space="preserve">Планирует ли Банк России в ближайшее время выпустить методические рекомендации по следующим вопросам в области управления рисками кредитных организаций: </w:t>
            </w:r>
          </w:p>
          <w:p w:rsidR="0022504E" w:rsidRPr="00C10572" w:rsidRDefault="00DE0086" w:rsidP="0022504E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="0022504E" w:rsidRPr="00C10572">
              <w:rPr>
                <w:rFonts w:eastAsia="Times New Roman" w:cs="Times New Roman"/>
                <w:sz w:val="24"/>
                <w:szCs w:val="24"/>
              </w:rPr>
              <w:t xml:space="preserve">методика определения значимых для банка рисков, методы количественной оценки и определения критериев существенности значимости того или иного вида риска; </w:t>
            </w:r>
          </w:p>
          <w:p w:rsidR="0022504E" w:rsidRPr="00C10572" w:rsidRDefault="00DE0086" w:rsidP="0022504E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="0022504E" w:rsidRPr="00C10572">
              <w:rPr>
                <w:rFonts w:eastAsia="Times New Roman" w:cs="Times New Roman"/>
                <w:sz w:val="24"/>
                <w:szCs w:val="24"/>
              </w:rPr>
              <w:t xml:space="preserve">методика определения </w:t>
            </w:r>
            <w:proofErr w:type="spellStart"/>
            <w:proofErr w:type="gramStart"/>
            <w:r w:rsidR="0022504E" w:rsidRPr="00C10572">
              <w:rPr>
                <w:rFonts w:eastAsia="Times New Roman" w:cs="Times New Roman"/>
                <w:sz w:val="24"/>
                <w:szCs w:val="24"/>
              </w:rPr>
              <w:t>риск-аппетита</w:t>
            </w:r>
            <w:proofErr w:type="spellEnd"/>
            <w:proofErr w:type="gramEnd"/>
            <w:r w:rsidR="0022504E" w:rsidRPr="00C10572">
              <w:rPr>
                <w:rFonts w:eastAsia="Times New Roman" w:cs="Times New Roman"/>
                <w:sz w:val="24"/>
                <w:szCs w:val="24"/>
              </w:rPr>
              <w:t xml:space="preserve"> Банка, методы количественной оценки </w:t>
            </w:r>
            <w:proofErr w:type="spellStart"/>
            <w:r w:rsidR="0022504E" w:rsidRPr="00C10572">
              <w:rPr>
                <w:rFonts w:eastAsia="Times New Roman" w:cs="Times New Roman"/>
                <w:sz w:val="24"/>
                <w:szCs w:val="24"/>
              </w:rPr>
              <w:t>риск-аппетита</w:t>
            </w:r>
            <w:proofErr w:type="spellEnd"/>
            <w:r w:rsidR="0022504E" w:rsidRPr="00C10572">
              <w:rPr>
                <w:rFonts w:eastAsia="Times New Roman" w:cs="Times New Roman"/>
                <w:sz w:val="24"/>
                <w:szCs w:val="24"/>
              </w:rPr>
              <w:t xml:space="preserve">, показатели, используемые для определения </w:t>
            </w:r>
            <w:proofErr w:type="spellStart"/>
            <w:r w:rsidR="0022504E" w:rsidRPr="00C10572">
              <w:rPr>
                <w:rFonts w:eastAsia="Times New Roman" w:cs="Times New Roman"/>
                <w:sz w:val="24"/>
                <w:szCs w:val="24"/>
              </w:rPr>
              <w:t>риск-аппетита</w:t>
            </w:r>
            <w:proofErr w:type="spellEnd"/>
            <w:r w:rsidR="0022504E" w:rsidRPr="00C10572">
              <w:rPr>
                <w:rFonts w:eastAsia="Times New Roman" w:cs="Times New Roman"/>
                <w:sz w:val="24"/>
                <w:szCs w:val="24"/>
              </w:rPr>
              <w:t xml:space="preserve">; </w:t>
            </w:r>
          </w:p>
          <w:p w:rsidR="0022504E" w:rsidRPr="00C10572" w:rsidRDefault="00DE0086" w:rsidP="0022504E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="0022504E" w:rsidRPr="00C10572">
              <w:rPr>
                <w:rFonts w:eastAsia="Times New Roman" w:cs="Times New Roman"/>
                <w:sz w:val="24"/>
                <w:szCs w:val="24"/>
              </w:rPr>
              <w:t>методика оценки достаточности капитала для покрытия рисков (методика расчета экономического капитала, в чем состоят принципиальные отличия экономического капитала от регулятивного), методы распределения экономического капитала по видам рисков.</w:t>
            </w:r>
            <w:proofErr w:type="gramEnd"/>
          </w:p>
        </w:tc>
        <w:tc>
          <w:tcPr>
            <w:tcW w:w="7993" w:type="dxa"/>
          </w:tcPr>
          <w:p w:rsidR="0022504E" w:rsidRPr="00C10572" w:rsidRDefault="0022504E" w:rsidP="0022504E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>В проекте указания «О требованиях к системам управления рисками и капиталом кредитной организации и банковской группы» содержатся критерии определения значимых рисков, приведены примеры количественных и качественных показателей склонности к риску (</w:t>
            </w:r>
            <w:proofErr w:type="spellStart"/>
            <w:proofErr w:type="gramStart"/>
            <w:r w:rsidRPr="00C10572">
              <w:rPr>
                <w:rFonts w:eastAsia="Times New Roman" w:cs="Times New Roman"/>
                <w:sz w:val="24"/>
                <w:szCs w:val="24"/>
              </w:rPr>
              <w:t>риск-аппетита</w:t>
            </w:r>
            <w:proofErr w:type="spellEnd"/>
            <w:proofErr w:type="gramEnd"/>
            <w:r w:rsidRPr="00C10572">
              <w:rPr>
                <w:rFonts w:eastAsia="Times New Roman" w:cs="Times New Roman"/>
                <w:sz w:val="24"/>
                <w:szCs w:val="24"/>
              </w:rPr>
              <w:t>) и определены подходы к оценке достаточности капитала. В связи с этим разработка методических рекомендаций по отдельным вопросам управления рисками и капиталом Банком России не планируется.</w:t>
            </w:r>
          </w:p>
        </w:tc>
      </w:tr>
      <w:tr w:rsidR="00534506" w:rsidRPr="0022504E" w:rsidTr="007F69D9">
        <w:tc>
          <w:tcPr>
            <w:tcW w:w="709" w:type="dxa"/>
            <w:vAlign w:val="center"/>
          </w:tcPr>
          <w:p w:rsidR="0022504E" w:rsidRPr="0022504E" w:rsidRDefault="0022504E" w:rsidP="0022504E">
            <w:pPr>
              <w:shd w:val="clear" w:color="auto" w:fill="FFFFFF"/>
              <w:spacing w:line="274" w:lineRule="exact"/>
              <w:ind w:left="43" w:right="1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6946" w:type="dxa"/>
          </w:tcPr>
          <w:p w:rsidR="0022504E" w:rsidRPr="00C10572" w:rsidRDefault="0022504E" w:rsidP="0022504E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 xml:space="preserve">Вопрос касается </w:t>
            </w:r>
            <w:proofErr w:type="spellStart"/>
            <w:r w:rsidRPr="00C10572">
              <w:rPr>
                <w:rFonts w:eastAsia="Times New Roman" w:cs="Times New Roman"/>
                <w:sz w:val="24"/>
                <w:szCs w:val="24"/>
              </w:rPr>
              <w:t>комплаенс</w:t>
            </w:r>
            <w:proofErr w:type="spell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- функции в банках согласно письму Банка России от 2 ноября 2007 г N 173-Т "О рекомендациях </w:t>
            </w:r>
            <w:proofErr w:type="spellStart"/>
            <w:r w:rsidRPr="00C10572">
              <w:rPr>
                <w:rFonts w:eastAsia="Times New Roman" w:cs="Times New Roman"/>
                <w:sz w:val="24"/>
                <w:szCs w:val="24"/>
              </w:rPr>
              <w:t>Базельского</w:t>
            </w:r>
            <w:proofErr w:type="spell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комитета по банковскому надзору". Банк России принимает общие </w:t>
            </w:r>
            <w:proofErr w:type="spellStart"/>
            <w:r w:rsidRPr="00C10572">
              <w:rPr>
                <w:rFonts w:eastAsia="Times New Roman" w:cs="Times New Roman"/>
                <w:sz w:val="24"/>
                <w:szCs w:val="24"/>
              </w:rPr>
              <w:t>Базельские</w:t>
            </w:r>
            <w:proofErr w:type="spell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рекомендации и пока не разработал собственные нормативные документы по управлению </w:t>
            </w:r>
            <w:proofErr w:type="spellStart"/>
            <w:r w:rsidRPr="00C10572">
              <w:rPr>
                <w:rFonts w:eastAsia="Times New Roman" w:cs="Times New Roman"/>
                <w:sz w:val="24"/>
                <w:szCs w:val="24"/>
              </w:rPr>
              <w:t>комплаенс</w:t>
            </w:r>
            <w:proofErr w:type="spell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572">
              <w:rPr>
                <w:rFonts w:eastAsia="Times New Roman" w:cs="Times New Roman"/>
                <w:sz w:val="24"/>
                <w:szCs w:val="24"/>
              </w:rPr>
              <w:t>–р</w:t>
            </w:r>
            <w:proofErr w:type="gram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иском. В частности, нет четкой классификации источников </w:t>
            </w:r>
            <w:proofErr w:type="spellStart"/>
            <w:r w:rsidRPr="00C10572">
              <w:rPr>
                <w:rFonts w:eastAsia="Times New Roman" w:cs="Times New Roman"/>
                <w:sz w:val="24"/>
                <w:szCs w:val="24"/>
              </w:rPr>
              <w:t>комплаенс</w:t>
            </w:r>
            <w:proofErr w:type="spell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- риска (устоявшийся классификатор источников операционного риска есть, а </w:t>
            </w:r>
            <w:proofErr w:type="spellStart"/>
            <w:r w:rsidRPr="00C10572">
              <w:rPr>
                <w:rFonts w:eastAsia="Times New Roman" w:cs="Times New Roman"/>
                <w:sz w:val="24"/>
                <w:szCs w:val="24"/>
              </w:rPr>
              <w:t>комплаенс</w:t>
            </w:r>
            <w:proofErr w:type="spell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572">
              <w:rPr>
                <w:rFonts w:eastAsia="Times New Roman" w:cs="Times New Roman"/>
                <w:sz w:val="24"/>
                <w:szCs w:val="24"/>
              </w:rPr>
              <w:t>–н</w:t>
            </w:r>
            <w:proofErr w:type="gram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ет). Без соответствующих классификаторов невозможно построение и ведение базы данных рисков. Ввиду этого предлагается разработать регуляторные критерии и классификаторы </w:t>
            </w:r>
            <w:proofErr w:type="spellStart"/>
            <w:r w:rsidRPr="00C10572">
              <w:rPr>
                <w:rFonts w:eastAsia="Times New Roman" w:cs="Times New Roman"/>
                <w:sz w:val="24"/>
                <w:szCs w:val="24"/>
              </w:rPr>
              <w:t>комплаенс-риска</w:t>
            </w:r>
            <w:proofErr w:type="spell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993" w:type="dxa"/>
          </w:tcPr>
          <w:p w:rsidR="0022504E" w:rsidRPr="00C10572" w:rsidRDefault="0022504E" w:rsidP="0022504E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 xml:space="preserve">Положение Банка России от 16.12.2003 № 242-П «Об организации внутреннего контроля в кредитных организациях и банковских группах» не устанавливает требований к классификации источников </w:t>
            </w:r>
            <w:proofErr w:type="spellStart"/>
            <w:r w:rsidRPr="00C10572">
              <w:rPr>
                <w:rFonts w:eastAsia="Times New Roman" w:cs="Times New Roman"/>
                <w:sz w:val="24"/>
                <w:szCs w:val="24"/>
              </w:rPr>
              <w:t>комплаенс-риска</w:t>
            </w:r>
            <w:proofErr w:type="spellEnd"/>
            <w:r w:rsidRPr="00C10572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22504E" w:rsidRPr="00C10572" w:rsidRDefault="0022504E" w:rsidP="0022504E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 xml:space="preserve">Согласно письму Банка России от 02.11.2007 № 173-Т «О рекомендациях </w:t>
            </w:r>
            <w:proofErr w:type="spellStart"/>
            <w:r w:rsidRPr="00C10572">
              <w:rPr>
                <w:rFonts w:eastAsia="Times New Roman" w:cs="Times New Roman"/>
                <w:sz w:val="24"/>
                <w:szCs w:val="24"/>
              </w:rPr>
              <w:t>Базельского</w:t>
            </w:r>
            <w:proofErr w:type="spell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комитета по банковскому надзору» соответствие законам, правилам и стандартам в сфере </w:t>
            </w:r>
            <w:proofErr w:type="spellStart"/>
            <w:r w:rsidRPr="00C10572">
              <w:rPr>
                <w:rFonts w:eastAsia="Times New Roman" w:cs="Times New Roman"/>
                <w:sz w:val="24"/>
                <w:szCs w:val="24"/>
              </w:rPr>
              <w:t>комплаенса</w:t>
            </w:r>
            <w:proofErr w:type="spell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имеет различные источники, включая основные законы, правила и стандарты, принимаемые законодательными и надзорными органами, рыночные соглашения, кодексы, принимаемые отраслевыми ассоциациями, и внутренние кодексы поведения, касающиеся персонала банка. При этом банк организовывает </w:t>
            </w:r>
            <w:proofErr w:type="gramStart"/>
            <w:r w:rsidRPr="00C10572">
              <w:rPr>
                <w:rFonts w:eastAsia="Times New Roman" w:cs="Times New Roman"/>
                <w:sz w:val="24"/>
                <w:szCs w:val="24"/>
              </w:rPr>
              <w:t>свою</w:t>
            </w:r>
            <w:proofErr w:type="gram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572">
              <w:rPr>
                <w:rFonts w:eastAsia="Times New Roman" w:cs="Times New Roman"/>
                <w:sz w:val="24"/>
                <w:szCs w:val="24"/>
              </w:rPr>
              <w:t>комплаенс-функцию</w:t>
            </w:r>
            <w:proofErr w:type="spell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и устанавливает приоритеты для управления своим </w:t>
            </w:r>
            <w:proofErr w:type="spellStart"/>
            <w:r w:rsidRPr="00C10572">
              <w:rPr>
                <w:rFonts w:eastAsia="Times New Roman" w:cs="Times New Roman"/>
                <w:sz w:val="24"/>
                <w:szCs w:val="24"/>
              </w:rPr>
              <w:t>комплаенс-риском</w:t>
            </w:r>
            <w:proofErr w:type="spell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в соответствии с собственной стратегией и </w:t>
            </w:r>
            <w:r w:rsidRPr="00C10572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организацией управления рисками. </w:t>
            </w:r>
          </w:p>
          <w:p w:rsidR="0022504E" w:rsidRPr="00C10572" w:rsidRDefault="0022504E" w:rsidP="0022504E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 xml:space="preserve">С учетом изложенного полагаем, что методология управления </w:t>
            </w:r>
            <w:proofErr w:type="spellStart"/>
            <w:r w:rsidRPr="00C10572">
              <w:rPr>
                <w:rFonts w:eastAsia="Times New Roman" w:cs="Times New Roman"/>
                <w:sz w:val="24"/>
                <w:szCs w:val="24"/>
              </w:rPr>
              <w:t>комплаенс-риском</w:t>
            </w:r>
            <w:proofErr w:type="spellEnd"/>
            <w:r w:rsidRPr="00C10572">
              <w:rPr>
                <w:rFonts w:eastAsia="Times New Roman" w:cs="Times New Roman"/>
                <w:sz w:val="24"/>
                <w:szCs w:val="24"/>
              </w:rPr>
              <w:t>, включая порядок классификации источников риска, определяется кредитной организацией самостоятельно во внутренних документах.</w:t>
            </w:r>
          </w:p>
        </w:tc>
      </w:tr>
      <w:tr w:rsidR="00534506" w:rsidRPr="0022504E" w:rsidTr="007F69D9">
        <w:tc>
          <w:tcPr>
            <w:tcW w:w="709" w:type="dxa"/>
          </w:tcPr>
          <w:p w:rsidR="0022504E" w:rsidRPr="0022504E" w:rsidRDefault="0022504E" w:rsidP="0022504E">
            <w:pPr>
              <w:shd w:val="clear" w:color="auto" w:fill="FFFFFF"/>
              <w:spacing w:line="274" w:lineRule="exact"/>
              <w:ind w:left="43" w:right="1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</w:t>
            </w:r>
          </w:p>
        </w:tc>
        <w:tc>
          <w:tcPr>
            <w:tcW w:w="6946" w:type="dxa"/>
          </w:tcPr>
          <w:p w:rsidR="0022504E" w:rsidRPr="00C10572" w:rsidRDefault="0022504E" w:rsidP="0022504E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>Прокомментируйте ожидаемые сроки публикации финальных версий каждого из указанных документов и сроки их вступления в силу:</w:t>
            </w:r>
          </w:p>
          <w:p w:rsidR="0022504E" w:rsidRPr="00C10572" w:rsidRDefault="0022504E" w:rsidP="0022504E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>Положение «О порядке расчета величины кредитного риска на основе внутренних рейтингов»;</w:t>
            </w:r>
          </w:p>
          <w:p w:rsidR="0022504E" w:rsidRPr="00C10572" w:rsidRDefault="0022504E" w:rsidP="0022504E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>Указание «О порядке рассмотрения Банком России ходатайств банков о применении подхода на основе внутренних рейтингов к расчету кредитного риска»;</w:t>
            </w:r>
          </w:p>
        </w:tc>
        <w:tc>
          <w:tcPr>
            <w:tcW w:w="7993" w:type="dxa"/>
          </w:tcPr>
          <w:p w:rsidR="0022504E" w:rsidRPr="00C10572" w:rsidRDefault="0022504E" w:rsidP="0022504E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>Ожидается, что Положение «О порядке расчета величины кредитного риска на основе внутренних рейтингов» и Указание «О порядке получения разрешений на применение банковских методик управления рисками и моделей количественной оценки рисков в целях расчета нормативов достаточности капитала банка, а также порядке оценки их качества» будут опубликованы в первом полугодии 2015 года.</w:t>
            </w:r>
          </w:p>
        </w:tc>
      </w:tr>
      <w:tr w:rsidR="00534506" w:rsidRPr="00FF4FDA" w:rsidTr="007F69D9">
        <w:tc>
          <w:tcPr>
            <w:tcW w:w="709" w:type="dxa"/>
            <w:vAlign w:val="center"/>
          </w:tcPr>
          <w:p w:rsidR="00FF4FDA" w:rsidRPr="00FF4FDA" w:rsidRDefault="00FF4FDA" w:rsidP="00FF4FDA">
            <w:pPr>
              <w:shd w:val="clear" w:color="auto" w:fill="FFFFFF"/>
              <w:spacing w:line="274" w:lineRule="exact"/>
              <w:ind w:left="43" w:right="1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6946" w:type="dxa"/>
          </w:tcPr>
          <w:p w:rsidR="00FF4FDA" w:rsidRPr="00C10572" w:rsidRDefault="00FF4FDA" w:rsidP="00FF4FDA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>Сроки внедрения Указаний о требованиях к системе управления рисками и капиталом кредитной организации.</w:t>
            </w:r>
          </w:p>
          <w:p w:rsidR="00FF4FDA" w:rsidRPr="00C10572" w:rsidRDefault="00FF4FDA" w:rsidP="00FF4FDA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 xml:space="preserve">Проект был опубликован в июле 2014 года, но окончательная редакция на настоящий момент не утверждена. В проекте было указано, что банки, включенные в список системно значимых кредитных организаций должны привести систему управления рисками в соответствие с Указаниями до конца 2015 года, остальные до конца 2016 года. На протяжении 2014 года озвучивались различные критерии системно значимых банков: первоначальный список сократился с 59 до 19, а список банков, </w:t>
            </w:r>
            <w:proofErr w:type="spellStart"/>
            <w:r w:rsidRPr="00C10572">
              <w:rPr>
                <w:rFonts w:eastAsia="Times New Roman" w:cs="Times New Roman"/>
                <w:sz w:val="24"/>
                <w:szCs w:val="24"/>
              </w:rPr>
              <w:t>докапитализируемых</w:t>
            </w:r>
            <w:proofErr w:type="spell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через АСВ уже состоит из 27 банков. </w:t>
            </w:r>
          </w:p>
          <w:p w:rsidR="00FF4FDA" w:rsidRPr="00C10572" w:rsidRDefault="00FF4FDA" w:rsidP="00FF4FDA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 xml:space="preserve">Необходимо раскрыть критерии системной значимости банков и сделать его публичным, аналогично перечню </w:t>
            </w:r>
            <w:proofErr w:type="spellStart"/>
            <w:r w:rsidRPr="00C10572">
              <w:rPr>
                <w:rFonts w:eastAsia="Times New Roman" w:cs="Times New Roman"/>
                <w:sz w:val="24"/>
                <w:szCs w:val="24"/>
              </w:rPr>
              <w:t>системообразующих</w:t>
            </w:r>
            <w:proofErr w:type="spell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предприятий и определиться со сроками внедрения вышеупомянутых Указаний. Реализация Указаний потребует построения качественно новых процессов управления рисками, разработки новых методик, совершенствования IT-систем, найма дополнительного высококвалифицированного персонала. Это несомненно увеличит расходы банков уже в этом году, а эффект от улучшения управления рисками вряд ли достижим в краткосрочной перспективе. На наш взгляд, сегодня не самое лучшее время для глобальной перестройки системы управления банковскими рисками.</w:t>
            </w:r>
          </w:p>
        </w:tc>
        <w:tc>
          <w:tcPr>
            <w:tcW w:w="7993" w:type="dxa"/>
          </w:tcPr>
          <w:p w:rsidR="00FF4FDA" w:rsidRPr="00C10572" w:rsidRDefault="00FF4FDA" w:rsidP="00FF4FDA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 xml:space="preserve">Предполагается, что проект указания Банка России «О требованиях к системе управления рисками и капиталом кредитной организации и банковской группы» (далее </w:t>
            </w:r>
            <w:proofErr w:type="gramStart"/>
            <w:r w:rsidRPr="00C10572">
              <w:rPr>
                <w:rFonts w:eastAsia="Times New Roman" w:cs="Times New Roman"/>
                <w:sz w:val="24"/>
                <w:szCs w:val="24"/>
              </w:rPr>
              <w:t>-п</w:t>
            </w:r>
            <w:proofErr w:type="gramEnd"/>
            <w:r w:rsidRPr="00C10572">
              <w:rPr>
                <w:rFonts w:eastAsia="Times New Roman" w:cs="Times New Roman"/>
                <w:sz w:val="24"/>
                <w:szCs w:val="24"/>
              </w:rPr>
              <w:t>роект указания) будет принят в первом квартале 2015 года.</w:t>
            </w:r>
          </w:p>
          <w:p w:rsidR="00FF4FDA" w:rsidRPr="00C10572" w:rsidRDefault="00FF4FDA" w:rsidP="00FF4FDA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>По результатам обсуждения проекта указания с банковским сообществом были уточнены сроки разработки и начала применения внутренних процедур оценки достаточности капитала (далее - ВПОДК) кредитными организациями. В настоящее время проектом указания предусмотрено, что кредитные организации, размер активов которых составляет не менее 500 млрд. рублей, должны будут обеспечить разработку и внедрение ВПОДК на индивидуальном уровне в срок до 31 декабря 2015 года, на уровне банковской группы - до 31 декабря 2016 года. Остальные кредитные организации должны будут обеспечить разработку и внедрение ВПОДК на индивидуальном уровне в срок до 31 декабря 2016 года, на уровне банковской группы - до 31 декабря 2017 года.</w:t>
            </w:r>
          </w:p>
          <w:p w:rsidR="00FF4FDA" w:rsidRPr="00C10572" w:rsidRDefault="00FF4FDA" w:rsidP="00FF4FDA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 xml:space="preserve">Проект указания основывается на тех же подходах, которые были изложены в письме Банка России от 29.06.2011 № 96-Т «О методических рекомендациях по организации кредитными организациями внутренних процедур оценки достаточности капитала» (далее </w:t>
            </w:r>
            <w:proofErr w:type="gramStart"/>
            <w:r w:rsidRPr="00C10572">
              <w:rPr>
                <w:rFonts w:eastAsia="Times New Roman" w:cs="Times New Roman"/>
                <w:sz w:val="24"/>
                <w:szCs w:val="24"/>
              </w:rPr>
              <w:t>-п</w:t>
            </w:r>
            <w:proofErr w:type="gram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исьмо), содержащем минимальные стандарты организации кредитными организациями ВПОДК для покрытия принятых и потенциальных рисков и планирования капитала. Письмом было предложено кредитным организациям, особенно крупнейшим, которым в первую очередь адресованы положения Базеля II, на добровольной основе приступить к разработке и внедрению ВПОДК. </w:t>
            </w:r>
            <w:proofErr w:type="gramStart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r w:rsidRPr="00C10572">
              <w:rPr>
                <w:rFonts w:eastAsia="Times New Roman" w:cs="Times New Roman"/>
                <w:sz w:val="24"/>
                <w:szCs w:val="24"/>
              </w:rPr>
              <w:lastRenderedPageBreak/>
              <w:t>письме также было обращено внимание на то, что после предоставления Банку России права устанавливать для кредитных организаций требования о разработке и применении ВПОДК (такое право предоставлено Байку России Федеральным законом от 2 июля 2013 года № 146-ФЗ «О внесении изменений в отдельные законодательные акты Российской Федерации), эти требования начнут предъявляться к кредитным организациям поэтапно, начиная с крупнейших, с тем, чтобы</w:t>
            </w:r>
            <w:proofErr w:type="gram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к 2017 году все действующие кредитные организации применяли ВПОДК. </w:t>
            </w:r>
          </w:p>
          <w:p w:rsidR="00FF4FDA" w:rsidRPr="00C10572" w:rsidRDefault="00FF4FDA" w:rsidP="00FF4FDA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 xml:space="preserve">В связи с изложенным полагаем, что кредитные организации располагали достаточным временем для подготовки к реализации требований проекта указания. </w:t>
            </w:r>
          </w:p>
        </w:tc>
      </w:tr>
      <w:tr w:rsidR="007F69D9" w:rsidRPr="00FF4FDA" w:rsidTr="007F69D9">
        <w:tc>
          <w:tcPr>
            <w:tcW w:w="709" w:type="dxa"/>
            <w:vAlign w:val="center"/>
          </w:tcPr>
          <w:p w:rsidR="00FF4FDA" w:rsidRPr="00FF4FDA" w:rsidRDefault="00FF4FDA" w:rsidP="00FF4FDA">
            <w:pPr>
              <w:shd w:val="clear" w:color="auto" w:fill="FFFFFF"/>
              <w:spacing w:line="274" w:lineRule="exact"/>
              <w:ind w:left="43" w:right="1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6946" w:type="dxa"/>
          </w:tcPr>
          <w:p w:rsidR="00FF4FDA" w:rsidRPr="00C10572" w:rsidRDefault="00FF4FDA" w:rsidP="00FF4FDA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 xml:space="preserve">В какие сроки Банк России планирует опубликовать проект нормативного документа, регламентирующего надзорный процесс в рамках 2-го компонента </w:t>
            </w:r>
            <w:proofErr w:type="spellStart"/>
            <w:r w:rsidRPr="00C10572">
              <w:rPr>
                <w:rFonts w:eastAsia="Times New Roman" w:cs="Times New Roman"/>
                <w:sz w:val="24"/>
                <w:szCs w:val="24"/>
              </w:rPr>
              <w:t>Базельского</w:t>
            </w:r>
            <w:proofErr w:type="spell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регулирования (так называемый </w:t>
            </w:r>
            <w:proofErr w:type="spellStart"/>
            <w:r w:rsidRPr="00C10572">
              <w:rPr>
                <w:rFonts w:eastAsia="Times New Roman" w:cs="Times New Roman"/>
                <w:sz w:val="24"/>
                <w:szCs w:val="24"/>
              </w:rPr>
              <w:t>Supervisory</w:t>
            </w:r>
            <w:proofErr w:type="spell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572">
              <w:rPr>
                <w:rFonts w:eastAsia="Times New Roman" w:cs="Times New Roman"/>
                <w:sz w:val="24"/>
                <w:szCs w:val="24"/>
              </w:rPr>
              <w:t>Review</w:t>
            </w:r>
            <w:proofErr w:type="spell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572">
              <w:rPr>
                <w:rFonts w:eastAsia="Times New Roman" w:cs="Times New Roman"/>
                <w:sz w:val="24"/>
                <w:szCs w:val="24"/>
              </w:rPr>
              <w:t>and</w:t>
            </w:r>
            <w:proofErr w:type="spell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572">
              <w:rPr>
                <w:rFonts w:eastAsia="Times New Roman" w:cs="Times New Roman"/>
                <w:sz w:val="24"/>
                <w:szCs w:val="24"/>
              </w:rPr>
              <w:t>Evaluation</w:t>
            </w:r>
            <w:proofErr w:type="spell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572">
              <w:rPr>
                <w:rFonts w:eastAsia="Times New Roman" w:cs="Times New Roman"/>
                <w:sz w:val="24"/>
                <w:szCs w:val="24"/>
              </w:rPr>
              <w:t>Process</w:t>
            </w:r>
            <w:proofErr w:type="spellEnd"/>
            <w:r w:rsidRPr="00C10572">
              <w:rPr>
                <w:rFonts w:eastAsia="Times New Roman" w:cs="Times New Roman"/>
                <w:sz w:val="24"/>
                <w:szCs w:val="24"/>
              </w:rPr>
              <w:t>)?</w:t>
            </w:r>
          </w:p>
        </w:tc>
        <w:tc>
          <w:tcPr>
            <w:tcW w:w="7993" w:type="dxa"/>
          </w:tcPr>
          <w:p w:rsidR="00FF4FDA" w:rsidRPr="00C10572" w:rsidRDefault="00FF4FDA" w:rsidP="00FF4FDA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>В настоящее время начата разработка проектов нормативных актов, устанавливающих методологию надзорной оценки качества и результатов внутренних процедур оценки достаточности капитала (ВПОДК) и достаточности капитала. Указанные нормативные акты предполагается разработать в 2015 году.</w:t>
            </w:r>
          </w:p>
        </w:tc>
      </w:tr>
      <w:tr w:rsidR="007F69D9" w:rsidRPr="00FF4FDA" w:rsidTr="007F69D9">
        <w:tc>
          <w:tcPr>
            <w:tcW w:w="709" w:type="dxa"/>
            <w:vAlign w:val="center"/>
          </w:tcPr>
          <w:p w:rsidR="00FF4FDA" w:rsidRPr="00FF4FDA" w:rsidRDefault="00FF4FDA" w:rsidP="00FF4FDA">
            <w:pPr>
              <w:shd w:val="clear" w:color="auto" w:fill="FFFFFF"/>
              <w:spacing w:line="274" w:lineRule="exact"/>
              <w:ind w:left="43" w:right="1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6946" w:type="dxa"/>
          </w:tcPr>
          <w:p w:rsidR="00FF4FDA" w:rsidRPr="00C10572" w:rsidRDefault="00FF4FDA" w:rsidP="00FF4FDA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>Какие планируемые сроки вступления в силу Указания Банка России «О требованиях к системам управления рисками и капиталом кредитной организации и банковской группы»?</w:t>
            </w:r>
          </w:p>
          <w:p w:rsidR="00FF4FDA" w:rsidRPr="00C10572" w:rsidRDefault="00FF4FDA" w:rsidP="00FF4FDA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>Будут ли существенные изменения данного документа относительно проекта?</w:t>
            </w:r>
          </w:p>
        </w:tc>
        <w:tc>
          <w:tcPr>
            <w:tcW w:w="7993" w:type="dxa"/>
          </w:tcPr>
          <w:p w:rsidR="00FF4FDA" w:rsidRPr="00C10572" w:rsidRDefault="00FF4FDA" w:rsidP="00FF4FDA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>Предполагается, что проект указания Банка России «О требованиях к системе управления рисками и капиталом кредитной организации и банковской группы» будет принят в первом квартале 2015 года.</w:t>
            </w:r>
          </w:p>
          <w:p w:rsidR="00FF4FDA" w:rsidRPr="00C10572" w:rsidRDefault="00FF4FDA" w:rsidP="00FF4FDA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 xml:space="preserve">По сравнению с проектом, размещенным на странице Банка России в сети «Интернет» для обсуждения с банковским сообществом, доработанный проект указания </w:t>
            </w:r>
            <w:proofErr w:type="gramStart"/>
            <w:r w:rsidRPr="00C10572">
              <w:rPr>
                <w:rFonts w:eastAsia="Times New Roman" w:cs="Times New Roman"/>
                <w:sz w:val="24"/>
                <w:szCs w:val="24"/>
              </w:rPr>
              <w:t>содержит</w:t>
            </w:r>
            <w:proofErr w:type="gram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в том числе следующие изменения:</w:t>
            </w:r>
          </w:p>
          <w:p w:rsidR="00FF4FDA" w:rsidRPr="00C10572" w:rsidRDefault="00FF4FDA" w:rsidP="00FF4FDA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>- включено требование о ежегодном пересмотре перечня значимых рисков;</w:t>
            </w:r>
          </w:p>
          <w:p w:rsidR="00FF4FDA" w:rsidRPr="00C10572" w:rsidRDefault="00FF4FDA" w:rsidP="00FF4FDA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>- кредитной организации, являющейся участником банковской группы, предоставлено право передачи отдельных функций по управлению рисками другой кредитной организации, входящей в банковскую группу;</w:t>
            </w:r>
          </w:p>
          <w:p w:rsidR="00FF4FDA" w:rsidRPr="00C10572" w:rsidRDefault="00FF4FDA" w:rsidP="00FF4FDA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>- уточнены требования к составу, содержанию и периодичности формирования отчетности в рамках внутренних процедур оценки достаточности капитала (ВПОДК) и ее представления органам управления кредитной организации;</w:t>
            </w:r>
          </w:p>
          <w:p w:rsidR="00FF4FDA" w:rsidRPr="00C10572" w:rsidRDefault="00FF4FDA" w:rsidP="00FF4FDA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 xml:space="preserve">- реализован подход к управлению операционным риском, предусматривающий три уровня «защиты»: выявление операционного риска на уровне структурных подразделений, разработку процедур управления операционным риском независимым подразделением, осуществление независимого </w:t>
            </w:r>
            <w:proofErr w:type="gramStart"/>
            <w:r w:rsidRPr="00C10572">
              <w:rPr>
                <w:rFonts w:eastAsia="Times New Roman" w:cs="Times New Roman"/>
                <w:sz w:val="24"/>
                <w:szCs w:val="24"/>
              </w:rPr>
              <w:t>контроля за</w:t>
            </w:r>
            <w:proofErr w:type="gram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выполнением принятых </w:t>
            </w:r>
            <w:r w:rsidRPr="00C10572">
              <w:rPr>
                <w:rFonts w:eastAsia="Times New Roman" w:cs="Times New Roman"/>
                <w:sz w:val="24"/>
                <w:szCs w:val="24"/>
              </w:rPr>
              <w:lastRenderedPageBreak/>
              <w:t>процедур управления операционным риском.</w:t>
            </w:r>
          </w:p>
        </w:tc>
      </w:tr>
      <w:tr w:rsidR="00534506" w:rsidRPr="007B4CB9" w:rsidTr="007F69D9">
        <w:tc>
          <w:tcPr>
            <w:tcW w:w="709" w:type="dxa"/>
            <w:vAlign w:val="center"/>
          </w:tcPr>
          <w:p w:rsidR="007B4CB9" w:rsidRPr="007B4CB9" w:rsidRDefault="007B4CB9" w:rsidP="007B4CB9">
            <w:pPr>
              <w:shd w:val="clear" w:color="auto" w:fill="FFFFFF"/>
              <w:spacing w:line="274" w:lineRule="exact"/>
              <w:ind w:left="43" w:right="1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</w:t>
            </w:r>
          </w:p>
        </w:tc>
        <w:tc>
          <w:tcPr>
            <w:tcW w:w="6946" w:type="dxa"/>
          </w:tcPr>
          <w:p w:rsidR="007B4CB9" w:rsidRPr="00C10572" w:rsidRDefault="007B4CB9" w:rsidP="007B4CB9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 xml:space="preserve">Целесообразность внедрения Инструкция Банка России от 17 июня 2014 г. № 154-И «О порядке оценки системы оплаты труда в кредитной организации и порядке направления в кредитную организацию предписания об устранения нарушения в ее системе оплаты труда». Целью </w:t>
            </w:r>
            <w:proofErr w:type="gramStart"/>
            <w:r w:rsidRPr="00C10572">
              <w:rPr>
                <w:rFonts w:eastAsia="Times New Roman" w:cs="Times New Roman"/>
                <w:sz w:val="24"/>
                <w:szCs w:val="24"/>
              </w:rPr>
              <w:t>внедрения системы оценки оплаты труда</w:t>
            </w:r>
            <w:proofErr w:type="gram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провозглашается обеспечение финансовой устойчивости кредитной организации и обеспечение соответствия системы оплаты труда кредитной организации характеру и масштабу совершаемых ею операций, результатам ее деятельности, уровню принимаемых рисков. Для построения системы банкам необходимо разработать большое количество регламентирующих документов, методик расчета и мониторинга отстроченного вознаграждения (бонусов) для различных категорий сотрудников. Это потребует выделение дополнительных ресурсов для кадровых и финансовых служб банков. Падение реальных доходов сотрудников банков вследствие нарастающей инфляции и девальвации рубля, не позволяет сокращать фактический уровень зарплаты за счет переноса части оплаты в отсроченное вознаграждение. А ухудшение общеэкономической ситуации, прогноз на резкое снижение финансового результата по банковской системе снижает вероятность выплаты бонусов практически до нуля. В этой ситуации необходимо перенести сроки внедрения до норы, когда тема выплаты бонусов станет вновь актуальной.</w:t>
            </w:r>
          </w:p>
        </w:tc>
        <w:tc>
          <w:tcPr>
            <w:tcW w:w="7993" w:type="dxa"/>
          </w:tcPr>
          <w:p w:rsidR="007B4CB9" w:rsidRPr="00C10572" w:rsidRDefault="007B4CB9" w:rsidP="007B4CB9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 xml:space="preserve">Требования Банка России к кредитным организациям в области систем оплаты труда основаны на принципах и стандартах Совета финансовой стабильности, являющихся частью Компонента 2 Базеля 2. В настоящее время завершен «информационный этап» внедрения данных стандартов и принципов в деятельность кредитных организаций, который длился с июля 2013 года до января 2015 </w:t>
            </w:r>
            <w:proofErr w:type="gramStart"/>
            <w:r w:rsidRPr="00C10572">
              <w:rPr>
                <w:rFonts w:eastAsia="Times New Roman" w:cs="Times New Roman"/>
                <w:sz w:val="24"/>
                <w:szCs w:val="24"/>
              </w:rPr>
              <w:t>года</w:t>
            </w:r>
            <w:proofErr w:type="gram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и основной задачей </w:t>
            </w:r>
            <w:proofErr w:type="gramStart"/>
            <w:r w:rsidRPr="00C10572">
              <w:rPr>
                <w:rFonts w:eastAsia="Times New Roman" w:cs="Times New Roman"/>
                <w:sz w:val="24"/>
                <w:szCs w:val="24"/>
              </w:rPr>
              <w:t>которого</w:t>
            </w:r>
            <w:proofErr w:type="gram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была подготовка кредитных организаций к предстоящему введению обязательных требований. В этот период проводилась оценка показателя риска материального стимулирования в кредитных организациях в рамках общей оценки экономического положения кредитной организации. Таким образом, у кредитных организаций имелось полтора года на внесение изменений в системы оплаты труда. Более того, те кредитные организации, которые еще не успели полностью привести свою деятельность в соответствие с требованиями Инструкции Банка России № 154-И, которая вступила в силу с 1 января этого года, смогут сделать это до 1 октября 2015 года (дата первой оценки в соответствии с Инструкцией Банка России № 154-И). На этапе обсуждения проекта инструкции с банковским сообществом замечаний о существенности операционных расходов банков по внедрению новых требований не высказывалось.</w:t>
            </w:r>
          </w:p>
          <w:p w:rsidR="007B4CB9" w:rsidRPr="00C10572" w:rsidRDefault="007B4CB9" w:rsidP="007B4CB9">
            <w:pPr>
              <w:shd w:val="clear" w:color="auto" w:fill="FFFFFF"/>
              <w:spacing w:line="274" w:lineRule="exact"/>
              <w:ind w:left="43" w:right="10" w:firstLine="0"/>
              <w:rPr>
                <w:rFonts w:eastAsia="Times New Roman" w:cs="Times New Roman"/>
                <w:sz w:val="24"/>
                <w:szCs w:val="24"/>
              </w:rPr>
            </w:pPr>
            <w:r w:rsidRPr="00C10572">
              <w:rPr>
                <w:rFonts w:eastAsia="Times New Roman" w:cs="Times New Roman"/>
                <w:sz w:val="24"/>
                <w:szCs w:val="24"/>
              </w:rPr>
              <w:t xml:space="preserve">Инструкция № 154-И не предписывает кредитным организациям осуществлять фактическое снижение заработной платы. В соответствии с Инструкцией № 154-И фактический уровень заработной платы определяется кредитной </w:t>
            </w:r>
            <w:proofErr w:type="gramStart"/>
            <w:r w:rsidRPr="00C10572">
              <w:rPr>
                <w:rFonts w:eastAsia="Times New Roman" w:cs="Times New Roman"/>
                <w:sz w:val="24"/>
                <w:szCs w:val="24"/>
              </w:rPr>
              <w:t>организацией</w:t>
            </w:r>
            <w:proofErr w:type="gramEnd"/>
            <w:r w:rsidRPr="00C10572">
              <w:rPr>
                <w:rFonts w:eastAsia="Times New Roman" w:cs="Times New Roman"/>
                <w:sz w:val="24"/>
                <w:szCs w:val="24"/>
              </w:rPr>
              <w:t xml:space="preserve"> самостоятельно исходя из результатов ее деятельности и принятых рисков. </w:t>
            </w:r>
          </w:p>
        </w:tc>
      </w:tr>
    </w:tbl>
    <w:p w:rsidR="00667572" w:rsidRDefault="00667572"/>
    <w:p w:rsidR="00667572" w:rsidRDefault="00667572"/>
    <w:sectPr w:rsidR="00667572" w:rsidSect="00DE0086"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13" w:rsidRDefault="00687C13" w:rsidP="00667572">
      <w:pPr>
        <w:spacing w:after="0" w:line="240" w:lineRule="auto"/>
      </w:pPr>
      <w:r>
        <w:separator/>
      </w:r>
    </w:p>
  </w:endnote>
  <w:endnote w:type="continuationSeparator" w:id="0">
    <w:p w:rsidR="00687C13" w:rsidRDefault="00687C13" w:rsidP="0066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61470"/>
      <w:docPartObj>
        <w:docPartGallery w:val="Page Numbers (Bottom of Page)"/>
        <w:docPartUnique/>
      </w:docPartObj>
    </w:sdtPr>
    <w:sdtContent>
      <w:p w:rsidR="00667572" w:rsidRDefault="00FC3412">
        <w:pPr>
          <w:pStyle w:val="a5"/>
          <w:jc w:val="right"/>
        </w:pPr>
        <w:fldSimple w:instr=" PAGE   \* MERGEFORMAT ">
          <w:r w:rsidR="00C10572">
            <w:rPr>
              <w:noProof/>
            </w:rPr>
            <w:t>1</w:t>
          </w:r>
        </w:fldSimple>
      </w:p>
    </w:sdtContent>
  </w:sdt>
  <w:p w:rsidR="00667572" w:rsidRDefault="006675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13" w:rsidRDefault="00687C13" w:rsidP="00667572">
      <w:pPr>
        <w:spacing w:after="0" w:line="240" w:lineRule="auto"/>
      </w:pPr>
      <w:r>
        <w:separator/>
      </w:r>
    </w:p>
  </w:footnote>
  <w:footnote w:type="continuationSeparator" w:id="0">
    <w:p w:rsidR="00687C13" w:rsidRDefault="00687C13" w:rsidP="00667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7B4"/>
    <w:multiLevelType w:val="hybridMultilevel"/>
    <w:tmpl w:val="927299A4"/>
    <w:lvl w:ilvl="0" w:tplc="4CDE3236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1A141989"/>
    <w:multiLevelType w:val="hybridMultilevel"/>
    <w:tmpl w:val="98E039EE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67091DB6"/>
    <w:multiLevelType w:val="hybridMultilevel"/>
    <w:tmpl w:val="8310676A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73F1359A"/>
    <w:multiLevelType w:val="hybridMultilevel"/>
    <w:tmpl w:val="0758134E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572"/>
    <w:rsid w:val="00007BDF"/>
    <w:rsid w:val="001B7299"/>
    <w:rsid w:val="0022504E"/>
    <w:rsid w:val="00237C38"/>
    <w:rsid w:val="002B6043"/>
    <w:rsid w:val="002E56DC"/>
    <w:rsid w:val="003C15C5"/>
    <w:rsid w:val="003C6322"/>
    <w:rsid w:val="004218C1"/>
    <w:rsid w:val="004557A4"/>
    <w:rsid w:val="004A0BAE"/>
    <w:rsid w:val="004D64CE"/>
    <w:rsid w:val="004F6E7A"/>
    <w:rsid w:val="00534506"/>
    <w:rsid w:val="0056117E"/>
    <w:rsid w:val="00667572"/>
    <w:rsid w:val="00687C13"/>
    <w:rsid w:val="007258CF"/>
    <w:rsid w:val="007368D6"/>
    <w:rsid w:val="007B4CB9"/>
    <w:rsid w:val="007F69D9"/>
    <w:rsid w:val="0090448D"/>
    <w:rsid w:val="0091189B"/>
    <w:rsid w:val="0096300B"/>
    <w:rsid w:val="00983E8D"/>
    <w:rsid w:val="009904DB"/>
    <w:rsid w:val="009A0C34"/>
    <w:rsid w:val="00A125FE"/>
    <w:rsid w:val="00A25E09"/>
    <w:rsid w:val="00AC6DB3"/>
    <w:rsid w:val="00B767AF"/>
    <w:rsid w:val="00BA4C51"/>
    <w:rsid w:val="00C10572"/>
    <w:rsid w:val="00C4272C"/>
    <w:rsid w:val="00C90F97"/>
    <w:rsid w:val="00C96005"/>
    <w:rsid w:val="00CB37C3"/>
    <w:rsid w:val="00CC3BB1"/>
    <w:rsid w:val="00CD442D"/>
    <w:rsid w:val="00D3279E"/>
    <w:rsid w:val="00D35393"/>
    <w:rsid w:val="00D46FC6"/>
    <w:rsid w:val="00D51AE6"/>
    <w:rsid w:val="00D76386"/>
    <w:rsid w:val="00DB339C"/>
    <w:rsid w:val="00DE0086"/>
    <w:rsid w:val="00E00D42"/>
    <w:rsid w:val="00E14483"/>
    <w:rsid w:val="00E43CE8"/>
    <w:rsid w:val="00ED4482"/>
    <w:rsid w:val="00EE780B"/>
    <w:rsid w:val="00F22801"/>
    <w:rsid w:val="00FC3412"/>
    <w:rsid w:val="00FC475D"/>
    <w:rsid w:val="00FF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7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7572"/>
  </w:style>
  <w:style w:type="paragraph" w:styleId="a5">
    <w:name w:val="footer"/>
    <w:basedOn w:val="a"/>
    <w:link w:val="a6"/>
    <w:uiPriority w:val="99"/>
    <w:unhideWhenUsed/>
    <w:rsid w:val="00667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572"/>
  </w:style>
  <w:style w:type="paragraph" w:styleId="a7">
    <w:name w:val="Balloon Text"/>
    <w:basedOn w:val="a"/>
    <w:link w:val="a8"/>
    <w:uiPriority w:val="99"/>
    <w:semiHidden/>
    <w:unhideWhenUsed/>
    <w:rsid w:val="0066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57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C15C5"/>
    <w:pPr>
      <w:spacing w:after="0"/>
      <w:ind w:left="720" w:firstLine="709"/>
      <w:contextualSpacing/>
    </w:pPr>
    <w:rPr>
      <w:rFonts w:asciiTheme="minorHAnsi" w:eastAsia="Calibri" w:hAnsiTheme="minorHAns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2DA6E-3F67-4247-ACD4-192F8859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3984</Words>
  <Characters>22711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24</cp:revision>
  <dcterms:created xsi:type="dcterms:W3CDTF">2015-03-13T16:02:00Z</dcterms:created>
  <dcterms:modified xsi:type="dcterms:W3CDTF">2015-03-13T16:28:00Z</dcterms:modified>
</cp:coreProperties>
</file>